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233680</wp:posOffset>
            </wp:positionH>
            <wp:positionV relativeFrom="page">
              <wp:posOffset>697230</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t>UNITED STATES SECURITIES AND EXCHANGE COMMISSION</w:t>
      </w:r>
    </w:p>
    <w:p>
      <w:pPr>
        <w:spacing w:after="0" w:line="20" w:lineRule="exact"/>
        <w:rPr>
          <w:sz w:val="24"/>
          <w:szCs w:val="24"/>
          <w:color w:val="auto"/>
        </w:rPr>
      </w:pPr>
    </w:p>
    <w:p>
      <w:pPr>
        <w:jc w:val="center"/>
        <w:ind w:right="-159"/>
        <w:spacing w:after="0"/>
        <w:rPr>
          <w:sz w:val="20"/>
          <w:szCs w:val="20"/>
          <w:color w:val="auto"/>
        </w:rPr>
      </w:pPr>
      <w:r>
        <w:rPr>
          <w:rFonts w:ascii="Arial" w:cs="Arial" w:eastAsia="Arial" w:hAnsi="Arial"/>
          <w:sz w:val="20"/>
          <w:szCs w:val="20"/>
          <w:b w:val="1"/>
          <w:bCs w:val="1"/>
          <w:color w:val="auto"/>
        </w:rPr>
        <w:t>Washington, D.C. 20549</w:t>
      </w:r>
    </w:p>
    <w:p>
      <w:pPr>
        <w:spacing w:after="0" w:line="13" w:lineRule="exact"/>
        <w:rPr>
          <w:sz w:val="24"/>
          <w:szCs w:val="24"/>
          <w:color w:val="auto"/>
        </w:rPr>
      </w:pPr>
    </w:p>
    <w:p>
      <w:pPr>
        <w:jc w:val="center"/>
        <w:ind w:right="-159"/>
        <w:spacing w:after="0"/>
        <w:rPr>
          <w:sz w:val="20"/>
          <w:szCs w:val="20"/>
          <w:color w:val="auto"/>
        </w:rPr>
      </w:pPr>
      <w:r>
        <w:rPr>
          <w:rFonts w:ascii="Arial" w:cs="Arial" w:eastAsia="Arial" w:hAnsi="Arial"/>
          <w:sz w:val="21"/>
          <w:szCs w:val="21"/>
          <w:b w:val="1"/>
          <w:bCs w:val="1"/>
          <w:color w:val="auto"/>
        </w:rPr>
        <w:t>FORM 10-Q</w:t>
      </w:r>
    </w:p>
    <w:p>
      <w:pPr>
        <w:ind w:left="1980" w:hanging="210"/>
        <w:spacing w:after="0"/>
        <w:tabs>
          <w:tab w:leader="none" w:pos="19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8" w:lineRule="exact"/>
        <w:rPr>
          <w:sz w:val="24"/>
          <w:szCs w:val="24"/>
          <w:color w:val="auto"/>
        </w:rPr>
      </w:pPr>
    </w:p>
    <w:p>
      <w:pPr>
        <w:jc w:val="center"/>
        <w:ind w:right="-159"/>
        <w:spacing w:after="0"/>
        <w:rPr>
          <w:sz w:val="20"/>
          <w:szCs w:val="20"/>
          <w:color w:val="auto"/>
        </w:rPr>
      </w:pPr>
      <w:r>
        <w:rPr>
          <w:rFonts w:ascii="Arial" w:cs="Arial" w:eastAsia="Arial" w:hAnsi="Arial"/>
          <w:sz w:val="23"/>
          <w:szCs w:val="23"/>
          <w:b w:val="1"/>
          <w:bCs w:val="1"/>
          <w:color w:val="auto"/>
        </w:rPr>
        <w:t>For the Quarterly Period Ended March 31, 2026</w:t>
      </w:r>
    </w:p>
    <w:p>
      <w:pPr>
        <w:spacing w:after="0" w:line="17" w:lineRule="exact"/>
        <w:rPr>
          <w:sz w:val="24"/>
          <w:szCs w:val="24"/>
          <w:color w:val="auto"/>
        </w:rPr>
      </w:pPr>
    </w:p>
    <w:p>
      <w:pPr>
        <w:jc w:val="center"/>
        <w:ind w:right="-159"/>
        <w:spacing w:after="0"/>
        <w:rPr>
          <w:sz w:val="20"/>
          <w:szCs w:val="20"/>
          <w:color w:val="auto"/>
        </w:rPr>
      </w:pPr>
      <w:r>
        <w:rPr>
          <w:rFonts w:ascii="Arial" w:cs="Arial" w:eastAsia="Arial" w:hAnsi="Arial"/>
          <w:sz w:val="16"/>
          <w:szCs w:val="16"/>
          <w:color w:val="auto"/>
        </w:rPr>
        <w:t>or</w:t>
      </w:r>
    </w:p>
    <w:p>
      <w:pPr>
        <w:spacing w:after="0" w:line="12" w:lineRule="exact"/>
        <w:rPr>
          <w:sz w:val="24"/>
          <w:szCs w:val="24"/>
          <w:color w:val="auto"/>
        </w:rPr>
      </w:pPr>
    </w:p>
    <w:p>
      <w:pPr>
        <w:jc w:val="center"/>
        <w:ind w:left="3920" w:right="1580" w:hanging="2181"/>
        <w:spacing w:after="0" w:line="271" w:lineRule="auto"/>
        <w:tabs>
          <w:tab w:leader="none" w:pos="1952"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Transition Report Pursuant to Section 13 or 15(d) of the Securities Exchange Act of 1934 </w:t>
      </w:r>
      <w:r>
        <w:rPr>
          <w:rFonts w:ascii="Arial" w:cs="Arial" w:eastAsia="Arial" w:hAnsi="Arial"/>
          <w:sz w:val="18"/>
          <w:szCs w:val="18"/>
          <w:color w:val="auto"/>
        </w:rPr>
        <w:t>For the transition period from ____ to ____</w:t>
      </w:r>
    </w:p>
    <w:p>
      <w:pPr>
        <w:spacing w:after="0" w:line="190" w:lineRule="exact"/>
        <w:rPr>
          <w:sz w:val="24"/>
          <w:szCs w:val="24"/>
          <w:color w:val="auto"/>
        </w:rPr>
      </w:pPr>
    </w:p>
    <w:p>
      <w:pPr>
        <w:jc w:val="center"/>
        <w:ind w:right="-159"/>
        <w:spacing w:after="0"/>
        <w:rPr>
          <w:sz w:val="20"/>
          <w:szCs w:val="20"/>
          <w:color w:val="auto"/>
        </w:rPr>
      </w:pPr>
      <w:r>
        <w:rPr>
          <w:rFonts w:ascii="Arial" w:cs="Arial" w:eastAsia="Arial" w:hAnsi="Arial"/>
          <w:sz w:val="17"/>
          <w:szCs w:val="17"/>
          <w:b w:val="1"/>
          <w:bCs w:val="1"/>
          <w:color w:val="auto"/>
        </w:rPr>
        <w:t>Commission File No. 1-13653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2456815</wp:posOffset>
            </wp:positionH>
            <wp:positionV relativeFrom="paragraph">
              <wp:posOffset>172720</wp:posOffset>
            </wp:positionV>
            <wp:extent cx="2228850" cy="1140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228850" cy="11404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003366"/>
        </w:rPr>
        <w:t>AMERICAN FINANCIAL GROUP, INC.</w:t>
      </w:r>
    </w:p>
    <w:p>
      <w:pPr>
        <w:spacing w:after="0" w:line="137" w:lineRule="exact"/>
        <w:rPr>
          <w:sz w:val="24"/>
          <w:szCs w:val="24"/>
          <w:color w:val="auto"/>
        </w:rPr>
      </w:pPr>
    </w:p>
    <w:p>
      <w:pPr>
        <w:ind w:left="1020"/>
        <w:spacing w:after="0"/>
        <w:tabs>
          <w:tab w:leader="none" w:pos="7360" w:val="left"/>
        </w:tabs>
        <w:rPr>
          <w:sz w:val="20"/>
          <w:szCs w:val="20"/>
          <w:color w:val="auto"/>
        </w:rPr>
      </w:pPr>
      <w:r>
        <w:rPr>
          <w:rFonts w:ascii="Arial" w:cs="Arial" w:eastAsia="Arial" w:hAnsi="Arial"/>
          <w:sz w:val="18"/>
          <w:szCs w:val="18"/>
          <w:b w:val="1"/>
          <w:bCs w:val="1"/>
          <w:color w:val="auto"/>
        </w:rPr>
        <w:t>Incorporated under the Laws of Ohio</w:t>
      </w:r>
      <w:r>
        <w:rPr>
          <w:sz w:val="20"/>
          <w:szCs w:val="20"/>
          <w:color w:val="auto"/>
        </w:rPr>
        <w:tab/>
      </w:r>
      <w:r>
        <w:rPr>
          <w:rFonts w:ascii="Arial" w:cs="Arial" w:eastAsia="Arial" w:hAnsi="Arial"/>
          <w:sz w:val="17"/>
          <w:szCs w:val="17"/>
          <w:b w:val="1"/>
          <w:bCs w:val="1"/>
          <w:color w:val="auto"/>
        </w:rPr>
        <w:t>IRS Employer I.D. No. 31-1544320</w:t>
      </w:r>
    </w:p>
    <w:p>
      <w:pPr>
        <w:spacing w:after="0" w:line="63"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301 East Fourth Street, Cincinnati, Ohio 45202</w:t>
      </w:r>
    </w:p>
    <w:p>
      <w:pPr>
        <w:spacing w:after="0" w:line="63"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(513) 579-2121</w:t>
      </w:r>
    </w:p>
    <w:p>
      <w:pPr>
        <w:spacing w:after="0" w:line="122" w:lineRule="exact"/>
        <w:rPr>
          <w:sz w:val="24"/>
          <w:szCs w:val="24"/>
          <w:color w:val="auto"/>
        </w:rPr>
      </w:pPr>
    </w:p>
    <w:p>
      <w:pPr>
        <w:ind w:left="20"/>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61" w:lineRule="exact"/>
        <w:rPr>
          <w:sz w:val="24"/>
          <w:szCs w:val="24"/>
          <w:color w:val="auto"/>
        </w:rPr>
      </w:pPr>
    </w:p>
    <w:tbl>
      <w:tblPr>
        <w:tblLayout w:type="fixed"/>
        <w:tblInd w:w="260" w:type="dxa"/>
        <w:tblCellMar>
          <w:top w:w="0" w:type="dxa"/>
          <w:left w:w="0" w:type="dxa"/>
          <w:bottom w:w="0" w:type="dxa"/>
          <w:right w:w="0" w:type="dxa"/>
        </w:tblCellMar>
      </w:tblPr>
      <w:tr>
        <w:trPr>
          <w:trHeight w:val="161"/>
        </w:trPr>
        <w:tc>
          <w:tcPr>
            <w:tcW w:w="5320" w:type="dxa"/>
            <w:vAlign w:val="bottom"/>
            <w:gridSpan w:val="3"/>
          </w:tcPr>
          <w:p>
            <w:pPr>
              <w:spacing w:after="0"/>
              <w:rPr>
                <w:sz w:val="20"/>
                <w:szCs w:val="20"/>
                <w:color w:val="auto"/>
              </w:rPr>
            </w:pPr>
            <w:r>
              <w:rPr>
                <w:rFonts w:ascii="Arial" w:cs="Arial" w:eastAsia="Arial" w:hAnsi="Arial"/>
                <w:sz w:val="14"/>
                <w:szCs w:val="14"/>
                <w:color w:val="auto"/>
              </w:rPr>
              <w:t>Title of Each Class</w:t>
            </w:r>
          </w:p>
        </w:tc>
        <w:tc>
          <w:tcPr>
            <w:tcW w:w="1440" w:type="dxa"/>
            <w:vAlign w:val="bottom"/>
            <w:gridSpan w:val="2"/>
          </w:tcPr>
          <w:p>
            <w:pPr>
              <w:spacing w:after="0"/>
              <w:rPr>
                <w:sz w:val="20"/>
                <w:szCs w:val="20"/>
                <w:color w:val="auto"/>
              </w:rPr>
            </w:pPr>
            <w:r>
              <w:rPr>
                <w:rFonts w:ascii="Arial" w:cs="Arial" w:eastAsia="Arial" w:hAnsi="Arial"/>
                <w:sz w:val="14"/>
                <w:szCs w:val="14"/>
                <w:color w:val="auto"/>
              </w:rPr>
              <w:t>Trading Symbol(s)</w:t>
            </w:r>
          </w:p>
        </w:tc>
        <w:tc>
          <w:tcPr>
            <w:tcW w:w="3220" w:type="dxa"/>
            <w:vAlign w:val="bottom"/>
            <w:gridSpan w:val="2"/>
          </w:tcPr>
          <w:p>
            <w:pPr>
              <w:ind w:left="260"/>
              <w:spacing w:after="0"/>
              <w:rPr>
                <w:sz w:val="20"/>
                <w:szCs w:val="20"/>
                <w:color w:val="auto"/>
              </w:rPr>
            </w:pPr>
            <w:r>
              <w:rPr>
                <w:rFonts w:ascii="Arial" w:cs="Arial" w:eastAsia="Arial" w:hAnsi="Arial"/>
                <w:sz w:val="14"/>
                <w:szCs w:val="14"/>
                <w:color w:val="auto"/>
              </w:rPr>
              <w:t>Name of Each Exchange on Which Registered</w:t>
            </w:r>
          </w:p>
        </w:tc>
      </w:tr>
      <w:tr>
        <w:trPr>
          <w:trHeight w:val="20"/>
        </w:trPr>
        <w:tc>
          <w:tcPr>
            <w:tcW w:w="1180" w:type="dxa"/>
            <w:vAlign w:val="bottom"/>
            <w:gridSpan w:val="2"/>
            <w:shd w:val="clear" w:color="auto" w:fill="000000"/>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960" w:type="dxa"/>
            <w:vAlign w:val="bottom"/>
            <w:shd w:val="clear" w:color="auto" w:fill="000000"/>
          </w:tcPr>
          <w:p>
            <w:pPr>
              <w:spacing w:after="0" w:line="20" w:lineRule="exact"/>
              <w:rPr>
                <w:sz w:val="1"/>
                <w:szCs w:val="1"/>
                <w:color w:val="auto"/>
              </w:rPr>
            </w:pPr>
          </w:p>
        </w:tc>
      </w:tr>
      <w:tr>
        <w:trPr>
          <w:trHeight w:val="242"/>
        </w:trPr>
        <w:tc>
          <w:tcPr>
            <w:tcW w:w="1180" w:type="dxa"/>
            <w:vAlign w:val="bottom"/>
            <w:gridSpan w:val="2"/>
          </w:tcPr>
          <w:p>
            <w:pPr>
              <w:spacing w:after="0"/>
              <w:rPr>
                <w:sz w:val="20"/>
                <w:szCs w:val="20"/>
                <w:color w:val="auto"/>
              </w:rPr>
            </w:pPr>
            <w:r>
              <w:rPr>
                <w:rFonts w:ascii="Arial" w:cs="Arial" w:eastAsia="Arial" w:hAnsi="Arial"/>
                <w:sz w:val="14"/>
                <w:szCs w:val="14"/>
                <w:color w:val="auto"/>
              </w:rPr>
              <w:t>Common Stock</w:t>
            </w:r>
          </w:p>
        </w:tc>
        <w:tc>
          <w:tcPr>
            <w:tcW w:w="4140" w:type="dxa"/>
            <w:vAlign w:val="bottom"/>
          </w:tcPr>
          <w:p>
            <w:pPr>
              <w:spacing w:after="0"/>
              <w:rPr>
                <w:sz w:val="21"/>
                <w:szCs w:val="21"/>
                <w:color w:val="auto"/>
              </w:rPr>
            </w:pPr>
          </w:p>
        </w:tc>
        <w:tc>
          <w:tcPr>
            <w:tcW w:w="1180" w:type="dxa"/>
            <w:vAlign w:val="bottom"/>
          </w:tcPr>
          <w:p>
            <w:pPr>
              <w:spacing w:after="0"/>
              <w:rPr>
                <w:sz w:val="20"/>
                <w:szCs w:val="20"/>
                <w:color w:val="auto"/>
              </w:rPr>
            </w:pPr>
            <w:r>
              <w:rPr>
                <w:rFonts w:ascii="Arial" w:cs="Arial" w:eastAsia="Arial" w:hAnsi="Arial"/>
                <w:sz w:val="14"/>
                <w:szCs w:val="14"/>
                <w:color w:val="auto"/>
              </w:rPr>
              <w:t>AFG</w:t>
            </w:r>
          </w:p>
        </w:tc>
        <w:tc>
          <w:tcPr>
            <w:tcW w:w="260" w:type="dxa"/>
            <w:vAlign w:val="bottom"/>
          </w:tcPr>
          <w:p>
            <w:pPr>
              <w:spacing w:after="0"/>
              <w:rPr>
                <w:sz w:val="21"/>
                <w:szCs w:val="21"/>
                <w:color w:val="auto"/>
              </w:rPr>
            </w:pPr>
          </w:p>
        </w:tc>
        <w:tc>
          <w:tcPr>
            <w:tcW w:w="3220" w:type="dxa"/>
            <w:vAlign w:val="bottom"/>
            <w:gridSpan w:val="2"/>
          </w:tcPr>
          <w:p>
            <w:pPr>
              <w:ind w:left="260"/>
              <w:spacing w:after="0"/>
              <w:rPr>
                <w:sz w:val="20"/>
                <w:szCs w:val="20"/>
                <w:color w:val="auto"/>
              </w:rPr>
            </w:pPr>
            <w:r>
              <w:rPr>
                <w:rFonts w:ascii="Arial" w:cs="Arial" w:eastAsia="Arial" w:hAnsi="Arial"/>
                <w:sz w:val="14"/>
                <w:szCs w:val="14"/>
                <w:color w:val="auto"/>
              </w:rPr>
              <w:t>New York Stock Exchange</w:t>
            </w:r>
          </w:p>
        </w:tc>
      </w:tr>
      <w:tr>
        <w:trPr>
          <w:trHeight w:val="229"/>
        </w:trPr>
        <w:tc>
          <w:tcPr>
            <w:tcW w:w="500" w:type="dxa"/>
            <w:vAlign w:val="bottom"/>
          </w:tcPr>
          <w:p>
            <w:pPr>
              <w:spacing w:after="0"/>
              <w:rPr>
                <w:sz w:val="20"/>
                <w:szCs w:val="20"/>
                <w:color w:val="auto"/>
              </w:rPr>
            </w:pPr>
            <w:r>
              <w:rPr>
                <w:rFonts w:ascii="Arial" w:cs="Arial" w:eastAsia="Arial" w:hAnsi="Arial"/>
                <w:sz w:val="14"/>
                <w:szCs w:val="14"/>
                <w:color w:val="auto"/>
              </w:rPr>
              <w:t>5.875%</w:t>
            </w:r>
          </w:p>
        </w:tc>
        <w:tc>
          <w:tcPr>
            <w:tcW w:w="4820" w:type="dxa"/>
            <w:vAlign w:val="bottom"/>
            <w:gridSpan w:val="2"/>
          </w:tcPr>
          <w:p>
            <w:pPr>
              <w:ind w:left="20"/>
              <w:spacing w:after="0"/>
              <w:rPr>
                <w:sz w:val="20"/>
                <w:szCs w:val="20"/>
                <w:color w:val="auto"/>
              </w:rPr>
            </w:pPr>
            <w:r>
              <w:rPr>
                <w:rFonts w:ascii="Arial" w:cs="Arial" w:eastAsia="Arial" w:hAnsi="Arial"/>
                <w:sz w:val="14"/>
                <w:szCs w:val="14"/>
                <w:color w:val="auto"/>
              </w:rPr>
              <w:t>Subordinated Debentures due March 30, 2059</w:t>
            </w:r>
          </w:p>
        </w:tc>
        <w:tc>
          <w:tcPr>
            <w:tcW w:w="1440" w:type="dxa"/>
            <w:vAlign w:val="bottom"/>
            <w:gridSpan w:val="2"/>
          </w:tcPr>
          <w:p>
            <w:pPr>
              <w:spacing w:after="0"/>
              <w:rPr>
                <w:sz w:val="20"/>
                <w:szCs w:val="20"/>
                <w:color w:val="auto"/>
              </w:rPr>
            </w:pPr>
            <w:r>
              <w:rPr>
                <w:rFonts w:ascii="Arial" w:cs="Arial" w:eastAsia="Arial" w:hAnsi="Arial"/>
                <w:sz w:val="14"/>
                <w:szCs w:val="14"/>
                <w:color w:val="auto"/>
              </w:rPr>
              <w:t>AFGB</w:t>
            </w:r>
          </w:p>
        </w:tc>
        <w:tc>
          <w:tcPr>
            <w:tcW w:w="3220" w:type="dxa"/>
            <w:vAlign w:val="bottom"/>
            <w:gridSpan w:val="2"/>
          </w:tcPr>
          <w:p>
            <w:pPr>
              <w:ind w:left="260"/>
              <w:spacing w:after="0"/>
              <w:rPr>
                <w:sz w:val="20"/>
                <w:szCs w:val="20"/>
                <w:color w:val="auto"/>
              </w:rPr>
            </w:pPr>
            <w:r>
              <w:rPr>
                <w:rFonts w:ascii="Arial" w:cs="Arial" w:eastAsia="Arial" w:hAnsi="Arial"/>
                <w:sz w:val="14"/>
                <w:szCs w:val="14"/>
                <w:color w:val="auto"/>
              </w:rPr>
              <w:t>New York Stock Exchange</w:t>
            </w:r>
          </w:p>
        </w:tc>
      </w:tr>
      <w:tr>
        <w:trPr>
          <w:trHeight w:val="230"/>
        </w:trPr>
        <w:tc>
          <w:tcPr>
            <w:tcW w:w="500" w:type="dxa"/>
            <w:vAlign w:val="bottom"/>
          </w:tcPr>
          <w:p>
            <w:pPr>
              <w:spacing w:after="0"/>
              <w:rPr>
                <w:sz w:val="20"/>
                <w:szCs w:val="20"/>
                <w:color w:val="auto"/>
              </w:rPr>
            </w:pPr>
            <w:r>
              <w:rPr>
                <w:rFonts w:ascii="Arial" w:cs="Arial" w:eastAsia="Arial" w:hAnsi="Arial"/>
                <w:sz w:val="14"/>
                <w:szCs w:val="14"/>
                <w:color w:val="auto"/>
              </w:rPr>
              <w:t>5.625%</w:t>
            </w:r>
          </w:p>
        </w:tc>
        <w:tc>
          <w:tcPr>
            <w:tcW w:w="4820" w:type="dxa"/>
            <w:vAlign w:val="bottom"/>
            <w:gridSpan w:val="2"/>
          </w:tcPr>
          <w:p>
            <w:pPr>
              <w:ind w:left="20"/>
              <w:spacing w:after="0"/>
              <w:rPr>
                <w:sz w:val="20"/>
                <w:szCs w:val="20"/>
                <w:color w:val="auto"/>
              </w:rPr>
            </w:pPr>
            <w:r>
              <w:rPr>
                <w:rFonts w:ascii="Arial" w:cs="Arial" w:eastAsia="Arial" w:hAnsi="Arial"/>
                <w:sz w:val="14"/>
                <w:szCs w:val="14"/>
                <w:color w:val="auto"/>
              </w:rPr>
              <w:t>Subordinated Debentures due June 1, 2060</w:t>
            </w:r>
          </w:p>
        </w:tc>
        <w:tc>
          <w:tcPr>
            <w:tcW w:w="1440" w:type="dxa"/>
            <w:vAlign w:val="bottom"/>
            <w:gridSpan w:val="2"/>
          </w:tcPr>
          <w:p>
            <w:pPr>
              <w:spacing w:after="0"/>
              <w:rPr>
                <w:sz w:val="20"/>
                <w:szCs w:val="20"/>
                <w:color w:val="auto"/>
              </w:rPr>
            </w:pPr>
            <w:r>
              <w:rPr>
                <w:rFonts w:ascii="Arial" w:cs="Arial" w:eastAsia="Arial" w:hAnsi="Arial"/>
                <w:sz w:val="14"/>
                <w:szCs w:val="14"/>
                <w:color w:val="auto"/>
              </w:rPr>
              <w:t>AFGD</w:t>
            </w:r>
          </w:p>
        </w:tc>
        <w:tc>
          <w:tcPr>
            <w:tcW w:w="3220" w:type="dxa"/>
            <w:vAlign w:val="bottom"/>
            <w:gridSpan w:val="2"/>
          </w:tcPr>
          <w:p>
            <w:pPr>
              <w:ind w:left="260"/>
              <w:spacing w:after="0"/>
              <w:rPr>
                <w:sz w:val="20"/>
                <w:szCs w:val="20"/>
                <w:color w:val="auto"/>
              </w:rPr>
            </w:pPr>
            <w:r>
              <w:rPr>
                <w:rFonts w:ascii="Arial" w:cs="Arial" w:eastAsia="Arial" w:hAnsi="Arial"/>
                <w:sz w:val="14"/>
                <w:szCs w:val="14"/>
                <w:color w:val="auto"/>
              </w:rPr>
              <w:t>New York Stock Exchange</w:t>
            </w:r>
          </w:p>
        </w:tc>
      </w:tr>
      <w:tr>
        <w:trPr>
          <w:trHeight w:val="230"/>
        </w:trPr>
        <w:tc>
          <w:tcPr>
            <w:tcW w:w="500" w:type="dxa"/>
            <w:vAlign w:val="bottom"/>
          </w:tcPr>
          <w:p>
            <w:pPr>
              <w:spacing w:after="0"/>
              <w:rPr>
                <w:sz w:val="20"/>
                <w:szCs w:val="20"/>
                <w:color w:val="auto"/>
              </w:rPr>
            </w:pPr>
            <w:r>
              <w:rPr>
                <w:rFonts w:ascii="Arial" w:cs="Arial" w:eastAsia="Arial" w:hAnsi="Arial"/>
                <w:sz w:val="14"/>
                <w:szCs w:val="14"/>
                <w:color w:val="auto"/>
              </w:rPr>
              <w:t>5.125%</w:t>
            </w:r>
          </w:p>
        </w:tc>
        <w:tc>
          <w:tcPr>
            <w:tcW w:w="4820" w:type="dxa"/>
            <w:vAlign w:val="bottom"/>
            <w:gridSpan w:val="2"/>
          </w:tcPr>
          <w:p>
            <w:pPr>
              <w:ind w:left="20"/>
              <w:spacing w:after="0"/>
              <w:rPr>
                <w:sz w:val="20"/>
                <w:szCs w:val="20"/>
                <w:color w:val="auto"/>
              </w:rPr>
            </w:pPr>
            <w:r>
              <w:rPr>
                <w:rFonts w:ascii="Arial" w:cs="Arial" w:eastAsia="Arial" w:hAnsi="Arial"/>
                <w:sz w:val="14"/>
                <w:szCs w:val="14"/>
                <w:color w:val="auto"/>
              </w:rPr>
              <w:t>Subordinated Debentures due December 15, 2059</w:t>
            </w:r>
          </w:p>
        </w:tc>
        <w:tc>
          <w:tcPr>
            <w:tcW w:w="1440" w:type="dxa"/>
            <w:vAlign w:val="bottom"/>
            <w:gridSpan w:val="2"/>
          </w:tcPr>
          <w:p>
            <w:pPr>
              <w:spacing w:after="0"/>
              <w:rPr>
                <w:sz w:val="20"/>
                <w:szCs w:val="20"/>
                <w:color w:val="auto"/>
              </w:rPr>
            </w:pPr>
            <w:r>
              <w:rPr>
                <w:rFonts w:ascii="Arial" w:cs="Arial" w:eastAsia="Arial" w:hAnsi="Arial"/>
                <w:sz w:val="14"/>
                <w:szCs w:val="14"/>
                <w:color w:val="auto"/>
              </w:rPr>
              <w:t>AFGC</w:t>
            </w:r>
          </w:p>
        </w:tc>
        <w:tc>
          <w:tcPr>
            <w:tcW w:w="3220" w:type="dxa"/>
            <w:vAlign w:val="bottom"/>
            <w:gridSpan w:val="2"/>
          </w:tcPr>
          <w:p>
            <w:pPr>
              <w:ind w:left="260"/>
              <w:spacing w:after="0"/>
              <w:rPr>
                <w:sz w:val="20"/>
                <w:szCs w:val="20"/>
                <w:color w:val="auto"/>
              </w:rPr>
            </w:pPr>
            <w:r>
              <w:rPr>
                <w:rFonts w:ascii="Arial" w:cs="Arial" w:eastAsia="Arial" w:hAnsi="Arial"/>
                <w:sz w:val="14"/>
                <w:szCs w:val="14"/>
                <w:color w:val="auto"/>
              </w:rPr>
              <w:t>New York Stock Exchange</w:t>
            </w:r>
          </w:p>
        </w:tc>
      </w:tr>
      <w:tr>
        <w:trPr>
          <w:trHeight w:val="230"/>
        </w:trPr>
        <w:tc>
          <w:tcPr>
            <w:tcW w:w="5320" w:type="dxa"/>
            <w:vAlign w:val="bottom"/>
            <w:gridSpan w:val="3"/>
          </w:tcPr>
          <w:p>
            <w:pPr>
              <w:spacing w:after="0"/>
              <w:rPr>
                <w:sz w:val="20"/>
                <w:szCs w:val="20"/>
                <w:color w:val="auto"/>
              </w:rPr>
            </w:pPr>
            <w:r>
              <w:rPr>
                <w:rFonts w:ascii="Arial" w:cs="Arial" w:eastAsia="Arial" w:hAnsi="Arial"/>
                <w:sz w:val="14"/>
                <w:szCs w:val="14"/>
                <w:color w:val="auto"/>
              </w:rPr>
              <w:t>4.50% Subordinated Debentures due September 15, 2060</w:t>
            </w:r>
          </w:p>
        </w:tc>
        <w:tc>
          <w:tcPr>
            <w:tcW w:w="1440" w:type="dxa"/>
            <w:vAlign w:val="bottom"/>
            <w:gridSpan w:val="2"/>
          </w:tcPr>
          <w:p>
            <w:pPr>
              <w:spacing w:after="0"/>
              <w:rPr>
                <w:sz w:val="20"/>
                <w:szCs w:val="20"/>
                <w:color w:val="auto"/>
              </w:rPr>
            </w:pPr>
            <w:r>
              <w:rPr>
                <w:rFonts w:ascii="Arial" w:cs="Arial" w:eastAsia="Arial" w:hAnsi="Arial"/>
                <w:sz w:val="14"/>
                <w:szCs w:val="14"/>
                <w:color w:val="auto"/>
              </w:rPr>
              <w:t>AFGE</w:t>
            </w:r>
          </w:p>
        </w:tc>
        <w:tc>
          <w:tcPr>
            <w:tcW w:w="3220" w:type="dxa"/>
            <w:vAlign w:val="bottom"/>
            <w:gridSpan w:val="2"/>
          </w:tcPr>
          <w:p>
            <w:pPr>
              <w:ind w:left="260"/>
              <w:spacing w:after="0"/>
              <w:rPr>
                <w:sz w:val="20"/>
                <w:szCs w:val="20"/>
                <w:color w:val="auto"/>
              </w:rPr>
            </w:pPr>
            <w:r>
              <w:rPr>
                <w:rFonts w:ascii="Arial" w:cs="Arial" w:eastAsia="Arial" w:hAnsi="Arial"/>
                <w:sz w:val="14"/>
                <w:szCs w:val="14"/>
                <w:color w:val="auto"/>
              </w:rPr>
              <w:t>New York Stock Exchange</w:t>
            </w:r>
          </w:p>
        </w:tc>
      </w:tr>
    </w:tbl>
    <w:p>
      <w:pPr>
        <w:spacing w:after="0" w:line="151" w:lineRule="exact"/>
        <w:rPr>
          <w:sz w:val="24"/>
          <w:szCs w:val="24"/>
          <w:color w:val="auto"/>
        </w:rPr>
      </w:pPr>
    </w:p>
    <w:p>
      <w:pPr>
        <w:spacing w:after="0" w:line="239"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98" w:lineRule="exact"/>
        <w:rPr>
          <w:sz w:val="24"/>
          <w:szCs w:val="24"/>
          <w:color w:val="auto"/>
        </w:rPr>
      </w:pPr>
    </w:p>
    <w:p>
      <w:pPr>
        <w:spacing w:after="0" w:line="239"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during the preceding 12 months.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97" w:lineRule="exact"/>
        <w:rPr>
          <w:sz w:val="24"/>
          <w:szCs w:val="24"/>
          <w:color w:val="auto"/>
        </w:rPr>
      </w:pPr>
    </w:p>
    <w:p>
      <w:pPr>
        <w:jc w:val="both"/>
        <w:ind w:right="200"/>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1080"/>
          </w:cols>
          <w:pgMar w:left="320" w:top="1182" w:right="499" w:bottom="1440" w:gutter="0" w:footer="0" w:header="0"/>
        </w:sectPr>
      </w:pPr>
    </w:p>
    <w:p>
      <w:pPr>
        <w:spacing w:after="0" w:line="63" w:lineRule="exact"/>
        <w:rPr>
          <w:sz w:val="24"/>
          <w:szCs w:val="24"/>
          <w:color w:val="auto"/>
        </w:rPr>
      </w:pPr>
    </w:p>
    <w:p>
      <w:pPr>
        <w:ind w:left="1640"/>
        <w:spacing w:after="0"/>
        <w:rPr>
          <w:sz w:val="20"/>
          <w:szCs w:val="20"/>
          <w:color w:val="auto"/>
        </w:rPr>
      </w:pPr>
      <w:r>
        <w:rPr>
          <w:rFonts w:ascii="Arial" w:cs="Arial" w:eastAsia="Arial" w:hAnsi="Arial"/>
          <w:sz w:val="17"/>
          <w:szCs w:val="17"/>
          <w:color w:val="auto"/>
        </w:rPr>
        <w:t>Large accelerated filer</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spacing w:after="0"/>
        <w:rPr>
          <w:sz w:val="20"/>
          <w:szCs w:val="20"/>
          <w:color w:val="auto"/>
        </w:rPr>
      </w:pPr>
      <w:r>
        <w:rPr>
          <w:rFonts w:ascii="Arial" w:cs="Arial" w:eastAsia="Arial" w:hAnsi="Arial"/>
          <w:sz w:val="17"/>
          <w:szCs w:val="17"/>
          <w:color w:val="auto"/>
        </w:rPr>
        <w:t>Non-accelerated filer</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42" w:lineRule="exact"/>
        <w:rPr>
          <w:sz w:val="24"/>
          <w:szCs w:val="24"/>
          <w:color w:val="auto"/>
        </w:rPr>
      </w:pPr>
    </w:p>
    <w:p>
      <w:pPr>
        <w:sectPr>
          <w:pgSz w:w="11900" w:h="16838" w:orient="portrait"/>
          <w:cols w:equalWidth="0" w:num="6">
            <w:col w:w="3420" w:space="100"/>
            <w:col w:w="640" w:space="720"/>
            <w:col w:w="1280" w:space="100"/>
            <w:col w:w="700" w:space="720"/>
            <w:col w:w="1660" w:space="100"/>
            <w:col w:w="1640"/>
          </w:cols>
          <w:pgMar w:left="320" w:top="1182" w:right="499" w:bottom="1440" w:gutter="0" w:footer="0" w:header="0"/>
          <w:type w:val="continuous"/>
        </w:sectPr>
      </w:pPr>
    </w:p>
    <w:p>
      <w:pPr>
        <w:spacing w:after="0" w:line="21" w:lineRule="exact"/>
        <w:rPr>
          <w:sz w:val="24"/>
          <w:szCs w:val="24"/>
          <w:color w:val="auto"/>
        </w:rPr>
      </w:pPr>
    </w:p>
    <w:p>
      <w:pPr>
        <w:ind w:left="2800"/>
        <w:spacing w:after="0"/>
        <w:rPr>
          <w:sz w:val="20"/>
          <w:szCs w:val="20"/>
          <w:color w:val="auto"/>
        </w:rPr>
      </w:pPr>
      <w:r>
        <w:rPr>
          <w:rFonts w:ascii="Arial" w:cs="Arial" w:eastAsia="Arial" w:hAnsi="Arial"/>
          <w:sz w:val="17"/>
          <w:szCs w:val="17"/>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rPr>
          <w:sz w:val="20"/>
          <w:szCs w:val="20"/>
          <w:color w:val="auto"/>
        </w:rPr>
      </w:pPr>
      <w:r>
        <w:rPr>
          <w:rFonts w:ascii="Arial" w:cs="Arial" w:eastAsia="Arial" w:hAnsi="Arial"/>
          <w:sz w:val="17"/>
          <w:szCs w:val="17"/>
          <w:color w:val="auto"/>
        </w:rPr>
        <w:t>Emerging growth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98" w:lineRule="exact"/>
        <w:rPr>
          <w:sz w:val="24"/>
          <w:szCs w:val="24"/>
          <w:color w:val="auto"/>
        </w:rPr>
      </w:pPr>
    </w:p>
    <w:p>
      <w:pPr>
        <w:sectPr>
          <w:pgSz w:w="11900" w:h="16838" w:orient="portrait"/>
          <w:cols w:equalWidth="0" w:num="4">
            <w:col w:w="4940" w:space="100"/>
            <w:col w:w="300" w:space="720"/>
            <w:col w:w="2140" w:space="80"/>
            <w:col w:w="2800"/>
          </w:cols>
          <w:pgMar w:left="320" w:top="1182" w:right="499" w:bottom="1440" w:gutter="0" w:footer="0" w:header="0"/>
          <w:type w:val="continuous"/>
        </w:sectPr>
      </w:pPr>
    </w:p>
    <w:p>
      <w:pPr>
        <w:ind w:right="40"/>
        <w:spacing w:after="0" w:line="23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7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17" w:lineRule="exact"/>
        <w:rPr>
          <w:sz w:val="24"/>
          <w:szCs w:val="24"/>
          <w:color w:val="auto"/>
        </w:rPr>
      </w:pPr>
    </w:p>
    <w:p>
      <w:pPr>
        <w:ind w:right="140"/>
        <w:spacing w:after="0" w:line="287" w:lineRule="auto"/>
        <w:rPr>
          <w:sz w:val="20"/>
          <w:szCs w:val="20"/>
          <w:color w:val="auto"/>
        </w:rPr>
      </w:pPr>
      <w:r>
        <w:rPr>
          <w:rFonts w:ascii="Arial" w:cs="Arial" w:eastAsia="Arial" w:hAnsi="Arial"/>
          <w:sz w:val="18"/>
          <w:szCs w:val="18"/>
          <w:color w:val="auto"/>
        </w:rPr>
        <w:t>As of May 1, 2026, there were 83,086,083 shares of the Registrant’s Common Stock outstanding, excluding 14.9 million shares owned by subsidiaries.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739140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126365</wp:posOffset>
            </wp:positionV>
            <wp:extent cx="70891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080"/>
          </w:cols>
          <w:pgMar w:left="320" w:top="1182" w:right="4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820" w:type="dxa"/>
            <w:vAlign w:val="bottom"/>
          </w:tcPr>
          <w:p>
            <w:pPr>
              <w:spacing w:after="0"/>
              <w:rPr>
                <w:sz w:val="23"/>
                <w:szCs w:val="23"/>
                <w:color w:val="auto"/>
              </w:rPr>
            </w:pPr>
          </w:p>
        </w:tc>
        <w:tc>
          <w:tcPr>
            <w:tcW w:w="9980" w:type="dxa"/>
            <w:vAlign w:val="bottom"/>
          </w:tcPr>
          <w:p>
            <w:pPr>
              <w:ind w:left="2840"/>
              <w:spacing w:after="0"/>
              <w:rPr>
                <w:sz w:val="20"/>
                <w:szCs w:val="20"/>
                <w:color w:val="auto"/>
              </w:rPr>
            </w:pPr>
            <w:r>
              <w:rPr>
                <w:rFonts w:ascii="Arial" w:cs="Arial" w:eastAsia="Arial" w:hAnsi="Arial"/>
                <w:sz w:val="20"/>
                <w:szCs w:val="20"/>
                <w:b w:val="1"/>
                <w:bCs w:val="1"/>
                <w:color w:val="003366"/>
              </w:rPr>
              <w:t>AMERICAN FINANCIAL GROUP, INC. 10-Q</w:t>
            </w:r>
          </w:p>
        </w:tc>
        <w:tc>
          <w:tcPr>
            <w:tcW w:w="4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7"/>
        </w:trPr>
        <w:tc>
          <w:tcPr>
            <w:tcW w:w="820" w:type="dxa"/>
            <w:vAlign w:val="bottom"/>
          </w:tcPr>
          <w:p>
            <w:pPr>
              <w:spacing w:after="0"/>
              <w:rPr>
                <w:sz w:val="24"/>
                <w:szCs w:val="24"/>
                <w:color w:val="auto"/>
              </w:rPr>
            </w:pPr>
          </w:p>
        </w:tc>
        <w:tc>
          <w:tcPr>
            <w:tcW w:w="9980" w:type="dxa"/>
            <w:vAlign w:val="bottom"/>
          </w:tcPr>
          <w:p>
            <w:pPr>
              <w:ind w:left="3740"/>
              <w:spacing w:after="0"/>
              <w:rPr>
                <w:sz w:val="20"/>
                <w:szCs w:val="20"/>
                <w:color w:val="auto"/>
              </w:rPr>
            </w:pPr>
            <w:r>
              <w:rPr>
                <w:rFonts w:ascii="Arial" w:cs="Arial" w:eastAsia="Arial" w:hAnsi="Arial"/>
                <w:sz w:val="20"/>
                <w:szCs w:val="20"/>
                <w:b w:val="1"/>
                <w:bCs w:val="1"/>
                <w:color w:val="003366"/>
              </w:rPr>
              <w:t>TABLE OF CONTENTS</w:t>
            </w: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9"/>
        </w:trPr>
        <w:tc>
          <w:tcPr>
            <w:tcW w:w="108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0000FF"/>
              </w:rPr>
              <w:t>Part I — Financial Information</w:t>
            </w:r>
          </w:p>
        </w:tc>
        <w:tc>
          <w:tcPr>
            <w:tcW w:w="440" w:type="dxa"/>
            <w:vAlign w:val="bottom"/>
            <w:gridSpan w:val="2"/>
          </w:tcPr>
          <w:p>
            <w:pPr>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236"/>
        </w:trPr>
        <w:tc>
          <w:tcPr>
            <w:tcW w:w="10800" w:type="dxa"/>
            <w:vAlign w:val="bottom"/>
            <w:gridSpan w:val="2"/>
            <w:vMerge w:val="continue"/>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0800" w:type="dxa"/>
            <w:vAlign w:val="bottom"/>
            <w:gridSpan w:val="2"/>
          </w:tcPr>
          <w:p>
            <w:pPr>
              <w:ind w:left="360"/>
              <w:spacing w:after="0"/>
              <w:rPr>
                <w:sz w:val="20"/>
                <w:szCs w:val="20"/>
                <w:color w:val="auto"/>
              </w:rPr>
            </w:pPr>
            <w:r>
              <w:rPr>
                <w:rFonts w:ascii="Arial" w:cs="Arial" w:eastAsia="Arial" w:hAnsi="Arial"/>
                <w:sz w:val="16"/>
                <w:szCs w:val="16"/>
                <w:color w:val="0000FF"/>
              </w:rPr>
              <w:t>Item 1 — Financial Statements:</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0" w:type="dxa"/>
            <w:vAlign w:val="bottom"/>
            <w:gridSpan w:val="2"/>
          </w:tcPr>
          <w:p>
            <w:pPr>
              <w:ind w:left="680"/>
              <w:spacing w:after="0"/>
              <w:rPr>
                <w:sz w:val="20"/>
                <w:szCs w:val="20"/>
                <w:color w:val="auto"/>
              </w:rPr>
            </w:pPr>
            <w:r>
              <w:rPr>
                <w:rFonts w:ascii="Arial" w:cs="Arial" w:eastAsia="Arial" w:hAnsi="Arial"/>
                <w:sz w:val="16"/>
                <w:szCs w:val="16"/>
                <w:color w:val="0000FF"/>
              </w:rPr>
              <w:t>Consolidated Balance Sheet</w:t>
            </w:r>
          </w:p>
        </w:tc>
        <w:tc>
          <w:tcPr>
            <w:tcW w:w="400" w:type="dxa"/>
            <w:vAlign w:val="bottom"/>
          </w:tcPr>
          <w:p>
            <w:pPr>
              <w:jc w:val="right"/>
              <w:spacing w:after="0"/>
              <w:rPr>
                <w:sz w:val="20"/>
                <w:szCs w:val="20"/>
                <w:color w:val="auto"/>
              </w:rPr>
            </w:pPr>
            <w:r>
              <w:rPr>
                <w:rFonts w:ascii="Arial" w:cs="Arial" w:eastAsia="Arial" w:hAnsi="Arial"/>
                <w:sz w:val="16"/>
                <w:szCs w:val="16"/>
                <w:color w:val="0000FF"/>
              </w:rPr>
              <w:t>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0" w:type="dxa"/>
            <w:vAlign w:val="bottom"/>
            <w:gridSpan w:val="2"/>
          </w:tcPr>
          <w:p>
            <w:pPr>
              <w:ind w:left="680"/>
              <w:spacing w:after="0"/>
              <w:rPr>
                <w:sz w:val="20"/>
                <w:szCs w:val="20"/>
                <w:color w:val="auto"/>
              </w:rPr>
            </w:pPr>
            <w:r>
              <w:rPr>
                <w:rFonts w:ascii="Arial" w:cs="Arial" w:eastAsia="Arial" w:hAnsi="Arial"/>
                <w:sz w:val="16"/>
                <w:szCs w:val="16"/>
                <w:color w:val="0000FF"/>
              </w:rPr>
              <w:t>Consolidated Statement of Earnings</w:t>
            </w:r>
          </w:p>
        </w:tc>
        <w:tc>
          <w:tcPr>
            <w:tcW w:w="400" w:type="dxa"/>
            <w:vAlign w:val="bottom"/>
          </w:tcPr>
          <w:p>
            <w:pPr>
              <w:jc w:val="right"/>
              <w:spacing w:after="0"/>
              <w:rPr>
                <w:sz w:val="20"/>
                <w:szCs w:val="20"/>
                <w:color w:val="auto"/>
              </w:rPr>
            </w:pPr>
            <w:r>
              <w:rPr>
                <w:rFonts w:ascii="Arial" w:cs="Arial" w:eastAsia="Arial" w:hAnsi="Arial"/>
                <w:sz w:val="16"/>
                <w:szCs w:val="16"/>
                <w:color w:val="0000FF"/>
              </w:rPr>
              <w:t>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0" w:type="dxa"/>
            <w:vAlign w:val="bottom"/>
            <w:gridSpan w:val="2"/>
          </w:tcPr>
          <w:p>
            <w:pPr>
              <w:ind w:left="680"/>
              <w:spacing w:after="0"/>
              <w:rPr>
                <w:sz w:val="20"/>
                <w:szCs w:val="20"/>
                <w:color w:val="auto"/>
              </w:rPr>
            </w:pPr>
            <w:r>
              <w:rPr>
                <w:rFonts w:ascii="Arial" w:cs="Arial" w:eastAsia="Arial" w:hAnsi="Arial"/>
                <w:sz w:val="16"/>
                <w:szCs w:val="16"/>
                <w:color w:val="0000FF"/>
              </w:rPr>
              <w:t>Consolidated Statement of Comprehensive Income</w:t>
            </w:r>
          </w:p>
        </w:tc>
        <w:tc>
          <w:tcPr>
            <w:tcW w:w="400" w:type="dxa"/>
            <w:vAlign w:val="bottom"/>
          </w:tcPr>
          <w:p>
            <w:pPr>
              <w:jc w:val="right"/>
              <w:spacing w:after="0"/>
              <w:rPr>
                <w:sz w:val="20"/>
                <w:szCs w:val="20"/>
                <w:color w:val="auto"/>
              </w:rPr>
            </w:pPr>
            <w:r>
              <w:rPr>
                <w:rFonts w:ascii="Arial" w:cs="Arial" w:eastAsia="Arial" w:hAnsi="Arial"/>
                <w:sz w:val="16"/>
                <w:szCs w:val="16"/>
                <w:color w:val="0000FF"/>
              </w:rPr>
              <w:t>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0" w:type="dxa"/>
            <w:vAlign w:val="bottom"/>
            <w:gridSpan w:val="2"/>
          </w:tcPr>
          <w:p>
            <w:pPr>
              <w:ind w:left="680"/>
              <w:spacing w:after="0"/>
              <w:rPr>
                <w:sz w:val="20"/>
                <w:szCs w:val="20"/>
                <w:color w:val="auto"/>
              </w:rPr>
            </w:pPr>
            <w:r>
              <w:rPr>
                <w:rFonts w:ascii="Arial" w:cs="Arial" w:eastAsia="Arial" w:hAnsi="Arial"/>
                <w:sz w:val="16"/>
                <w:szCs w:val="16"/>
                <w:color w:val="0000FF"/>
              </w:rPr>
              <w:t>Consolidated Statement of Changes in Equity</w:t>
            </w:r>
          </w:p>
        </w:tc>
        <w:tc>
          <w:tcPr>
            <w:tcW w:w="400" w:type="dxa"/>
            <w:vAlign w:val="bottom"/>
          </w:tcPr>
          <w:p>
            <w:pPr>
              <w:jc w:val="right"/>
              <w:spacing w:after="0"/>
              <w:rPr>
                <w:sz w:val="20"/>
                <w:szCs w:val="20"/>
                <w:color w:val="auto"/>
              </w:rPr>
            </w:pPr>
            <w:r>
              <w:rPr>
                <w:rFonts w:ascii="Arial" w:cs="Arial" w:eastAsia="Arial" w:hAnsi="Arial"/>
                <w:sz w:val="16"/>
                <w:szCs w:val="16"/>
                <w:color w:val="0000FF"/>
              </w:rPr>
              <w:t>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0" w:type="dxa"/>
            <w:vAlign w:val="bottom"/>
            <w:gridSpan w:val="2"/>
          </w:tcPr>
          <w:p>
            <w:pPr>
              <w:ind w:left="680"/>
              <w:spacing w:after="0"/>
              <w:rPr>
                <w:sz w:val="20"/>
                <w:szCs w:val="20"/>
                <w:color w:val="auto"/>
              </w:rPr>
            </w:pPr>
            <w:r>
              <w:rPr>
                <w:rFonts w:ascii="Arial" w:cs="Arial" w:eastAsia="Arial" w:hAnsi="Arial"/>
                <w:sz w:val="16"/>
                <w:szCs w:val="16"/>
                <w:color w:val="0000FF"/>
              </w:rPr>
              <w:t>Consolidated Statement of Cash Flows</w:t>
            </w:r>
          </w:p>
        </w:tc>
        <w:tc>
          <w:tcPr>
            <w:tcW w:w="400" w:type="dxa"/>
            <w:vAlign w:val="bottom"/>
          </w:tcPr>
          <w:p>
            <w:pPr>
              <w:jc w:val="right"/>
              <w:spacing w:after="0"/>
              <w:rPr>
                <w:sz w:val="20"/>
                <w:szCs w:val="20"/>
                <w:color w:val="auto"/>
              </w:rPr>
            </w:pPr>
            <w:r>
              <w:rPr>
                <w:rFonts w:ascii="Arial" w:cs="Arial" w:eastAsia="Arial" w:hAnsi="Arial"/>
                <w:sz w:val="16"/>
                <w:szCs w:val="16"/>
                <w:color w:val="0000FF"/>
              </w:rPr>
              <w:t>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0" w:type="dxa"/>
            <w:vAlign w:val="bottom"/>
            <w:gridSpan w:val="2"/>
          </w:tcPr>
          <w:p>
            <w:pPr>
              <w:ind w:left="680"/>
              <w:spacing w:after="0"/>
              <w:rPr>
                <w:sz w:val="20"/>
                <w:szCs w:val="20"/>
                <w:color w:val="auto"/>
              </w:rPr>
            </w:pPr>
            <w:r>
              <w:rPr>
                <w:rFonts w:ascii="Arial" w:cs="Arial" w:eastAsia="Arial" w:hAnsi="Arial"/>
                <w:sz w:val="16"/>
                <w:szCs w:val="16"/>
                <w:color w:val="0000FF"/>
              </w:rPr>
              <w:t>Notes to Consolidated Financial Statements</w:t>
            </w:r>
          </w:p>
        </w:tc>
        <w:tc>
          <w:tcPr>
            <w:tcW w:w="400" w:type="dxa"/>
            <w:vAlign w:val="bottom"/>
          </w:tcPr>
          <w:p>
            <w:pPr>
              <w:jc w:val="right"/>
              <w:spacing w:after="0"/>
              <w:rPr>
                <w:sz w:val="20"/>
                <w:szCs w:val="20"/>
                <w:color w:val="auto"/>
              </w:rPr>
            </w:pPr>
            <w:r>
              <w:rPr>
                <w:rFonts w:ascii="Arial" w:cs="Arial" w:eastAsia="Arial" w:hAnsi="Arial"/>
                <w:sz w:val="16"/>
                <w:szCs w:val="16"/>
                <w:color w:val="0000FF"/>
              </w:rPr>
              <w:t>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0" w:type="dxa"/>
            <w:vAlign w:val="bottom"/>
            <w:gridSpan w:val="2"/>
          </w:tcPr>
          <w:p>
            <w:pPr>
              <w:ind w:left="360"/>
              <w:spacing w:after="0"/>
              <w:rPr>
                <w:sz w:val="20"/>
                <w:szCs w:val="20"/>
                <w:color w:val="auto"/>
              </w:rPr>
            </w:pPr>
            <w:r>
              <w:rPr>
                <w:rFonts w:ascii="Arial" w:cs="Arial" w:eastAsia="Arial" w:hAnsi="Arial"/>
                <w:sz w:val="16"/>
                <w:szCs w:val="16"/>
                <w:color w:val="0000FF"/>
              </w:rPr>
              <w:t>Item 2 — Management’s Discussion and Analysis of Financial Condition and Results of Operations</w:t>
            </w:r>
          </w:p>
        </w:tc>
        <w:tc>
          <w:tcPr>
            <w:tcW w:w="400" w:type="dxa"/>
            <w:vAlign w:val="bottom"/>
          </w:tcPr>
          <w:p>
            <w:pPr>
              <w:jc w:val="right"/>
              <w:spacing w:after="0"/>
              <w:rPr>
                <w:sz w:val="20"/>
                <w:szCs w:val="20"/>
                <w:color w:val="auto"/>
              </w:rPr>
            </w:pPr>
            <w:r>
              <w:rPr>
                <w:rFonts w:ascii="Arial" w:cs="Arial" w:eastAsia="Arial" w:hAnsi="Arial"/>
                <w:sz w:val="16"/>
                <w:szCs w:val="16"/>
                <w:color w:val="0000FF"/>
              </w:rPr>
              <w:t>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0" w:type="dxa"/>
            <w:vAlign w:val="bottom"/>
            <w:gridSpan w:val="2"/>
          </w:tcPr>
          <w:p>
            <w:pPr>
              <w:ind w:left="360"/>
              <w:spacing w:after="0"/>
              <w:rPr>
                <w:sz w:val="20"/>
                <w:szCs w:val="20"/>
                <w:color w:val="auto"/>
              </w:rPr>
            </w:pPr>
            <w:r>
              <w:rPr>
                <w:rFonts w:ascii="Arial" w:cs="Arial" w:eastAsia="Arial" w:hAnsi="Arial"/>
                <w:sz w:val="16"/>
                <w:szCs w:val="16"/>
                <w:color w:val="0000FF"/>
              </w:rPr>
              <w:t>Item 3 — Quantitative and Qualitative Disclosure about Market Risk</w:t>
            </w:r>
          </w:p>
        </w:tc>
        <w:tc>
          <w:tcPr>
            <w:tcW w:w="400" w:type="dxa"/>
            <w:vAlign w:val="bottom"/>
          </w:tcPr>
          <w:p>
            <w:pPr>
              <w:jc w:val="right"/>
              <w:spacing w:after="0"/>
              <w:rPr>
                <w:sz w:val="20"/>
                <w:szCs w:val="20"/>
                <w:color w:val="auto"/>
              </w:rPr>
            </w:pPr>
            <w:r>
              <w:rPr>
                <w:rFonts w:ascii="Arial" w:cs="Arial" w:eastAsia="Arial" w:hAnsi="Arial"/>
                <w:sz w:val="16"/>
                <w:szCs w:val="16"/>
                <w:color w:val="0000FF"/>
              </w:rPr>
              <w:t>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ind w:left="360"/>
              <w:spacing w:after="0"/>
              <w:rPr>
                <w:sz w:val="20"/>
                <w:szCs w:val="20"/>
                <w:color w:val="auto"/>
              </w:rPr>
            </w:pPr>
            <w:r>
              <w:rPr>
                <w:rFonts w:ascii="Arial" w:cs="Arial" w:eastAsia="Arial" w:hAnsi="Arial"/>
                <w:sz w:val="16"/>
                <w:szCs w:val="16"/>
                <w:color w:val="0000FF"/>
                <w:w w:val="98"/>
              </w:rPr>
              <w:t>Item 4</w:t>
            </w:r>
          </w:p>
        </w:tc>
        <w:tc>
          <w:tcPr>
            <w:tcW w:w="9980" w:type="dxa"/>
            <w:vAlign w:val="bottom"/>
          </w:tcPr>
          <w:p>
            <w:pPr>
              <w:ind w:left="20"/>
              <w:spacing w:after="0"/>
              <w:rPr>
                <w:sz w:val="20"/>
                <w:szCs w:val="20"/>
                <w:color w:val="auto"/>
              </w:rPr>
            </w:pPr>
            <w:r>
              <w:rPr>
                <w:rFonts w:ascii="Arial" w:cs="Arial" w:eastAsia="Arial" w:hAnsi="Arial"/>
                <w:sz w:val="16"/>
                <w:szCs w:val="16"/>
                <w:color w:val="0000FF"/>
              </w:rPr>
              <w:t>— Controls and Procedures</w:t>
            </w:r>
          </w:p>
        </w:tc>
        <w:tc>
          <w:tcPr>
            <w:tcW w:w="400" w:type="dxa"/>
            <w:vAlign w:val="bottom"/>
          </w:tcPr>
          <w:p>
            <w:pPr>
              <w:jc w:val="right"/>
              <w:spacing w:after="0"/>
              <w:rPr>
                <w:sz w:val="20"/>
                <w:szCs w:val="20"/>
                <w:color w:val="auto"/>
              </w:rPr>
            </w:pPr>
            <w:r>
              <w:rPr>
                <w:rFonts w:ascii="Arial" w:cs="Arial" w:eastAsia="Arial" w:hAnsi="Arial"/>
                <w:sz w:val="16"/>
                <w:szCs w:val="16"/>
                <w:color w:val="0000FF"/>
              </w:rPr>
              <w:t>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7"/>
        </w:trPr>
        <w:tc>
          <w:tcPr>
            <w:tcW w:w="10800" w:type="dxa"/>
            <w:vAlign w:val="bottom"/>
            <w:gridSpan w:val="2"/>
          </w:tcPr>
          <w:p>
            <w:pPr>
              <w:ind w:left="20"/>
              <w:spacing w:after="0"/>
              <w:rPr>
                <w:sz w:val="20"/>
                <w:szCs w:val="20"/>
                <w:color w:val="auto"/>
              </w:rPr>
            </w:pPr>
            <w:r>
              <w:rPr>
                <w:rFonts w:ascii="Arial" w:cs="Arial" w:eastAsia="Arial" w:hAnsi="Arial"/>
                <w:sz w:val="16"/>
                <w:szCs w:val="16"/>
                <w:b w:val="1"/>
                <w:bCs w:val="1"/>
                <w:color w:val="0000FF"/>
              </w:rPr>
              <w:t>Part II — Other Information</w:t>
            </w: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820" w:type="dxa"/>
            <w:vAlign w:val="bottom"/>
          </w:tcPr>
          <w:p>
            <w:pPr>
              <w:ind w:left="360"/>
              <w:spacing w:after="0"/>
              <w:rPr>
                <w:sz w:val="20"/>
                <w:szCs w:val="20"/>
                <w:color w:val="auto"/>
              </w:rPr>
            </w:pPr>
            <w:r>
              <w:rPr>
                <w:rFonts w:ascii="Arial" w:cs="Arial" w:eastAsia="Arial" w:hAnsi="Arial"/>
                <w:sz w:val="16"/>
                <w:szCs w:val="16"/>
                <w:color w:val="0000FF"/>
                <w:w w:val="98"/>
              </w:rPr>
              <w:t>Item 2</w:t>
            </w:r>
          </w:p>
        </w:tc>
        <w:tc>
          <w:tcPr>
            <w:tcW w:w="9980" w:type="dxa"/>
            <w:vAlign w:val="bottom"/>
          </w:tcPr>
          <w:p>
            <w:pPr>
              <w:ind w:left="20"/>
              <w:spacing w:after="0"/>
              <w:rPr>
                <w:sz w:val="20"/>
                <w:szCs w:val="20"/>
                <w:color w:val="auto"/>
              </w:rPr>
            </w:pPr>
            <w:r>
              <w:rPr>
                <w:rFonts w:ascii="Arial" w:cs="Arial" w:eastAsia="Arial" w:hAnsi="Arial"/>
                <w:sz w:val="16"/>
                <w:szCs w:val="16"/>
                <w:color w:val="0000FF"/>
              </w:rPr>
              <w:t>— Unregistered Sales of Equity Securities and Use of Proceeds</w:t>
            </w:r>
          </w:p>
        </w:tc>
        <w:tc>
          <w:tcPr>
            <w:tcW w:w="400" w:type="dxa"/>
            <w:vAlign w:val="bottom"/>
          </w:tcPr>
          <w:p>
            <w:pPr>
              <w:jc w:val="right"/>
              <w:spacing w:after="0"/>
              <w:rPr>
                <w:sz w:val="20"/>
                <w:szCs w:val="20"/>
                <w:color w:val="auto"/>
              </w:rPr>
            </w:pPr>
            <w:r>
              <w:rPr>
                <w:rFonts w:ascii="Arial" w:cs="Arial" w:eastAsia="Arial" w:hAnsi="Arial"/>
                <w:sz w:val="16"/>
                <w:szCs w:val="16"/>
                <w:color w:val="0000FF"/>
              </w:rPr>
              <w:t>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ind w:left="360"/>
              <w:spacing w:after="0"/>
              <w:rPr>
                <w:sz w:val="20"/>
                <w:szCs w:val="20"/>
                <w:color w:val="auto"/>
              </w:rPr>
            </w:pPr>
            <w:r>
              <w:rPr>
                <w:rFonts w:ascii="Arial" w:cs="Arial" w:eastAsia="Arial" w:hAnsi="Arial"/>
                <w:sz w:val="16"/>
                <w:szCs w:val="16"/>
                <w:color w:val="0000FF"/>
                <w:w w:val="98"/>
              </w:rPr>
              <w:t>Item 5</w:t>
            </w:r>
          </w:p>
        </w:tc>
        <w:tc>
          <w:tcPr>
            <w:tcW w:w="9980" w:type="dxa"/>
            <w:vAlign w:val="bottom"/>
          </w:tcPr>
          <w:p>
            <w:pPr>
              <w:ind w:left="20"/>
              <w:spacing w:after="0"/>
              <w:rPr>
                <w:sz w:val="20"/>
                <w:szCs w:val="20"/>
                <w:color w:val="auto"/>
              </w:rPr>
            </w:pPr>
            <w:r>
              <w:rPr>
                <w:rFonts w:ascii="Arial" w:cs="Arial" w:eastAsia="Arial" w:hAnsi="Arial"/>
                <w:sz w:val="16"/>
                <w:szCs w:val="16"/>
                <w:color w:val="0000FF"/>
              </w:rPr>
              <w:t>— Other Information</w:t>
            </w:r>
          </w:p>
        </w:tc>
        <w:tc>
          <w:tcPr>
            <w:tcW w:w="400" w:type="dxa"/>
            <w:vAlign w:val="bottom"/>
          </w:tcPr>
          <w:p>
            <w:pPr>
              <w:jc w:val="right"/>
              <w:spacing w:after="0"/>
              <w:rPr>
                <w:sz w:val="20"/>
                <w:szCs w:val="20"/>
                <w:color w:val="auto"/>
              </w:rPr>
            </w:pPr>
            <w:r>
              <w:rPr>
                <w:rFonts w:ascii="Arial" w:cs="Arial" w:eastAsia="Arial" w:hAnsi="Arial"/>
                <w:sz w:val="16"/>
                <w:szCs w:val="16"/>
                <w:color w:val="0000FF"/>
              </w:rPr>
              <w:t>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ind w:left="360"/>
              <w:spacing w:after="0"/>
              <w:rPr>
                <w:sz w:val="20"/>
                <w:szCs w:val="20"/>
                <w:color w:val="auto"/>
              </w:rPr>
            </w:pPr>
            <w:r>
              <w:rPr>
                <w:rFonts w:ascii="Arial" w:cs="Arial" w:eastAsia="Arial" w:hAnsi="Arial"/>
                <w:sz w:val="16"/>
                <w:szCs w:val="16"/>
                <w:color w:val="0000FF"/>
                <w:w w:val="98"/>
              </w:rPr>
              <w:t>Item 6</w:t>
            </w:r>
          </w:p>
        </w:tc>
        <w:tc>
          <w:tcPr>
            <w:tcW w:w="9980" w:type="dxa"/>
            <w:vAlign w:val="bottom"/>
          </w:tcPr>
          <w:p>
            <w:pPr>
              <w:ind w:left="20"/>
              <w:spacing w:after="0"/>
              <w:rPr>
                <w:sz w:val="20"/>
                <w:szCs w:val="20"/>
                <w:color w:val="auto"/>
              </w:rPr>
            </w:pPr>
            <w:r>
              <w:rPr>
                <w:rFonts w:ascii="Arial" w:cs="Arial" w:eastAsia="Arial" w:hAnsi="Arial"/>
                <w:sz w:val="16"/>
                <w:szCs w:val="16"/>
                <w:color w:val="0000FF"/>
              </w:rPr>
              <w:t>— Exhibits</w:t>
            </w:r>
          </w:p>
        </w:tc>
        <w:tc>
          <w:tcPr>
            <w:tcW w:w="400" w:type="dxa"/>
            <w:vAlign w:val="bottom"/>
          </w:tcPr>
          <w:p>
            <w:pPr>
              <w:jc w:val="right"/>
              <w:spacing w:after="0"/>
              <w:rPr>
                <w:sz w:val="20"/>
                <w:szCs w:val="20"/>
                <w:color w:val="auto"/>
              </w:rPr>
            </w:pPr>
            <w:r>
              <w:rPr>
                <w:rFonts w:ascii="Arial" w:cs="Arial" w:eastAsia="Arial" w:hAnsi="Arial"/>
                <w:sz w:val="16"/>
                <w:szCs w:val="16"/>
                <w:color w:val="0000FF"/>
              </w:rPr>
              <w:t>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0" w:type="dxa"/>
            <w:vAlign w:val="bottom"/>
            <w:gridSpan w:val="2"/>
          </w:tcPr>
          <w:p>
            <w:pPr>
              <w:ind w:left="360"/>
              <w:spacing w:after="0"/>
              <w:rPr>
                <w:sz w:val="20"/>
                <w:szCs w:val="20"/>
                <w:color w:val="auto"/>
              </w:rPr>
            </w:pPr>
            <w:r>
              <w:rPr>
                <w:rFonts w:ascii="Arial" w:cs="Arial" w:eastAsia="Arial" w:hAnsi="Arial"/>
                <w:sz w:val="16"/>
                <w:szCs w:val="16"/>
                <w:color w:val="0000FF"/>
              </w:rPr>
              <w:t>Signature</w:t>
            </w:r>
          </w:p>
        </w:tc>
        <w:tc>
          <w:tcPr>
            <w:tcW w:w="400" w:type="dxa"/>
            <w:vAlign w:val="bottom"/>
          </w:tcPr>
          <w:p>
            <w:pPr>
              <w:jc w:val="right"/>
              <w:spacing w:after="0"/>
              <w:rPr>
                <w:sz w:val="20"/>
                <w:szCs w:val="20"/>
                <w:color w:val="auto"/>
              </w:rPr>
            </w:pPr>
            <w:r>
              <w:rPr>
                <w:rFonts w:ascii="Arial" w:cs="Arial" w:eastAsia="Arial" w:hAnsi="Arial"/>
                <w:sz w:val="16"/>
                <w:szCs w:val="16"/>
                <w:color w:val="0000FF"/>
              </w:rPr>
              <w:t>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81"/>
        </w:trPr>
        <w:tc>
          <w:tcPr>
            <w:tcW w:w="820" w:type="dxa"/>
            <w:vAlign w:val="bottom"/>
            <w:tcBorders>
              <w:bottom w:val="single" w:sz="8" w:color="9A9A9A"/>
            </w:tcBorders>
          </w:tcPr>
          <w:p>
            <w:pPr>
              <w:spacing w:after="0"/>
              <w:rPr>
                <w:sz w:val="24"/>
                <w:szCs w:val="24"/>
                <w:color w:val="auto"/>
              </w:rPr>
            </w:pPr>
          </w:p>
        </w:tc>
        <w:tc>
          <w:tcPr>
            <w:tcW w:w="99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 w:name="page3"/>
    <w:bookmarkEnd w:id="2"/>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317" w:lineRule="exact"/>
        <w:rPr>
          <w:sz w:val="20"/>
          <w:szCs w:val="20"/>
          <w:color w:val="auto"/>
        </w:rPr>
      </w:pPr>
    </w:p>
    <w:p>
      <w:pPr>
        <w:ind w:left="5300"/>
        <w:spacing w:after="0"/>
        <w:rPr>
          <w:sz w:val="20"/>
          <w:szCs w:val="20"/>
          <w:color w:val="auto"/>
        </w:rPr>
      </w:pPr>
      <w:r>
        <w:rPr>
          <w:rFonts w:ascii="Arial" w:cs="Arial" w:eastAsia="Arial" w:hAnsi="Arial"/>
          <w:sz w:val="20"/>
          <w:szCs w:val="20"/>
          <w:b w:val="1"/>
          <w:bCs w:val="1"/>
          <w:color w:val="003366"/>
        </w:rPr>
        <w:t>PART I</w:t>
      </w:r>
    </w:p>
    <w:p>
      <w:pPr>
        <w:spacing w:after="0" w:line="33"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003366"/>
        </w:rPr>
        <w:t>ITEM 1. — FINANCIAL STATEMENTS</w:t>
      </w:r>
    </w:p>
    <w:p>
      <w:pPr>
        <w:ind w:left="2920"/>
        <w:spacing w:after="0"/>
        <w:rPr>
          <w:sz w:val="20"/>
          <w:szCs w:val="20"/>
          <w:color w:val="auto"/>
        </w:rPr>
      </w:pPr>
      <w:r>
        <w:rPr>
          <w:rFonts w:ascii="Arial" w:cs="Arial" w:eastAsia="Arial" w:hAnsi="Arial"/>
          <w:sz w:val="20"/>
          <w:szCs w:val="20"/>
          <w:b w:val="1"/>
          <w:bCs w:val="1"/>
          <w:color w:val="003366"/>
        </w:rPr>
        <w:t>AMERICAN FINANCIAL GROUP, INC. AND SUBSIDIARIES</w:t>
      </w:r>
    </w:p>
    <w:p>
      <w:pPr>
        <w:spacing w:after="0" w:line="13" w:lineRule="exact"/>
        <w:rPr>
          <w:sz w:val="20"/>
          <w:szCs w:val="20"/>
          <w:color w:val="auto"/>
        </w:rPr>
      </w:pPr>
    </w:p>
    <w:p>
      <w:pPr>
        <w:ind w:left="3300"/>
        <w:spacing w:after="0"/>
        <w:rPr>
          <w:sz w:val="20"/>
          <w:szCs w:val="20"/>
          <w:color w:val="auto"/>
        </w:rPr>
      </w:pPr>
      <w:r>
        <w:rPr>
          <w:rFonts w:ascii="Arial" w:cs="Arial" w:eastAsia="Arial" w:hAnsi="Arial"/>
          <w:sz w:val="20"/>
          <w:szCs w:val="20"/>
          <w:b w:val="1"/>
          <w:bCs w:val="1"/>
          <w:color w:val="003366"/>
        </w:rPr>
        <w:t>CONSOLIDATED BALANCE SHEET (UNAUDITED)</w:t>
      </w:r>
    </w:p>
    <w:p>
      <w:pPr>
        <w:jc w:val="center"/>
        <w:spacing w:after="0"/>
        <w:rPr>
          <w:sz w:val="20"/>
          <w:szCs w:val="20"/>
          <w:color w:val="auto"/>
        </w:rPr>
      </w:pPr>
      <w:r>
        <w:rPr>
          <w:rFonts w:ascii="Arial" w:cs="Arial" w:eastAsia="Arial" w:hAnsi="Arial"/>
          <w:sz w:val="20"/>
          <w:szCs w:val="20"/>
          <w:b w:val="1"/>
          <w:bCs w:val="1"/>
          <w:color w:val="003366"/>
        </w:rPr>
        <w:t>(Dollars in Millions)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ind w:left="120"/>
              <w:spacing w:after="0"/>
              <w:rPr>
                <w:sz w:val="20"/>
                <w:szCs w:val="20"/>
                <w:color w:val="auto"/>
              </w:rPr>
            </w:pPr>
            <w:r>
              <w:rPr>
                <w:rFonts w:ascii="Arial" w:cs="Arial" w:eastAsia="Arial" w:hAnsi="Arial"/>
                <w:sz w:val="15"/>
                <w:szCs w:val="15"/>
                <w:color w:val="auto"/>
              </w:rPr>
              <w:t>March 31,</w:t>
            </w:r>
          </w:p>
        </w:tc>
        <w:tc>
          <w:tcPr>
            <w:tcW w:w="160" w:type="dxa"/>
            <w:vAlign w:val="bottom"/>
          </w:tcPr>
          <w:p>
            <w:pPr>
              <w:spacing w:after="0"/>
              <w:rPr>
                <w:sz w:val="14"/>
                <w:szCs w:val="14"/>
                <w:color w:val="auto"/>
              </w:rPr>
            </w:pPr>
          </w:p>
        </w:tc>
        <w:tc>
          <w:tcPr>
            <w:tcW w:w="1220" w:type="dxa"/>
            <w:vAlign w:val="bottom"/>
          </w:tcPr>
          <w:p>
            <w:pPr>
              <w:jc w:val="right"/>
              <w:ind w:right="119"/>
              <w:spacing w:after="0"/>
              <w:rPr>
                <w:sz w:val="20"/>
                <w:szCs w:val="20"/>
                <w:color w:val="auto"/>
              </w:rPr>
            </w:pPr>
            <w:r>
              <w:rPr>
                <w:rFonts w:ascii="Arial" w:cs="Arial" w:eastAsia="Arial" w:hAnsi="Arial"/>
                <w:sz w:val="15"/>
                <w:szCs w:val="15"/>
                <w:color w:val="auto"/>
              </w:rPr>
              <w:t>December 31,</w:t>
            </w:r>
          </w:p>
        </w:tc>
        <w:tc>
          <w:tcPr>
            <w:tcW w:w="0" w:type="dxa"/>
            <w:vAlign w:val="bottom"/>
          </w:tcPr>
          <w:p>
            <w:pPr>
              <w:spacing w:after="0"/>
              <w:rPr>
                <w:sz w:val="1"/>
                <w:szCs w:val="1"/>
                <w:color w:val="auto"/>
              </w:rPr>
            </w:pPr>
          </w:p>
        </w:tc>
      </w:tr>
      <w:tr>
        <w:trPr>
          <w:trHeight w:val="210"/>
        </w:trPr>
        <w:tc>
          <w:tcPr>
            <w:tcW w:w="84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19"/>
              <w:spacing w:after="0"/>
              <w:rPr>
                <w:sz w:val="20"/>
                <w:szCs w:val="20"/>
                <w:color w:val="auto"/>
              </w:rPr>
            </w:pPr>
            <w:r>
              <w:rPr>
                <w:rFonts w:ascii="Arial" w:cs="Arial" w:eastAsia="Arial" w:hAnsi="Arial"/>
                <w:sz w:val="15"/>
                <w:szCs w:val="15"/>
                <w:color w:val="auto"/>
              </w:rPr>
              <w:t>2026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39"/>
              <w:spacing w:after="0"/>
              <w:rPr>
                <w:sz w:val="20"/>
                <w:szCs w:val="20"/>
                <w:color w:val="auto"/>
              </w:rPr>
            </w:pPr>
            <w:r>
              <w:rPr>
                <w:rFonts w:ascii="Arial" w:cs="Arial" w:eastAsia="Arial" w:hAnsi="Arial"/>
                <w:sz w:val="15"/>
                <w:szCs w:val="15"/>
                <w:color w:val="auto"/>
              </w:rPr>
              <w:t>2025</w:t>
            </w:r>
          </w:p>
        </w:tc>
        <w:tc>
          <w:tcPr>
            <w:tcW w:w="0" w:type="dxa"/>
            <w:vAlign w:val="bottom"/>
          </w:tcPr>
          <w:p>
            <w:pPr>
              <w:spacing w:after="0"/>
              <w:rPr>
                <w:sz w:val="1"/>
                <w:szCs w:val="1"/>
                <w:color w:val="auto"/>
              </w:rPr>
            </w:pPr>
          </w:p>
        </w:tc>
      </w:tr>
      <w:tr>
        <w:trPr>
          <w:trHeight w:val="203"/>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8400" w:type="dxa"/>
            <w:vAlign w:val="bottom"/>
          </w:tcPr>
          <w:p>
            <w:pPr>
              <w:ind w:left="360"/>
              <w:spacing w:after="0"/>
              <w:rPr>
                <w:sz w:val="20"/>
                <w:szCs w:val="20"/>
                <w:color w:val="auto"/>
              </w:rPr>
            </w:pPr>
            <w:r>
              <w:rPr>
                <w:rFonts w:ascii="Arial" w:cs="Arial" w:eastAsia="Arial" w:hAnsi="Arial"/>
                <w:sz w:val="16"/>
                <w:szCs w:val="16"/>
                <w:color w:val="auto"/>
              </w:rPr>
              <w:t>Cash and cash equivalents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1,353</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1,727</w:t>
            </w:r>
          </w:p>
        </w:tc>
        <w:tc>
          <w:tcPr>
            <w:tcW w:w="0" w:type="dxa"/>
            <w:vAlign w:val="bottom"/>
          </w:tcPr>
          <w:p>
            <w:pPr>
              <w:spacing w:after="0"/>
              <w:rPr>
                <w:sz w:val="1"/>
                <w:szCs w:val="1"/>
                <w:color w:val="auto"/>
              </w:rPr>
            </w:pPr>
          </w:p>
        </w:tc>
      </w:tr>
      <w:tr>
        <w:trPr>
          <w:trHeight w:val="217"/>
        </w:trPr>
        <w:tc>
          <w:tcPr>
            <w:tcW w:w="8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Investments:</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400" w:type="dxa"/>
            <w:vAlign w:val="bottom"/>
          </w:tcPr>
          <w:p>
            <w:pPr>
              <w:ind w:left="680"/>
              <w:spacing w:after="0" w:line="162" w:lineRule="exact"/>
              <w:rPr>
                <w:sz w:val="20"/>
                <w:szCs w:val="20"/>
                <w:color w:val="auto"/>
              </w:rPr>
            </w:pPr>
            <w:r>
              <w:rPr>
                <w:rFonts w:ascii="Arial" w:cs="Arial" w:eastAsia="Arial" w:hAnsi="Arial"/>
                <w:sz w:val="16"/>
                <w:szCs w:val="16"/>
                <w:color w:val="auto"/>
              </w:rPr>
              <w:t>Fixed maturities, available for sale at fair value (amortized cost — $11,549 and $11,101; allowance for</w:t>
            </w:r>
          </w:p>
        </w:tc>
        <w:tc>
          <w:tcPr>
            <w:tcW w:w="22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11,397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11,052</w:t>
            </w:r>
          </w:p>
        </w:tc>
        <w:tc>
          <w:tcPr>
            <w:tcW w:w="0" w:type="dxa"/>
            <w:vAlign w:val="bottom"/>
          </w:tcPr>
          <w:p>
            <w:pPr>
              <w:spacing w:after="0"/>
              <w:rPr>
                <w:sz w:val="1"/>
                <w:szCs w:val="1"/>
                <w:color w:val="auto"/>
              </w:rPr>
            </w:pPr>
          </w:p>
        </w:tc>
      </w:tr>
      <w:tr>
        <w:trPr>
          <w:trHeight w:val="215"/>
        </w:trPr>
        <w:tc>
          <w:tcPr>
            <w:tcW w:w="8400" w:type="dxa"/>
            <w:vAlign w:val="bottom"/>
          </w:tcPr>
          <w:p>
            <w:pPr>
              <w:ind w:left="1000"/>
              <w:spacing w:after="0"/>
              <w:rPr>
                <w:sz w:val="20"/>
                <w:szCs w:val="20"/>
                <w:color w:val="auto"/>
              </w:rPr>
            </w:pPr>
            <w:r>
              <w:rPr>
                <w:rFonts w:ascii="Arial" w:cs="Arial" w:eastAsia="Arial" w:hAnsi="Arial"/>
                <w:sz w:val="16"/>
                <w:szCs w:val="16"/>
                <w:color w:val="auto"/>
              </w:rPr>
              <w:t>expected credit losses of $26 and $21)</w:t>
            </w:r>
          </w:p>
        </w:tc>
        <w:tc>
          <w:tcPr>
            <w:tcW w:w="22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4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Fixed maturities, trading at fair value</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215"/>
        </w:trPr>
        <w:tc>
          <w:tcPr>
            <w:tcW w:w="8400" w:type="dxa"/>
            <w:vAlign w:val="bottom"/>
          </w:tcPr>
          <w:p>
            <w:pPr>
              <w:ind w:left="680"/>
              <w:spacing w:after="0"/>
              <w:rPr>
                <w:sz w:val="20"/>
                <w:szCs w:val="20"/>
                <w:color w:val="auto"/>
              </w:rPr>
            </w:pPr>
            <w:r>
              <w:rPr>
                <w:rFonts w:ascii="Arial" w:cs="Arial" w:eastAsia="Arial" w:hAnsi="Arial"/>
                <w:sz w:val="16"/>
                <w:szCs w:val="16"/>
                <w:color w:val="auto"/>
              </w:rPr>
              <w:t>Equity securities, at fair value</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753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785</w:t>
            </w:r>
          </w:p>
        </w:tc>
        <w:tc>
          <w:tcPr>
            <w:tcW w:w="0" w:type="dxa"/>
            <w:vAlign w:val="bottom"/>
          </w:tcPr>
          <w:p>
            <w:pPr>
              <w:spacing w:after="0"/>
              <w:rPr>
                <w:sz w:val="1"/>
                <w:szCs w:val="1"/>
                <w:color w:val="auto"/>
              </w:rPr>
            </w:pPr>
          </w:p>
        </w:tc>
      </w:tr>
      <w:tr>
        <w:trPr>
          <w:trHeight w:val="217"/>
        </w:trPr>
        <w:tc>
          <w:tcPr>
            <w:tcW w:w="84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Investments accounted for using the equity method</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2,421</w:t>
            </w:r>
          </w:p>
        </w:tc>
        <w:tc>
          <w:tcPr>
            <w:tcW w:w="0" w:type="dxa"/>
            <w:vAlign w:val="bottom"/>
          </w:tcPr>
          <w:p>
            <w:pPr>
              <w:spacing w:after="0"/>
              <w:rPr>
                <w:sz w:val="1"/>
                <w:szCs w:val="1"/>
                <w:color w:val="auto"/>
              </w:rPr>
            </w:pPr>
          </w:p>
        </w:tc>
      </w:tr>
      <w:tr>
        <w:trPr>
          <w:trHeight w:val="215"/>
        </w:trPr>
        <w:tc>
          <w:tcPr>
            <w:tcW w:w="8400" w:type="dxa"/>
            <w:vAlign w:val="bottom"/>
          </w:tcPr>
          <w:p>
            <w:pPr>
              <w:ind w:left="680"/>
              <w:spacing w:after="0"/>
              <w:rPr>
                <w:sz w:val="20"/>
                <w:szCs w:val="20"/>
                <w:color w:val="auto"/>
              </w:rPr>
            </w:pPr>
            <w:r>
              <w:rPr>
                <w:rFonts w:ascii="Arial" w:cs="Arial" w:eastAsia="Arial" w:hAnsi="Arial"/>
                <w:sz w:val="16"/>
                <w:szCs w:val="16"/>
                <w:color w:val="auto"/>
              </w:rPr>
              <w:t>Mortgage loans</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961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947</w:t>
            </w:r>
          </w:p>
        </w:tc>
        <w:tc>
          <w:tcPr>
            <w:tcW w:w="0" w:type="dxa"/>
            <w:vAlign w:val="bottom"/>
          </w:tcPr>
          <w:p>
            <w:pPr>
              <w:spacing w:after="0"/>
              <w:rPr>
                <w:sz w:val="1"/>
                <w:szCs w:val="1"/>
                <w:color w:val="auto"/>
              </w:rPr>
            </w:pPr>
          </w:p>
        </w:tc>
      </w:tr>
      <w:tr>
        <w:trPr>
          <w:trHeight w:val="217"/>
        </w:trPr>
        <w:tc>
          <w:tcPr>
            <w:tcW w:w="84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Real estate and other investments</w:t>
            </w:r>
          </w:p>
        </w:tc>
        <w:tc>
          <w:tcPr>
            <w:tcW w:w="2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w:t>
            </w:r>
          </w:p>
        </w:tc>
        <w:tc>
          <w:tcPr>
            <w:tcW w:w="0" w:type="dxa"/>
            <w:vAlign w:val="bottom"/>
          </w:tcPr>
          <w:p>
            <w:pPr>
              <w:spacing w:after="0"/>
              <w:rPr>
                <w:sz w:val="1"/>
                <w:szCs w:val="1"/>
                <w:color w:val="auto"/>
              </w:rPr>
            </w:pPr>
          </w:p>
        </w:tc>
      </w:tr>
      <w:tr>
        <w:trPr>
          <w:trHeight w:val="209"/>
        </w:trPr>
        <w:tc>
          <w:tcPr>
            <w:tcW w:w="8400" w:type="dxa"/>
            <w:vAlign w:val="bottom"/>
          </w:tcPr>
          <w:p>
            <w:pPr>
              <w:ind w:left="1440"/>
              <w:spacing w:after="0"/>
              <w:rPr>
                <w:sz w:val="20"/>
                <w:szCs w:val="20"/>
                <w:color w:val="auto"/>
              </w:rPr>
            </w:pPr>
            <w:r>
              <w:rPr>
                <w:rFonts w:ascii="Arial" w:cs="Arial" w:eastAsia="Arial" w:hAnsi="Arial"/>
                <w:sz w:val="16"/>
                <w:szCs w:val="16"/>
                <w:color w:val="auto"/>
              </w:rPr>
              <w:t>Total cash and investments</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17,143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17,182</w:t>
            </w:r>
          </w:p>
        </w:tc>
        <w:tc>
          <w:tcPr>
            <w:tcW w:w="0" w:type="dxa"/>
            <w:vAlign w:val="bottom"/>
          </w:tcPr>
          <w:p>
            <w:pPr>
              <w:spacing w:after="0"/>
              <w:rPr>
                <w:sz w:val="1"/>
                <w:szCs w:val="1"/>
                <w:color w:val="auto"/>
              </w:rPr>
            </w:pPr>
          </w:p>
        </w:tc>
      </w:tr>
      <w:tr>
        <w:trPr>
          <w:trHeight w:val="217"/>
        </w:trPr>
        <w:tc>
          <w:tcPr>
            <w:tcW w:w="8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400" w:type="dxa"/>
            <w:vAlign w:val="bottom"/>
          </w:tcPr>
          <w:p>
            <w:pPr>
              <w:ind w:left="360"/>
              <w:spacing w:after="0"/>
              <w:rPr>
                <w:sz w:val="20"/>
                <w:szCs w:val="20"/>
                <w:color w:val="auto"/>
              </w:rPr>
            </w:pPr>
            <w:r>
              <w:rPr>
                <w:rFonts w:ascii="Arial" w:cs="Arial" w:eastAsia="Arial" w:hAnsi="Arial"/>
                <w:sz w:val="16"/>
                <w:szCs w:val="16"/>
                <w:color w:val="auto"/>
              </w:rPr>
              <w:t>Recoverables from reinsurers</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5,303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5,528</w:t>
            </w:r>
          </w:p>
        </w:tc>
        <w:tc>
          <w:tcPr>
            <w:tcW w:w="0" w:type="dxa"/>
            <w:vAlign w:val="bottom"/>
          </w:tcPr>
          <w:p>
            <w:pPr>
              <w:spacing w:after="0"/>
              <w:rPr>
                <w:sz w:val="1"/>
                <w:szCs w:val="1"/>
                <w:color w:val="auto"/>
              </w:rPr>
            </w:pPr>
          </w:p>
        </w:tc>
      </w:tr>
      <w:tr>
        <w:trPr>
          <w:trHeight w:val="217"/>
        </w:trPr>
        <w:tc>
          <w:tcPr>
            <w:tcW w:w="8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Prepaid reinsurance premiums</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1,089</w:t>
            </w:r>
          </w:p>
        </w:tc>
        <w:tc>
          <w:tcPr>
            <w:tcW w:w="0" w:type="dxa"/>
            <w:vAlign w:val="bottom"/>
          </w:tcPr>
          <w:p>
            <w:pPr>
              <w:spacing w:after="0"/>
              <w:rPr>
                <w:sz w:val="1"/>
                <w:szCs w:val="1"/>
                <w:color w:val="auto"/>
              </w:rPr>
            </w:pPr>
          </w:p>
        </w:tc>
      </w:tr>
      <w:tr>
        <w:trPr>
          <w:trHeight w:val="215"/>
        </w:trPr>
        <w:tc>
          <w:tcPr>
            <w:tcW w:w="8400" w:type="dxa"/>
            <w:vAlign w:val="bottom"/>
          </w:tcPr>
          <w:p>
            <w:pPr>
              <w:ind w:left="360"/>
              <w:spacing w:after="0"/>
              <w:rPr>
                <w:sz w:val="20"/>
                <w:szCs w:val="20"/>
                <w:color w:val="auto"/>
              </w:rPr>
            </w:pPr>
            <w:r>
              <w:rPr>
                <w:rFonts w:ascii="Arial" w:cs="Arial" w:eastAsia="Arial" w:hAnsi="Arial"/>
                <w:sz w:val="16"/>
                <w:szCs w:val="16"/>
                <w:color w:val="auto"/>
              </w:rPr>
              <w:t>Agents’ balances and premiums receivable</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1,670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1,641</w:t>
            </w:r>
          </w:p>
        </w:tc>
        <w:tc>
          <w:tcPr>
            <w:tcW w:w="0" w:type="dxa"/>
            <w:vAlign w:val="bottom"/>
          </w:tcPr>
          <w:p>
            <w:pPr>
              <w:spacing w:after="0"/>
              <w:rPr>
                <w:sz w:val="1"/>
                <w:szCs w:val="1"/>
                <w:color w:val="auto"/>
              </w:rPr>
            </w:pPr>
          </w:p>
        </w:tc>
      </w:tr>
      <w:tr>
        <w:trPr>
          <w:trHeight w:val="217"/>
        </w:trPr>
        <w:tc>
          <w:tcPr>
            <w:tcW w:w="8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Deferred policy acquisition costs</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w:t>
            </w:r>
          </w:p>
        </w:tc>
        <w:tc>
          <w:tcPr>
            <w:tcW w:w="0" w:type="dxa"/>
            <w:vAlign w:val="bottom"/>
          </w:tcPr>
          <w:p>
            <w:pPr>
              <w:spacing w:after="0"/>
              <w:rPr>
                <w:sz w:val="1"/>
                <w:szCs w:val="1"/>
                <w:color w:val="auto"/>
              </w:rPr>
            </w:pPr>
          </w:p>
        </w:tc>
      </w:tr>
      <w:tr>
        <w:trPr>
          <w:trHeight w:val="215"/>
        </w:trPr>
        <w:tc>
          <w:tcPr>
            <w:tcW w:w="8400" w:type="dxa"/>
            <w:vAlign w:val="bottom"/>
          </w:tcPr>
          <w:p>
            <w:pPr>
              <w:ind w:left="360"/>
              <w:spacing w:after="0"/>
              <w:rPr>
                <w:sz w:val="20"/>
                <w:szCs w:val="20"/>
                <w:color w:val="auto"/>
              </w:rPr>
            </w:pPr>
            <w:r>
              <w:rPr>
                <w:rFonts w:ascii="Arial" w:cs="Arial" w:eastAsia="Arial" w:hAnsi="Arial"/>
                <w:sz w:val="16"/>
                <w:szCs w:val="16"/>
                <w:color w:val="auto"/>
              </w:rPr>
              <w:t>Assets of managed investment entities</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3,987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4,050</w:t>
            </w:r>
          </w:p>
        </w:tc>
        <w:tc>
          <w:tcPr>
            <w:tcW w:w="0" w:type="dxa"/>
            <w:vAlign w:val="bottom"/>
          </w:tcPr>
          <w:p>
            <w:pPr>
              <w:spacing w:after="0"/>
              <w:rPr>
                <w:sz w:val="1"/>
                <w:szCs w:val="1"/>
                <w:color w:val="auto"/>
              </w:rPr>
            </w:pPr>
          </w:p>
        </w:tc>
      </w:tr>
      <w:tr>
        <w:trPr>
          <w:trHeight w:val="217"/>
        </w:trPr>
        <w:tc>
          <w:tcPr>
            <w:tcW w:w="8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receivables</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1,212</w:t>
            </w:r>
          </w:p>
        </w:tc>
        <w:tc>
          <w:tcPr>
            <w:tcW w:w="0" w:type="dxa"/>
            <w:vAlign w:val="bottom"/>
          </w:tcPr>
          <w:p>
            <w:pPr>
              <w:spacing w:after="0"/>
              <w:rPr>
                <w:sz w:val="1"/>
                <w:szCs w:val="1"/>
                <w:color w:val="auto"/>
              </w:rPr>
            </w:pPr>
          </w:p>
        </w:tc>
      </w:tr>
      <w:tr>
        <w:trPr>
          <w:trHeight w:val="215"/>
        </w:trPr>
        <w:tc>
          <w:tcPr>
            <w:tcW w:w="8400" w:type="dxa"/>
            <w:vAlign w:val="bottom"/>
          </w:tcPr>
          <w:p>
            <w:pPr>
              <w:ind w:left="360"/>
              <w:spacing w:after="0"/>
              <w:rPr>
                <w:sz w:val="20"/>
                <w:szCs w:val="20"/>
                <w:color w:val="auto"/>
              </w:rPr>
            </w:pPr>
            <w:r>
              <w:rPr>
                <w:rFonts w:ascii="Arial" w:cs="Arial" w:eastAsia="Arial" w:hAnsi="Arial"/>
                <w:sz w:val="16"/>
                <w:szCs w:val="16"/>
                <w:color w:val="auto"/>
              </w:rPr>
              <w:t>Other assets</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1,320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1,280</w:t>
            </w: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Goodwill</w:t>
            </w:r>
          </w:p>
        </w:tc>
        <w:tc>
          <w:tcPr>
            <w:tcW w:w="2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327</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327</w:t>
            </w:r>
          </w:p>
        </w:tc>
        <w:tc>
          <w:tcPr>
            <w:tcW w:w="0" w:type="dxa"/>
            <w:vAlign w:val="bottom"/>
          </w:tcPr>
          <w:p>
            <w:pPr>
              <w:spacing w:after="0"/>
              <w:rPr>
                <w:sz w:val="1"/>
                <w:szCs w:val="1"/>
                <w:color w:val="auto"/>
              </w:rPr>
            </w:pPr>
          </w:p>
        </w:tc>
      </w:tr>
      <w:tr>
        <w:trPr>
          <w:trHeight w:val="210"/>
        </w:trPr>
        <w:tc>
          <w:tcPr>
            <w:tcW w:w="8400" w:type="dxa"/>
            <w:vAlign w:val="bottom"/>
          </w:tcPr>
          <w:p>
            <w:pPr>
              <w:ind w:left="1440"/>
              <w:spacing w:after="0"/>
              <w:rPr>
                <w:sz w:val="20"/>
                <w:szCs w:val="20"/>
                <w:color w:val="auto"/>
              </w:rPr>
            </w:pPr>
            <w:r>
              <w:rPr>
                <w:rFonts w:ascii="Arial" w:cs="Arial" w:eastAsia="Arial" w:hAnsi="Arial"/>
                <w:sz w:val="16"/>
                <w:szCs w:val="16"/>
                <w:color w:val="auto"/>
              </w:rPr>
              <w:t>Total assets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32,353</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32,642</w:t>
            </w:r>
          </w:p>
        </w:tc>
        <w:tc>
          <w:tcPr>
            <w:tcW w:w="0" w:type="dxa"/>
            <w:vAlign w:val="bottom"/>
          </w:tcPr>
          <w:p>
            <w:pPr>
              <w:spacing w:after="0"/>
              <w:rPr>
                <w:sz w:val="1"/>
                <w:szCs w:val="1"/>
                <w:color w:val="auto"/>
              </w:rPr>
            </w:pPr>
          </w:p>
        </w:tc>
      </w:tr>
      <w:tr>
        <w:trPr>
          <w:trHeight w:val="20"/>
        </w:trPr>
        <w:tc>
          <w:tcPr>
            <w:tcW w:w="84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4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400" w:type="dxa"/>
            <w:vAlign w:val="bottom"/>
          </w:tcPr>
          <w:p>
            <w:pPr>
              <w:ind w:left="20"/>
              <w:spacing w:after="0"/>
              <w:rPr>
                <w:sz w:val="20"/>
                <w:szCs w:val="20"/>
                <w:color w:val="auto"/>
              </w:rPr>
            </w:pPr>
            <w:r>
              <w:rPr>
                <w:rFonts w:ascii="Arial" w:cs="Arial" w:eastAsia="Arial" w:hAnsi="Arial"/>
                <w:sz w:val="16"/>
                <w:szCs w:val="16"/>
                <w:b w:val="1"/>
                <w:bCs w:val="1"/>
                <w:color w:val="auto"/>
              </w:rPr>
              <w:t>Liabilities and Equity:</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Unpaid losses and loss adjustment expenses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14,914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15,094</w:t>
            </w:r>
          </w:p>
        </w:tc>
        <w:tc>
          <w:tcPr>
            <w:tcW w:w="0" w:type="dxa"/>
            <w:vAlign w:val="bottom"/>
          </w:tcPr>
          <w:p>
            <w:pPr>
              <w:spacing w:after="0"/>
              <w:rPr>
                <w:sz w:val="1"/>
                <w:szCs w:val="1"/>
                <w:color w:val="auto"/>
              </w:rPr>
            </w:pPr>
          </w:p>
        </w:tc>
      </w:tr>
      <w:tr>
        <w:trPr>
          <w:trHeight w:val="215"/>
        </w:trPr>
        <w:tc>
          <w:tcPr>
            <w:tcW w:w="8400" w:type="dxa"/>
            <w:vAlign w:val="bottom"/>
          </w:tcPr>
          <w:p>
            <w:pPr>
              <w:ind w:left="360"/>
              <w:spacing w:after="0"/>
              <w:rPr>
                <w:sz w:val="20"/>
                <w:szCs w:val="20"/>
                <w:color w:val="auto"/>
              </w:rPr>
            </w:pPr>
            <w:r>
              <w:rPr>
                <w:rFonts w:ascii="Arial" w:cs="Arial" w:eastAsia="Arial" w:hAnsi="Arial"/>
                <w:sz w:val="16"/>
                <w:szCs w:val="16"/>
                <w:color w:val="auto"/>
              </w:rPr>
              <w:t>Unearned premiums</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3,911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3,736</w:t>
            </w:r>
          </w:p>
        </w:tc>
        <w:tc>
          <w:tcPr>
            <w:tcW w:w="0" w:type="dxa"/>
            <w:vAlign w:val="bottom"/>
          </w:tcPr>
          <w:p>
            <w:pPr>
              <w:spacing w:after="0"/>
              <w:rPr>
                <w:sz w:val="1"/>
                <w:szCs w:val="1"/>
                <w:color w:val="auto"/>
              </w:rPr>
            </w:pPr>
          </w:p>
        </w:tc>
      </w:tr>
      <w:tr>
        <w:trPr>
          <w:trHeight w:val="217"/>
        </w:trPr>
        <w:tc>
          <w:tcPr>
            <w:tcW w:w="8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Payable to reinsurers</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1,195</w:t>
            </w:r>
          </w:p>
        </w:tc>
        <w:tc>
          <w:tcPr>
            <w:tcW w:w="0" w:type="dxa"/>
            <w:vAlign w:val="bottom"/>
          </w:tcPr>
          <w:p>
            <w:pPr>
              <w:spacing w:after="0"/>
              <w:rPr>
                <w:sz w:val="1"/>
                <w:szCs w:val="1"/>
                <w:color w:val="auto"/>
              </w:rPr>
            </w:pPr>
          </w:p>
        </w:tc>
      </w:tr>
      <w:tr>
        <w:trPr>
          <w:trHeight w:val="215"/>
        </w:trPr>
        <w:tc>
          <w:tcPr>
            <w:tcW w:w="8400" w:type="dxa"/>
            <w:vAlign w:val="bottom"/>
          </w:tcPr>
          <w:p>
            <w:pPr>
              <w:ind w:left="360"/>
              <w:spacing w:after="0"/>
              <w:rPr>
                <w:sz w:val="20"/>
                <w:szCs w:val="20"/>
                <w:color w:val="auto"/>
              </w:rPr>
            </w:pPr>
            <w:r>
              <w:rPr>
                <w:rFonts w:ascii="Arial" w:cs="Arial" w:eastAsia="Arial" w:hAnsi="Arial"/>
                <w:sz w:val="16"/>
                <w:szCs w:val="16"/>
                <w:color w:val="auto"/>
              </w:rPr>
              <w:t>Liabilities of managed investment entities</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3,854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3,907</w:t>
            </w:r>
          </w:p>
        </w:tc>
        <w:tc>
          <w:tcPr>
            <w:tcW w:w="0" w:type="dxa"/>
            <w:vAlign w:val="bottom"/>
          </w:tcPr>
          <w:p>
            <w:pPr>
              <w:spacing w:after="0"/>
              <w:rPr>
                <w:sz w:val="1"/>
                <w:szCs w:val="1"/>
                <w:color w:val="auto"/>
              </w:rPr>
            </w:pPr>
          </w:p>
        </w:tc>
      </w:tr>
      <w:tr>
        <w:trPr>
          <w:trHeight w:val="217"/>
        </w:trPr>
        <w:tc>
          <w:tcPr>
            <w:tcW w:w="8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Long-term debt</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1,820</w:t>
            </w:r>
          </w:p>
        </w:tc>
        <w:tc>
          <w:tcPr>
            <w:tcW w:w="0" w:type="dxa"/>
            <w:vAlign w:val="bottom"/>
          </w:tcPr>
          <w:p>
            <w:pPr>
              <w:spacing w:after="0"/>
              <w:rPr>
                <w:sz w:val="1"/>
                <w:szCs w:val="1"/>
                <w:color w:val="auto"/>
              </w:rPr>
            </w:pPr>
          </w:p>
        </w:tc>
      </w:tr>
      <w:tr>
        <w:trPr>
          <w:trHeight w:val="215"/>
        </w:trPr>
        <w:tc>
          <w:tcPr>
            <w:tcW w:w="84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 liabilities</w:t>
            </w: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2,070</w:t>
            </w: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1440"/>
              <w:spacing w:after="0"/>
              <w:rPr>
                <w:sz w:val="20"/>
                <w:szCs w:val="20"/>
                <w:color w:val="auto"/>
              </w:rPr>
            </w:pPr>
            <w:r>
              <w:rPr>
                <w:rFonts w:ascii="Arial" w:cs="Arial" w:eastAsia="Arial" w:hAnsi="Arial"/>
                <w:sz w:val="16"/>
                <w:szCs w:val="16"/>
                <w:color w:val="auto"/>
              </w:rPr>
              <w:t>Total liabilities</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27,675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27,822</w:t>
            </w:r>
          </w:p>
        </w:tc>
        <w:tc>
          <w:tcPr>
            <w:tcW w:w="0" w:type="dxa"/>
            <w:vAlign w:val="bottom"/>
          </w:tcPr>
          <w:p>
            <w:pPr>
              <w:spacing w:after="0"/>
              <w:rPr>
                <w:sz w:val="1"/>
                <w:szCs w:val="1"/>
                <w:color w:val="auto"/>
              </w:rPr>
            </w:pPr>
          </w:p>
        </w:tc>
      </w:tr>
      <w:tr>
        <w:trPr>
          <w:trHeight w:val="216"/>
        </w:trPr>
        <w:tc>
          <w:tcPr>
            <w:tcW w:w="8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Shareholders’ equity:</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400" w:type="dxa"/>
            <w:vAlign w:val="bottom"/>
          </w:tcPr>
          <w:p>
            <w:pPr>
              <w:ind w:left="680"/>
              <w:spacing w:after="0" w:line="162" w:lineRule="exact"/>
              <w:rPr>
                <w:sz w:val="20"/>
                <w:szCs w:val="20"/>
                <w:color w:val="auto"/>
              </w:rPr>
            </w:pPr>
            <w:r>
              <w:rPr>
                <w:rFonts w:ascii="Arial" w:cs="Arial" w:eastAsia="Arial" w:hAnsi="Arial"/>
                <w:sz w:val="16"/>
                <w:szCs w:val="16"/>
                <w:color w:val="auto"/>
              </w:rPr>
              <w:t>Common Stock, no par value</w:t>
            </w: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400" w:type="dxa"/>
            <w:vAlign w:val="bottom"/>
          </w:tcPr>
          <w:p>
            <w:pPr>
              <w:ind w:left="980"/>
              <w:spacing w:after="0" w:line="162" w:lineRule="exact"/>
              <w:rPr>
                <w:sz w:val="20"/>
                <w:szCs w:val="20"/>
                <w:color w:val="auto"/>
              </w:rPr>
            </w:pPr>
            <w:r>
              <w:rPr>
                <w:rFonts w:ascii="Arial" w:cs="Arial" w:eastAsia="Arial" w:hAnsi="Arial"/>
                <w:sz w:val="16"/>
                <w:szCs w:val="16"/>
                <w:color w:val="auto"/>
              </w:rPr>
              <w:t>— 200,000,000 shares authorized</w:t>
            </w:r>
          </w:p>
        </w:tc>
        <w:tc>
          <w:tcPr>
            <w:tcW w:w="22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83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215"/>
        </w:trPr>
        <w:tc>
          <w:tcPr>
            <w:tcW w:w="8400" w:type="dxa"/>
            <w:vAlign w:val="bottom"/>
          </w:tcPr>
          <w:p>
            <w:pPr>
              <w:ind w:left="980"/>
              <w:spacing w:after="0"/>
              <w:rPr>
                <w:sz w:val="20"/>
                <w:szCs w:val="20"/>
                <w:color w:val="auto"/>
              </w:rPr>
            </w:pPr>
            <w:r>
              <w:rPr>
                <w:rFonts w:ascii="Arial" w:cs="Arial" w:eastAsia="Arial" w:hAnsi="Arial"/>
                <w:sz w:val="16"/>
                <w:szCs w:val="16"/>
                <w:color w:val="auto"/>
              </w:rPr>
              <w:t>— 83,086,295 and 83,422,202 shares outstanding</w:t>
            </w:r>
          </w:p>
        </w:tc>
        <w:tc>
          <w:tcPr>
            <w:tcW w:w="22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4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Capital surplus</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1,430</w:t>
            </w:r>
          </w:p>
        </w:tc>
        <w:tc>
          <w:tcPr>
            <w:tcW w:w="0" w:type="dxa"/>
            <w:vAlign w:val="bottom"/>
          </w:tcPr>
          <w:p>
            <w:pPr>
              <w:spacing w:after="0"/>
              <w:rPr>
                <w:sz w:val="1"/>
                <w:szCs w:val="1"/>
                <w:color w:val="auto"/>
              </w:rPr>
            </w:pPr>
          </w:p>
        </w:tc>
      </w:tr>
      <w:tr>
        <w:trPr>
          <w:trHeight w:val="215"/>
        </w:trPr>
        <w:tc>
          <w:tcPr>
            <w:tcW w:w="8400" w:type="dxa"/>
            <w:vAlign w:val="bottom"/>
          </w:tcPr>
          <w:p>
            <w:pPr>
              <w:ind w:left="680"/>
              <w:spacing w:after="0"/>
              <w:rPr>
                <w:sz w:val="20"/>
                <w:szCs w:val="20"/>
                <w:color w:val="auto"/>
              </w:rPr>
            </w:pPr>
            <w:r>
              <w:rPr>
                <w:rFonts w:ascii="Arial" w:cs="Arial" w:eastAsia="Arial" w:hAnsi="Arial"/>
                <w:sz w:val="16"/>
                <w:szCs w:val="16"/>
                <w:color w:val="auto"/>
              </w:rPr>
              <w:t>Retained earnings</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3,294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3,357</w:t>
            </w:r>
          </w:p>
        </w:tc>
        <w:tc>
          <w:tcPr>
            <w:tcW w:w="0" w:type="dxa"/>
            <w:vAlign w:val="bottom"/>
          </w:tcPr>
          <w:p>
            <w:pPr>
              <w:spacing w:after="0"/>
              <w:rPr>
                <w:sz w:val="1"/>
                <w:szCs w:val="1"/>
                <w:color w:val="auto"/>
              </w:rPr>
            </w:pPr>
          </w:p>
        </w:tc>
      </w:tr>
      <w:tr>
        <w:trPr>
          <w:trHeight w:val="217"/>
        </w:trPr>
        <w:tc>
          <w:tcPr>
            <w:tcW w:w="84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Accumulated other comprehensive income (loss), net of tax</w:t>
            </w:r>
          </w:p>
        </w:tc>
        <w:tc>
          <w:tcPr>
            <w:tcW w:w="2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09"/>
        </w:trPr>
        <w:tc>
          <w:tcPr>
            <w:tcW w:w="8400" w:type="dxa"/>
            <w:vAlign w:val="bottom"/>
            <w:tcBorders>
              <w:bottom w:val="single" w:sz="8" w:color="CCEEFF"/>
            </w:tcBorders>
          </w:tcPr>
          <w:p>
            <w:pPr>
              <w:ind w:left="1440"/>
              <w:spacing w:after="0"/>
              <w:rPr>
                <w:sz w:val="20"/>
                <w:szCs w:val="20"/>
                <w:color w:val="auto"/>
              </w:rPr>
            </w:pPr>
            <w:r>
              <w:rPr>
                <w:rFonts w:ascii="Arial" w:cs="Arial" w:eastAsia="Arial" w:hAnsi="Arial"/>
                <w:sz w:val="16"/>
                <w:szCs w:val="16"/>
                <w:color w:val="auto"/>
              </w:rPr>
              <w:t>Total shareholders’ equity</w:t>
            </w: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4,678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4,820</w:t>
            </w:r>
          </w:p>
        </w:tc>
        <w:tc>
          <w:tcPr>
            <w:tcW w:w="0" w:type="dxa"/>
            <w:vAlign w:val="bottom"/>
          </w:tcPr>
          <w:p>
            <w:pPr>
              <w:spacing w:after="0"/>
              <w:rPr>
                <w:sz w:val="1"/>
                <w:szCs w:val="1"/>
                <w:color w:val="auto"/>
              </w:rPr>
            </w:pPr>
          </w:p>
        </w:tc>
      </w:tr>
      <w:tr>
        <w:trPr>
          <w:trHeight w:val="235"/>
        </w:trPr>
        <w:tc>
          <w:tcPr>
            <w:tcW w:w="8400" w:type="dxa"/>
            <w:vAlign w:val="bottom"/>
            <w:tcBorders>
              <w:bottom w:val="single" w:sz="8" w:color="CCEEFF"/>
            </w:tcBorders>
            <w:shd w:val="clear" w:color="auto" w:fill="CCEEFF"/>
          </w:tcPr>
          <w:p>
            <w:pPr>
              <w:ind w:left="1440"/>
              <w:spacing w:after="0"/>
              <w:rPr>
                <w:sz w:val="20"/>
                <w:szCs w:val="20"/>
                <w:color w:val="auto"/>
              </w:rPr>
            </w:pPr>
            <w:r>
              <w:rPr>
                <w:rFonts w:ascii="Arial" w:cs="Arial" w:eastAsia="Arial" w:hAnsi="Arial"/>
                <w:sz w:val="16"/>
                <w:szCs w:val="16"/>
                <w:color w:val="auto"/>
              </w:rPr>
              <w:t>Total liabilities and shareholders’ equity</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32,353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32,642</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 w:name="page4"/>
    <w:bookmarkEnd w:id="3"/>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AND SUBSIDIARIES</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CONSOLIDATED STATEMENT OF EARNINGS (UNAUDITED)</w:t>
      </w:r>
    </w:p>
    <w:p>
      <w:pPr>
        <w:jc w:val="center"/>
        <w:spacing w:after="0"/>
        <w:rPr>
          <w:sz w:val="20"/>
          <w:szCs w:val="20"/>
          <w:color w:val="auto"/>
        </w:rPr>
      </w:pPr>
      <w:r>
        <w:rPr>
          <w:rFonts w:ascii="Arial" w:cs="Arial" w:eastAsia="Arial" w:hAnsi="Arial"/>
          <w:sz w:val="20"/>
          <w:szCs w:val="20"/>
          <w:b w:val="1"/>
          <w:bCs w:val="1"/>
          <w:color w:val="003366"/>
        </w:rPr>
        <w:t>(In Millions, Except Per Share Data)</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220" w:type="dxa"/>
            <w:vAlign w:val="bottom"/>
          </w:tcPr>
          <w:p>
            <w:pPr>
              <w:spacing w:after="0"/>
              <w:rPr>
                <w:sz w:val="16"/>
                <w:szCs w:val="16"/>
                <w:color w:val="auto"/>
              </w:rPr>
            </w:pPr>
          </w:p>
        </w:tc>
        <w:tc>
          <w:tcPr>
            <w:tcW w:w="25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Three months ended March 31,</w:t>
            </w:r>
          </w:p>
        </w:tc>
        <w:tc>
          <w:tcPr>
            <w:tcW w:w="480" w:type="dxa"/>
            <w:vAlign w:val="bottom"/>
            <w:tcBorders>
              <w:bottom w:val="single" w:sz="8" w:color="auto"/>
            </w:tcBorders>
          </w:tcPr>
          <w:p>
            <w:pPr>
              <w:spacing w:after="0"/>
              <w:rPr>
                <w:sz w:val="16"/>
                <w:szCs w:val="16"/>
                <w:color w:val="auto"/>
              </w:rPr>
            </w:pPr>
          </w:p>
        </w:tc>
      </w:tr>
      <w:tr>
        <w:trPr>
          <w:trHeight w:val="196"/>
        </w:trPr>
        <w:tc>
          <w:tcPr>
            <w:tcW w:w="822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2026</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ind w:right="1"/>
              <w:spacing w:after="0"/>
              <w:rPr>
                <w:sz w:val="20"/>
                <w:szCs w:val="20"/>
                <w:color w:val="auto"/>
              </w:rPr>
            </w:pPr>
            <w:r>
              <w:rPr>
                <w:rFonts w:ascii="Arial" w:cs="Arial" w:eastAsia="Arial" w:hAnsi="Arial"/>
                <w:sz w:val="14"/>
                <w:szCs w:val="14"/>
                <w:color w:val="auto"/>
              </w:rPr>
              <w:t>2025</w:t>
            </w:r>
          </w:p>
        </w:tc>
        <w:tc>
          <w:tcPr>
            <w:tcW w:w="480" w:type="dxa"/>
            <w:vAlign w:val="bottom"/>
            <w:tcBorders>
              <w:bottom w:val="single" w:sz="8" w:color="auto"/>
            </w:tcBorders>
          </w:tcPr>
          <w:p>
            <w:pPr>
              <w:spacing w:after="0"/>
              <w:rPr>
                <w:sz w:val="17"/>
                <w:szCs w:val="17"/>
                <w:color w:val="auto"/>
              </w:rPr>
            </w:pPr>
          </w:p>
        </w:tc>
      </w:tr>
      <w:tr>
        <w:trPr>
          <w:trHeight w:val="200"/>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Revenues:</w:t>
            </w:r>
          </w:p>
        </w:tc>
        <w:tc>
          <w:tcPr>
            <w:tcW w:w="9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r>
      <w:tr>
        <w:trPr>
          <w:trHeight w:val="215"/>
        </w:trPr>
        <w:tc>
          <w:tcPr>
            <w:tcW w:w="8220" w:type="dxa"/>
            <w:vAlign w:val="bottom"/>
          </w:tcPr>
          <w:p>
            <w:pPr>
              <w:ind w:left="360"/>
              <w:spacing w:after="0"/>
              <w:rPr>
                <w:sz w:val="20"/>
                <w:szCs w:val="20"/>
                <w:color w:val="auto"/>
              </w:rPr>
            </w:pPr>
            <w:r>
              <w:rPr>
                <w:rFonts w:ascii="Arial" w:cs="Arial" w:eastAsia="Arial" w:hAnsi="Arial"/>
                <w:sz w:val="16"/>
                <w:szCs w:val="16"/>
                <w:color w:val="auto"/>
              </w:rPr>
              <w:t>Net earned premiums</w:t>
            </w:r>
          </w:p>
        </w:tc>
        <w:tc>
          <w:tcPr>
            <w:tcW w:w="940" w:type="dxa"/>
            <w:vAlign w:val="bottom"/>
          </w:tcPr>
          <w:p>
            <w:pPr>
              <w:jc w:val="right"/>
              <w:ind w:right="742"/>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1,609</w:t>
            </w:r>
          </w:p>
        </w:tc>
        <w:tc>
          <w:tcPr>
            <w:tcW w:w="100" w:type="dxa"/>
            <w:vAlign w:val="bottom"/>
          </w:tcPr>
          <w:p>
            <w:pPr>
              <w:spacing w:after="0"/>
              <w:rPr>
                <w:sz w:val="18"/>
                <w:szCs w:val="18"/>
                <w:color w:val="auto"/>
              </w:rPr>
            </w:pPr>
          </w:p>
        </w:tc>
        <w:tc>
          <w:tcPr>
            <w:tcW w:w="980" w:type="dxa"/>
            <w:vAlign w:val="bottom"/>
          </w:tcPr>
          <w:p>
            <w:pPr>
              <w:jc w:val="right"/>
              <w:ind w:right="781"/>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w w:val="94"/>
              </w:rPr>
              <w:t>1,580</w:t>
            </w:r>
          </w:p>
        </w:tc>
      </w:tr>
      <w:tr>
        <w:trPr>
          <w:trHeight w:val="217"/>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Net investment income</w:t>
            </w: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w:t>
            </w:r>
          </w:p>
        </w:tc>
      </w:tr>
      <w:tr>
        <w:trPr>
          <w:trHeight w:val="215"/>
        </w:trPr>
        <w:tc>
          <w:tcPr>
            <w:tcW w:w="8220" w:type="dxa"/>
            <w:vAlign w:val="bottom"/>
          </w:tcPr>
          <w:p>
            <w:pPr>
              <w:ind w:left="360"/>
              <w:spacing w:after="0"/>
              <w:rPr>
                <w:sz w:val="20"/>
                <w:szCs w:val="20"/>
                <w:color w:val="auto"/>
              </w:rPr>
            </w:pPr>
            <w:r>
              <w:rPr>
                <w:rFonts w:ascii="Arial" w:cs="Arial" w:eastAsia="Arial" w:hAnsi="Arial"/>
                <w:sz w:val="16"/>
                <w:szCs w:val="16"/>
                <w:color w:val="auto"/>
              </w:rPr>
              <w:t>Realized gains (losses) on securities</w:t>
            </w: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17"/>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Income of managed investment entities:</w:t>
            </w: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r>
      <w:tr>
        <w:trPr>
          <w:trHeight w:val="215"/>
        </w:trPr>
        <w:tc>
          <w:tcPr>
            <w:tcW w:w="8220" w:type="dxa"/>
            <w:vAlign w:val="bottom"/>
          </w:tcPr>
          <w:p>
            <w:pPr>
              <w:ind w:left="680"/>
              <w:spacing w:after="0"/>
              <w:rPr>
                <w:sz w:val="20"/>
                <w:szCs w:val="20"/>
                <w:color w:val="auto"/>
              </w:rPr>
            </w:pPr>
            <w:r>
              <w:rPr>
                <w:rFonts w:ascii="Arial" w:cs="Arial" w:eastAsia="Arial" w:hAnsi="Arial"/>
                <w:sz w:val="16"/>
                <w:szCs w:val="16"/>
                <w:color w:val="auto"/>
              </w:rPr>
              <w:t>Investment income</w:t>
            </w: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76</w:t>
            </w:r>
          </w:p>
        </w:tc>
      </w:tr>
      <w:tr>
        <w:trPr>
          <w:trHeight w:val="217"/>
        </w:trPr>
        <w:tc>
          <w:tcPr>
            <w:tcW w:w="82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Gain (loss) on change in fair value of assets/liabilities</w:t>
            </w: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15"/>
        </w:trPr>
        <w:tc>
          <w:tcPr>
            <w:tcW w:w="82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 income</w:t>
            </w:r>
          </w:p>
        </w:tc>
        <w:tc>
          <w:tcPr>
            <w:tcW w:w="9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r>
      <w:tr>
        <w:trPr>
          <w:trHeight w:val="210"/>
        </w:trPr>
        <w:tc>
          <w:tcPr>
            <w:tcW w:w="82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revenues</w:t>
            </w: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1,854</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1,856</w:t>
            </w:r>
          </w:p>
        </w:tc>
      </w:tr>
      <w:tr>
        <w:trPr>
          <w:trHeight w:val="216"/>
        </w:trPr>
        <w:tc>
          <w:tcPr>
            <w:tcW w:w="8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16"/>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Costs and Expenses:</w:t>
            </w: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r>
      <w:tr>
        <w:trPr>
          <w:trHeight w:val="215"/>
        </w:trPr>
        <w:tc>
          <w:tcPr>
            <w:tcW w:w="8220" w:type="dxa"/>
            <w:vAlign w:val="bottom"/>
          </w:tcPr>
          <w:p>
            <w:pPr>
              <w:ind w:left="360"/>
              <w:spacing w:after="0"/>
              <w:rPr>
                <w:sz w:val="20"/>
                <w:szCs w:val="20"/>
                <w:color w:val="auto"/>
              </w:rPr>
            </w:pPr>
            <w:r>
              <w:rPr>
                <w:rFonts w:ascii="Arial" w:cs="Arial" w:eastAsia="Arial" w:hAnsi="Arial"/>
                <w:sz w:val="16"/>
                <w:szCs w:val="16"/>
                <w:color w:val="auto"/>
              </w:rPr>
              <w:t>Losses and loss adjustment expenses</w:t>
            </w: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906</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965</w:t>
            </w:r>
          </w:p>
        </w:tc>
      </w:tr>
      <w:tr>
        <w:trPr>
          <w:trHeight w:val="217"/>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Commissions and other underwriting expenses</w:t>
            </w: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556</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530</w:t>
            </w:r>
          </w:p>
        </w:tc>
      </w:tr>
      <w:tr>
        <w:trPr>
          <w:trHeight w:val="215"/>
        </w:trPr>
        <w:tc>
          <w:tcPr>
            <w:tcW w:w="8220" w:type="dxa"/>
            <w:vAlign w:val="bottom"/>
          </w:tcPr>
          <w:p>
            <w:pPr>
              <w:ind w:left="360"/>
              <w:spacing w:after="0"/>
              <w:rPr>
                <w:sz w:val="20"/>
                <w:szCs w:val="20"/>
                <w:color w:val="auto"/>
              </w:rPr>
            </w:pPr>
            <w:r>
              <w:rPr>
                <w:rFonts w:ascii="Arial" w:cs="Arial" w:eastAsia="Arial" w:hAnsi="Arial"/>
                <w:sz w:val="16"/>
                <w:szCs w:val="16"/>
                <w:color w:val="auto"/>
              </w:rPr>
              <w:t>Interest charges on borrowed money</w:t>
            </w: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217"/>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Expenses of managed investment entities</w:t>
            </w: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r>
      <w:tr>
        <w:trPr>
          <w:trHeight w:val="215"/>
        </w:trPr>
        <w:tc>
          <w:tcPr>
            <w:tcW w:w="82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 expenses</w:t>
            </w:r>
          </w:p>
        </w:tc>
        <w:tc>
          <w:tcPr>
            <w:tcW w:w="9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w:t>
            </w: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w:t>
            </w:r>
          </w:p>
        </w:tc>
      </w:tr>
      <w:tr>
        <w:trPr>
          <w:trHeight w:val="210"/>
        </w:trPr>
        <w:tc>
          <w:tcPr>
            <w:tcW w:w="82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costs and expenses</w:t>
            </w:r>
          </w:p>
        </w:tc>
        <w:tc>
          <w:tcPr>
            <w:tcW w:w="9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1,615</w:t>
            </w:r>
          </w:p>
        </w:tc>
        <w:tc>
          <w:tcPr>
            <w:tcW w:w="1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1,659</w:t>
            </w:r>
          </w:p>
        </w:tc>
      </w:tr>
      <w:tr>
        <w:trPr>
          <w:trHeight w:val="209"/>
        </w:trPr>
        <w:tc>
          <w:tcPr>
            <w:tcW w:w="8220" w:type="dxa"/>
            <w:vAlign w:val="bottom"/>
          </w:tcPr>
          <w:p>
            <w:pPr>
              <w:ind w:left="20"/>
              <w:spacing w:after="0"/>
              <w:rPr>
                <w:sz w:val="20"/>
                <w:szCs w:val="20"/>
                <w:color w:val="auto"/>
              </w:rPr>
            </w:pPr>
            <w:r>
              <w:rPr>
                <w:rFonts w:ascii="Arial" w:cs="Arial" w:eastAsia="Arial" w:hAnsi="Arial"/>
                <w:sz w:val="16"/>
                <w:szCs w:val="16"/>
                <w:color w:val="auto"/>
              </w:rPr>
              <w:t>Earnings before income taxes</w:t>
            </w: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239</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197</w:t>
            </w:r>
          </w:p>
        </w:tc>
      </w:tr>
      <w:tr>
        <w:trPr>
          <w:trHeight w:val="216"/>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9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w:t>
            </w:r>
          </w:p>
        </w:tc>
      </w:tr>
      <w:tr>
        <w:trPr>
          <w:trHeight w:val="210"/>
        </w:trPr>
        <w:tc>
          <w:tcPr>
            <w:tcW w:w="8220" w:type="dxa"/>
            <w:vAlign w:val="bottom"/>
          </w:tcPr>
          <w:p>
            <w:pPr>
              <w:ind w:left="20"/>
              <w:spacing w:after="0"/>
              <w:rPr>
                <w:sz w:val="20"/>
                <w:szCs w:val="20"/>
                <w:color w:val="auto"/>
              </w:rPr>
            </w:pPr>
            <w:r>
              <w:rPr>
                <w:rFonts w:ascii="Arial" w:cs="Arial" w:eastAsia="Arial" w:hAnsi="Arial"/>
                <w:sz w:val="16"/>
                <w:szCs w:val="16"/>
                <w:b w:val="1"/>
                <w:bCs w:val="1"/>
                <w:color w:val="auto"/>
              </w:rPr>
              <w:t>Net Earnings</w:t>
            </w:r>
          </w:p>
        </w:tc>
        <w:tc>
          <w:tcPr>
            <w:tcW w:w="940" w:type="dxa"/>
            <w:vAlign w:val="bottom"/>
            <w:tcBorders>
              <w:bottom w:val="single" w:sz="8" w:color="auto"/>
            </w:tcBorders>
          </w:tcPr>
          <w:p>
            <w:pPr>
              <w:jc w:val="right"/>
              <w:ind w:right="742"/>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w:t>
            </w:r>
          </w:p>
        </w:tc>
        <w:tc>
          <w:tcPr>
            <w:tcW w:w="100" w:type="dxa"/>
            <w:vAlign w:val="bottom"/>
          </w:tcPr>
          <w:p>
            <w:pPr>
              <w:spacing w:after="0"/>
              <w:rPr>
                <w:sz w:val="18"/>
                <w:szCs w:val="18"/>
                <w:color w:val="auto"/>
              </w:rPr>
            </w:pPr>
          </w:p>
        </w:tc>
        <w:tc>
          <w:tcPr>
            <w:tcW w:w="980" w:type="dxa"/>
            <w:vAlign w:val="bottom"/>
            <w:tcBorders>
              <w:bottom w:val="single" w:sz="8" w:color="auto"/>
            </w:tcBorders>
          </w:tcPr>
          <w:p>
            <w:pPr>
              <w:jc w:val="right"/>
              <w:ind w:right="781"/>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w:t>
            </w: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r>
        <w:trPr>
          <w:trHeight w:val="183"/>
        </w:trPr>
        <w:tc>
          <w:tcPr>
            <w:tcW w:w="8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r>
      <w:tr>
        <w:trPr>
          <w:trHeight w:val="216"/>
        </w:trPr>
        <w:tc>
          <w:tcPr>
            <w:tcW w:w="8220" w:type="dxa"/>
            <w:vAlign w:val="bottom"/>
          </w:tcPr>
          <w:p>
            <w:pPr>
              <w:ind w:left="20"/>
              <w:spacing w:after="0"/>
              <w:rPr>
                <w:sz w:val="20"/>
                <w:szCs w:val="20"/>
                <w:color w:val="auto"/>
              </w:rPr>
            </w:pPr>
            <w:r>
              <w:rPr>
                <w:rFonts w:ascii="Arial" w:cs="Arial" w:eastAsia="Arial" w:hAnsi="Arial"/>
                <w:sz w:val="16"/>
                <w:szCs w:val="16"/>
                <w:b w:val="1"/>
                <w:bCs w:val="1"/>
                <w:color w:val="auto"/>
              </w:rPr>
              <w:t>Earnings per Common Share:</w:t>
            </w: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14"/>
        </w:trPr>
        <w:tc>
          <w:tcPr>
            <w:tcW w:w="82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basic earnings</w:t>
            </w:r>
          </w:p>
        </w:tc>
        <w:tc>
          <w:tcPr>
            <w:tcW w:w="940" w:type="dxa"/>
            <w:vAlign w:val="bottom"/>
            <w:tcBorders>
              <w:bottom w:val="single" w:sz="8" w:color="auto"/>
            </w:tcBorders>
            <w:shd w:val="clear" w:color="auto" w:fill="CCEEFF"/>
          </w:tcPr>
          <w:p>
            <w:pPr>
              <w:jc w:val="right"/>
              <w:ind w:right="742"/>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2.29</w:t>
            </w:r>
          </w:p>
        </w:tc>
        <w:tc>
          <w:tcPr>
            <w:tcW w:w="1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781"/>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1.84</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8220" w:type="dxa"/>
            <w:vAlign w:val="bottom"/>
          </w:tcPr>
          <w:p>
            <w:pPr>
              <w:ind w:left="360"/>
              <w:spacing w:after="0"/>
              <w:rPr>
                <w:sz w:val="20"/>
                <w:szCs w:val="20"/>
                <w:color w:val="auto"/>
              </w:rPr>
            </w:pPr>
            <w:r>
              <w:rPr>
                <w:rFonts w:ascii="Arial" w:cs="Arial" w:eastAsia="Arial" w:hAnsi="Arial"/>
                <w:sz w:val="16"/>
                <w:szCs w:val="16"/>
                <w:color w:val="auto"/>
              </w:rPr>
              <w:t>Total diluted earnings</w:t>
            </w:r>
          </w:p>
        </w:tc>
        <w:tc>
          <w:tcPr>
            <w:tcW w:w="940" w:type="dxa"/>
            <w:vAlign w:val="bottom"/>
            <w:tcBorders>
              <w:bottom w:val="single" w:sz="8" w:color="auto"/>
            </w:tcBorders>
          </w:tcPr>
          <w:p>
            <w:pPr>
              <w:jc w:val="right"/>
              <w:ind w:right="742"/>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w:t>
            </w:r>
          </w:p>
        </w:tc>
        <w:tc>
          <w:tcPr>
            <w:tcW w:w="100" w:type="dxa"/>
            <w:vAlign w:val="bottom"/>
          </w:tcPr>
          <w:p>
            <w:pPr>
              <w:spacing w:after="0"/>
              <w:rPr>
                <w:sz w:val="16"/>
                <w:szCs w:val="16"/>
                <w:color w:val="auto"/>
              </w:rPr>
            </w:pPr>
          </w:p>
        </w:tc>
        <w:tc>
          <w:tcPr>
            <w:tcW w:w="980" w:type="dxa"/>
            <w:vAlign w:val="bottom"/>
            <w:tcBorders>
              <w:bottom w:val="single" w:sz="8" w:color="auto"/>
            </w:tcBorders>
          </w:tcPr>
          <w:p>
            <w:pPr>
              <w:jc w:val="right"/>
              <w:ind w:right="781"/>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w:t>
            </w: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r>
        <w:trPr>
          <w:trHeight w:val="183"/>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Average number of Common Shares:</w:t>
            </w:r>
          </w:p>
        </w:tc>
        <w:tc>
          <w:tcPr>
            <w:tcW w:w="9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r>
      <w:tr>
        <w:trPr>
          <w:trHeight w:val="215"/>
        </w:trPr>
        <w:tc>
          <w:tcPr>
            <w:tcW w:w="8220" w:type="dxa"/>
            <w:vAlign w:val="bottom"/>
          </w:tcPr>
          <w:p>
            <w:pPr>
              <w:ind w:left="360"/>
              <w:spacing w:after="0"/>
              <w:rPr>
                <w:sz w:val="20"/>
                <w:szCs w:val="20"/>
                <w:color w:val="auto"/>
              </w:rPr>
            </w:pPr>
            <w:r>
              <w:rPr>
                <w:rFonts w:ascii="Arial" w:cs="Arial" w:eastAsia="Arial" w:hAnsi="Arial"/>
                <w:sz w:val="16"/>
                <w:szCs w:val="16"/>
                <w:color w:val="auto"/>
              </w:rPr>
              <w:t>Basic</w:t>
            </w: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83.3</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83.8</w:t>
            </w:r>
          </w:p>
        </w:tc>
      </w:tr>
      <w:tr>
        <w:trPr>
          <w:trHeight w:val="217"/>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Diluted</w:t>
            </w: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83.3</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83.8</w:t>
            </w:r>
          </w:p>
        </w:tc>
      </w:tr>
    </w:tbl>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 w:name="page5"/>
    <w:bookmarkEnd w:id="4"/>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317" w:lineRule="exact"/>
        <w:rPr>
          <w:sz w:val="20"/>
          <w:szCs w:val="20"/>
          <w:color w:val="auto"/>
        </w:rPr>
      </w:pPr>
    </w:p>
    <w:p>
      <w:pPr>
        <w:ind w:left="2920"/>
        <w:spacing w:after="0"/>
        <w:rPr>
          <w:sz w:val="20"/>
          <w:szCs w:val="20"/>
          <w:color w:val="auto"/>
        </w:rPr>
      </w:pPr>
      <w:r>
        <w:rPr>
          <w:rFonts w:ascii="Arial" w:cs="Arial" w:eastAsia="Arial" w:hAnsi="Arial"/>
          <w:sz w:val="20"/>
          <w:szCs w:val="20"/>
          <w:b w:val="1"/>
          <w:bCs w:val="1"/>
          <w:color w:val="003366"/>
        </w:rPr>
        <w:t>AMERICAN FINANCIAL GROUP, INC. AND SUBSIDIARIES</w:t>
      </w:r>
    </w:p>
    <w:p>
      <w:pPr>
        <w:spacing w:after="0" w:line="33" w:lineRule="exact"/>
        <w:rPr>
          <w:sz w:val="20"/>
          <w:szCs w:val="20"/>
          <w:color w:val="auto"/>
        </w:rPr>
      </w:pPr>
    </w:p>
    <w:p>
      <w:pPr>
        <w:ind w:left="2060"/>
        <w:spacing w:after="0"/>
        <w:rPr>
          <w:sz w:val="20"/>
          <w:szCs w:val="20"/>
          <w:color w:val="auto"/>
        </w:rPr>
      </w:pPr>
      <w:r>
        <w:rPr>
          <w:rFonts w:ascii="Arial" w:cs="Arial" w:eastAsia="Arial" w:hAnsi="Arial"/>
          <w:sz w:val="20"/>
          <w:szCs w:val="20"/>
          <w:b w:val="1"/>
          <w:bCs w:val="1"/>
          <w:color w:val="003366"/>
        </w:rPr>
        <w:t>CONSOLIDATED STATEMENT OF COMPREHENSIVE INCOME (UNAUDITED)</w:t>
      </w:r>
    </w:p>
    <w:p>
      <w:pPr>
        <w:jc w:val="center"/>
        <w:spacing w:after="0"/>
        <w:rPr>
          <w:sz w:val="20"/>
          <w:szCs w:val="20"/>
          <w:color w:val="auto"/>
        </w:rPr>
      </w:pPr>
      <w:r>
        <w:rPr>
          <w:rFonts w:ascii="Arial" w:cs="Arial" w:eastAsia="Arial" w:hAnsi="Arial"/>
          <w:sz w:val="20"/>
          <w:szCs w:val="20"/>
          <w:b w:val="1"/>
          <w:bCs w:val="1"/>
          <w:color w:val="003366"/>
        </w:rPr>
        <w:t>(In Millions)</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80" w:type="dxa"/>
            <w:vAlign w:val="bottom"/>
          </w:tcPr>
          <w:p>
            <w:pPr>
              <w:spacing w:after="0"/>
              <w:rPr>
                <w:sz w:val="17"/>
                <w:szCs w:val="17"/>
                <w:color w:val="auto"/>
              </w:rPr>
            </w:pPr>
          </w:p>
        </w:tc>
        <w:tc>
          <w:tcPr>
            <w:tcW w:w="2800" w:type="dxa"/>
            <w:vAlign w:val="bottom"/>
            <w:tcBorders>
              <w:bottom w:val="single" w:sz="8" w:color="auto"/>
            </w:tcBorders>
            <w:gridSpan w:val="4"/>
          </w:tcPr>
          <w:p>
            <w:pPr>
              <w:jc w:val="right"/>
              <w:ind w:right="21"/>
              <w:spacing w:after="0"/>
              <w:rPr>
                <w:sz w:val="20"/>
                <w:szCs w:val="20"/>
                <w:color w:val="auto"/>
              </w:rPr>
            </w:pPr>
            <w:r>
              <w:rPr>
                <w:rFonts w:ascii="Arial" w:cs="Arial" w:eastAsia="Arial" w:hAnsi="Arial"/>
                <w:sz w:val="15"/>
                <w:szCs w:val="15"/>
                <w:color w:val="auto"/>
              </w:rPr>
              <w:t>Three months ended March 31,</w:t>
            </w:r>
          </w:p>
        </w:tc>
        <w:tc>
          <w:tcPr>
            <w:tcW w:w="460" w:type="dxa"/>
            <w:vAlign w:val="bottom"/>
            <w:tcBorders>
              <w:bottom w:val="single" w:sz="8" w:color="auto"/>
            </w:tcBorders>
          </w:tcPr>
          <w:p>
            <w:pPr>
              <w:spacing w:after="0"/>
              <w:rPr>
                <w:sz w:val="17"/>
                <w:szCs w:val="17"/>
                <w:color w:val="auto"/>
              </w:rPr>
            </w:pPr>
          </w:p>
        </w:tc>
      </w:tr>
      <w:tr>
        <w:trPr>
          <w:trHeight w:val="198"/>
        </w:trPr>
        <w:tc>
          <w:tcPr>
            <w:tcW w:w="798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ind w:right="61"/>
              <w:spacing w:after="0"/>
              <w:rPr>
                <w:sz w:val="20"/>
                <w:szCs w:val="20"/>
                <w:color w:val="auto"/>
              </w:rPr>
            </w:pPr>
            <w:r>
              <w:rPr>
                <w:rFonts w:ascii="Arial" w:cs="Arial" w:eastAsia="Arial" w:hAnsi="Arial"/>
                <w:sz w:val="15"/>
                <w:szCs w:val="15"/>
                <w:color w:val="auto"/>
              </w:rPr>
              <w:t>2026</w:t>
            </w: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ind w:right="81"/>
              <w:spacing w:after="0"/>
              <w:rPr>
                <w:sz w:val="20"/>
                <w:szCs w:val="20"/>
                <w:color w:val="auto"/>
              </w:rPr>
            </w:pPr>
            <w:r>
              <w:rPr>
                <w:rFonts w:ascii="Arial" w:cs="Arial" w:eastAsia="Arial" w:hAnsi="Arial"/>
                <w:sz w:val="15"/>
                <w:szCs w:val="15"/>
                <w:color w:val="auto"/>
              </w:rPr>
              <w:t>2025</w:t>
            </w:r>
          </w:p>
        </w:tc>
        <w:tc>
          <w:tcPr>
            <w:tcW w:w="460" w:type="dxa"/>
            <w:vAlign w:val="bottom"/>
            <w:tcBorders>
              <w:bottom w:val="single" w:sz="8" w:color="auto"/>
            </w:tcBorders>
          </w:tcPr>
          <w:p>
            <w:pPr>
              <w:spacing w:after="0"/>
              <w:rPr>
                <w:sz w:val="17"/>
                <w:szCs w:val="17"/>
                <w:color w:val="auto"/>
              </w:rPr>
            </w:pPr>
          </w:p>
        </w:tc>
      </w:tr>
      <w:tr>
        <w:trPr>
          <w:trHeight w:val="211"/>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earnings</w:t>
            </w:r>
          </w:p>
        </w:tc>
        <w:tc>
          <w:tcPr>
            <w:tcW w:w="1100" w:type="dxa"/>
            <w:vAlign w:val="bottom"/>
            <w:shd w:val="clear" w:color="auto" w:fill="CCEEFF"/>
          </w:tcPr>
          <w:p>
            <w:pPr>
              <w:jc w:val="right"/>
              <w:ind w:right="901"/>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41"/>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w:t>
            </w:r>
          </w:p>
        </w:tc>
      </w:tr>
      <w:tr>
        <w:trPr>
          <w:trHeight w:val="270"/>
        </w:trPr>
        <w:tc>
          <w:tcPr>
            <w:tcW w:w="79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60" w:type="dxa"/>
            <w:vAlign w:val="bottom"/>
          </w:tcPr>
          <w:p>
            <w:pPr>
              <w:spacing w:after="0"/>
              <w:rPr>
                <w:sz w:val="23"/>
                <w:szCs w:val="23"/>
                <w:color w:val="auto"/>
              </w:rPr>
            </w:pPr>
          </w:p>
        </w:tc>
      </w:tr>
      <w:tr>
        <w:trPr>
          <w:trHeight w:val="216"/>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income (loss), net of tax:</w:t>
            </w: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r>
      <w:tr>
        <w:trPr>
          <w:trHeight w:val="215"/>
        </w:trPr>
        <w:tc>
          <w:tcPr>
            <w:tcW w:w="7980" w:type="dxa"/>
            <w:vAlign w:val="bottom"/>
          </w:tcPr>
          <w:p>
            <w:pPr>
              <w:ind w:left="140"/>
              <w:spacing w:after="0"/>
              <w:rPr>
                <w:sz w:val="20"/>
                <w:szCs w:val="20"/>
                <w:color w:val="auto"/>
              </w:rPr>
            </w:pPr>
            <w:r>
              <w:rPr>
                <w:rFonts w:ascii="Arial" w:cs="Arial" w:eastAsia="Arial" w:hAnsi="Arial"/>
                <w:sz w:val="16"/>
                <w:szCs w:val="16"/>
                <w:color w:val="auto"/>
              </w:rPr>
              <w:t>Net unrealized gains (losses) on securities:</w:t>
            </w: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17"/>
        </w:trPr>
        <w:tc>
          <w:tcPr>
            <w:tcW w:w="79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Unrealized holding gains (losses) on securities arising during the period</w:t>
            </w: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r>
      <w:tr>
        <w:trPr>
          <w:trHeight w:val="215"/>
        </w:trPr>
        <w:tc>
          <w:tcPr>
            <w:tcW w:w="798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Reclassification adjustment for realized (gains) losses included in net earnings</w:t>
            </w:r>
          </w:p>
        </w:tc>
        <w:tc>
          <w:tcPr>
            <w:tcW w:w="1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r>
      <w:tr>
        <w:trPr>
          <w:trHeight w:val="210"/>
        </w:trPr>
        <w:tc>
          <w:tcPr>
            <w:tcW w:w="7980" w:type="dxa"/>
            <w:vAlign w:val="bottom"/>
            <w:shd w:val="clear" w:color="auto" w:fill="CCEEFF"/>
          </w:tcPr>
          <w:p>
            <w:pPr>
              <w:ind w:left="400"/>
              <w:spacing w:after="0"/>
              <w:rPr>
                <w:sz w:val="20"/>
                <w:szCs w:val="20"/>
                <w:color w:val="auto"/>
              </w:rPr>
            </w:pPr>
            <w:r>
              <w:rPr>
                <w:rFonts w:ascii="Arial" w:cs="Arial" w:eastAsia="Arial" w:hAnsi="Arial"/>
                <w:sz w:val="16"/>
                <w:szCs w:val="16"/>
                <w:color w:val="auto"/>
              </w:rPr>
              <w:t>Total net unrealized gains (losses) on securities</w:t>
            </w: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r>
      <w:tr>
        <w:trPr>
          <w:trHeight w:val="215"/>
        </w:trPr>
        <w:tc>
          <w:tcPr>
            <w:tcW w:w="7980" w:type="dxa"/>
            <w:vAlign w:val="bottom"/>
          </w:tcPr>
          <w:p>
            <w:pPr>
              <w:ind w:left="140"/>
              <w:spacing w:after="0"/>
              <w:rPr>
                <w:sz w:val="20"/>
                <w:szCs w:val="20"/>
                <w:color w:val="auto"/>
              </w:rPr>
            </w:pPr>
            <w:r>
              <w:rPr>
                <w:rFonts w:ascii="Arial" w:cs="Arial" w:eastAsia="Arial" w:hAnsi="Arial"/>
                <w:sz w:val="16"/>
                <w:szCs w:val="16"/>
                <w:color w:val="auto"/>
              </w:rPr>
              <w:t>Net unrealized gains (losses) on cash flow hedges:</w:t>
            </w: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17"/>
        </w:trPr>
        <w:tc>
          <w:tcPr>
            <w:tcW w:w="79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Unrealized holding gains (losses) on cash flow hedges arising during the period</w:t>
            </w:r>
          </w:p>
        </w:tc>
        <w:tc>
          <w:tcPr>
            <w:tcW w:w="1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15"/>
        </w:trPr>
        <w:tc>
          <w:tcPr>
            <w:tcW w:w="798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Reclassification adjustment for investment income included in net earnings</w:t>
            </w:r>
          </w:p>
        </w:tc>
        <w:tc>
          <w:tcPr>
            <w:tcW w:w="1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r>
      <w:tr>
        <w:trPr>
          <w:trHeight w:val="210"/>
        </w:trPr>
        <w:tc>
          <w:tcPr>
            <w:tcW w:w="7980" w:type="dxa"/>
            <w:vAlign w:val="bottom"/>
            <w:shd w:val="clear" w:color="auto" w:fill="CCEEFF"/>
          </w:tcPr>
          <w:p>
            <w:pPr>
              <w:ind w:left="400"/>
              <w:spacing w:after="0"/>
              <w:rPr>
                <w:sz w:val="20"/>
                <w:szCs w:val="20"/>
                <w:color w:val="auto"/>
              </w:rPr>
            </w:pPr>
            <w:r>
              <w:rPr>
                <w:rFonts w:ascii="Arial" w:cs="Arial" w:eastAsia="Arial" w:hAnsi="Arial"/>
                <w:sz w:val="16"/>
                <w:szCs w:val="16"/>
                <w:color w:val="auto"/>
              </w:rPr>
              <w:t>Total net unrealized gains (losses) on cash flow hedges</w:t>
            </w: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15"/>
        </w:trPr>
        <w:tc>
          <w:tcPr>
            <w:tcW w:w="7980" w:type="dxa"/>
            <w:vAlign w:val="bottom"/>
          </w:tcPr>
          <w:p>
            <w:pPr>
              <w:ind w:left="140"/>
              <w:spacing w:after="0"/>
              <w:rPr>
                <w:sz w:val="20"/>
                <w:szCs w:val="20"/>
                <w:color w:val="auto"/>
              </w:rPr>
            </w:pPr>
            <w:r>
              <w:rPr>
                <w:rFonts w:ascii="Arial" w:cs="Arial" w:eastAsia="Arial" w:hAnsi="Arial"/>
                <w:sz w:val="16"/>
                <w:szCs w:val="16"/>
                <w:color w:val="auto"/>
              </w:rPr>
              <w:t>Foreign currency translation adjustments</w:t>
            </w:r>
          </w:p>
        </w:tc>
        <w:tc>
          <w:tcPr>
            <w:tcW w:w="110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09"/>
        </w:trPr>
        <w:tc>
          <w:tcPr>
            <w:tcW w:w="7980" w:type="dxa"/>
            <w:vAlign w:val="bottom"/>
            <w:tcBorders>
              <w:top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Other comprehensive income (loss), net of tax</w:t>
            </w:r>
          </w:p>
        </w:tc>
        <w:tc>
          <w:tcPr>
            <w:tcW w:w="110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w:t>
            </w:r>
          </w:p>
        </w:tc>
      </w:tr>
      <w:tr>
        <w:trPr>
          <w:trHeight w:val="237"/>
        </w:trPr>
        <w:tc>
          <w:tcPr>
            <w:tcW w:w="79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r>
      <w:tr>
        <w:trPr>
          <w:trHeight w:val="241"/>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Comprehensive income</w:t>
            </w:r>
          </w:p>
        </w:tc>
        <w:tc>
          <w:tcPr>
            <w:tcW w:w="1100" w:type="dxa"/>
            <w:vAlign w:val="bottom"/>
            <w:tcBorders>
              <w:bottom w:val="single" w:sz="8" w:color="auto"/>
            </w:tcBorders>
            <w:shd w:val="clear" w:color="auto" w:fill="CCEEFF"/>
          </w:tcPr>
          <w:p>
            <w:pPr>
              <w:jc w:val="right"/>
              <w:ind w:right="901"/>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941"/>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 w:name="page6"/>
    <w:bookmarkEnd w:id="5"/>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317" w:lineRule="exact"/>
        <w:rPr>
          <w:sz w:val="20"/>
          <w:szCs w:val="20"/>
          <w:color w:val="auto"/>
        </w:rPr>
      </w:pPr>
    </w:p>
    <w:p>
      <w:pPr>
        <w:ind w:left="2920"/>
        <w:spacing w:after="0"/>
        <w:rPr>
          <w:sz w:val="20"/>
          <w:szCs w:val="20"/>
          <w:color w:val="auto"/>
        </w:rPr>
      </w:pPr>
      <w:r>
        <w:rPr>
          <w:rFonts w:ascii="Arial" w:cs="Arial" w:eastAsia="Arial" w:hAnsi="Arial"/>
          <w:sz w:val="20"/>
          <w:szCs w:val="20"/>
          <w:b w:val="1"/>
          <w:bCs w:val="1"/>
          <w:color w:val="003366"/>
        </w:rPr>
        <w:t>AMERICAN FINANCIAL GROUP, INC. AND SUBSIDIARIES</w:t>
      </w:r>
    </w:p>
    <w:p>
      <w:pPr>
        <w:spacing w:after="0" w:line="33" w:lineRule="exact"/>
        <w:rPr>
          <w:sz w:val="20"/>
          <w:szCs w:val="20"/>
          <w:color w:val="auto"/>
        </w:rPr>
      </w:pPr>
    </w:p>
    <w:p>
      <w:pPr>
        <w:ind w:left="2340"/>
        <w:spacing w:after="0"/>
        <w:rPr>
          <w:sz w:val="20"/>
          <w:szCs w:val="20"/>
          <w:color w:val="auto"/>
        </w:rPr>
      </w:pPr>
      <w:r>
        <w:rPr>
          <w:rFonts w:ascii="Arial" w:cs="Arial" w:eastAsia="Arial" w:hAnsi="Arial"/>
          <w:sz w:val="20"/>
          <w:szCs w:val="20"/>
          <w:b w:val="1"/>
          <w:bCs w:val="1"/>
          <w:color w:val="003366"/>
        </w:rPr>
        <w:t>CONSOLIDATED STATEMENT OF CHANGES IN EQUITY (UNAUDITED)</w:t>
      </w:r>
    </w:p>
    <w:p>
      <w:pPr>
        <w:jc w:val="center"/>
        <w:spacing w:after="0"/>
        <w:rPr>
          <w:sz w:val="20"/>
          <w:szCs w:val="20"/>
          <w:color w:val="auto"/>
        </w:rPr>
      </w:pPr>
      <w:r>
        <w:rPr>
          <w:rFonts w:ascii="Arial" w:cs="Arial" w:eastAsia="Arial" w:hAnsi="Arial"/>
          <w:sz w:val="20"/>
          <w:szCs w:val="20"/>
          <w:b w:val="1"/>
          <w:bCs w:val="1"/>
          <w:color w:val="003366"/>
        </w:rPr>
        <w:t>(Dollars in Millions)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color w:val="auto"/>
              </w:rPr>
              <w:t>Shareholders’ Equity</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47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3"/>
            <w:vMerge w:val="restart"/>
          </w:tcPr>
          <w:p>
            <w:pPr>
              <w:jc w:val="center"/>
              <w:ind w:right="100"/>
              <w:spacing w:after="0"/>
              <w:rPr>
                <w:sz w:val="20"/>
                <w:szCs w:val="20"/>
                <w:color w:val="auto"/>
              </w:rPr>
            </w:pPr>
            <w:r>
              <w:rPr>
                <w:rFonts w:ascii="Arial" w:cs="Arial" w:eastAsia="Arial" w:hAnsi="Arial"/>
                <w:sz w:val="14"/>
                <w:szCs w:val="14"/>
                <w:color w:val="auto"/>
              </w:rPr>
              <w:t>Common Stock and</w:t>
            </w:r>
          </w:p>
        </w:tc>
        <w:tc>
          <w:tcPr>
            <w:tcW w:w="160" w:type="dxa"/>
            <w:vAlign w:val="bottom"/>
          </w:tcPr>
          <w:p>
            <w:pPr>
              <w:spacing w:after="0"/>
              <w:rPr>
                <w:sz w:val="14"/>
                <w:szCs w:val="14"/>
                <w:color w:val="auto"/>
              </w:rPr>
            </w:pPr>
          </w:p>
        </w:tc>
        <w:tc>
          <w:tcPr>
            <w:tcW w:w="920" w:type="dxa"/>
            <w:vAlign w:val="bottom"/>
            <w:gridSpan w:val="2"/>
            <w:vMerge w:val="restart"/>
          </w:tcPr>
          <w:p>
            <w:pPr>
              <w:ind w:left="40"/>
              <w:spacing w:after="0"/>
              <w:rPr>
                <w:sz w:val="20"/>
                <w:szCs w:val="20"/>
                <w:color w:val="auto"/>
              </w:rPr>
            </w:pPr>
            <w:r>
              <w:rPr>
                <w:rFonts w:ascii="Arial" w:cs="Arial" w:eastAsia="Arial" w:hAnsi="Arial"/>
                <w:sz w:val="14"/>
                <w:szCs w:val="14"/>
                <w:color w:val="auto"/>
              </w:rPr>
              <w:t>Retained</w:t>
            </w:r>
          </w:p>
        </w:tc>
        <w:tc>
          <w:tcPr>
            <w:tcW w:w="1460" w:type="dxa"/>
            <w:vAlign w:val="bottom"/>
            <w:gridSpan w:val="3"/>
          </w:tcPr>
          <w:p>
            <w:pPr>
              <w:jc w:val="center"/>
              <w:ind w:right="100"/>
              <w:spacing w:after="0"/>
              <w:rPr>
                <w:sz w:val="20"/>
                <w:szCs w:val="20"/>
                <w:color w:val="auto"/>
              </w:rPr>
            </w:pPr>
            <w:r>
              <w:rPr>
                <w:rFonts w:ascii="Arial" w:cs="Arial" w:eastAsia="Arial" w:hAnsi="Arial"/>
                <w:sz w:val="14"/>
                <w:szCs w:val="14"/>
                <w:color w:val="auto"/>
              </w:rPr>
              <w:t>Accumulated Other</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80" w:type="dxa"/>
            <w:vAlign w:val="bottom"/>
          </w:tcPr>
          <w:p>
            <w:pPr>
              <w:spacing w:after="0"/>
              <w:rPr>
                <w:sz w:val="12"/>
                <w:szCs w:val="12"/>
                <w:color w:val="auto"/>
              </w:rPr>
            </w:pPr>
          </w:p>
        </w:tc>
        <w:tc>
          <w:tcPr>
            <w:tcW w:w="1400" w:type="dxa"/>
            <w:vAlign w:val="bottom"/>
            <w:tcBorders>
              <w:right w:val="single" w:sz="8" w:color="auto"/>
            </w:tcBorders>
            <w:gridSpan w:val="2"/>
            <w:vMerge w:val="restart"/>
          </w:tcPr>
          <w:p>
            <w:pPr>
              <w:ind w:left="100"/>
              <w:spacing w:after="0"/>
              <w:rPr>
                <w:sz w:val="20"/>
                <w:szCs w:val="20"/>
                <w:color w:val="auto"/>
              </w:rPr>
            </w:pPr>
            <w:r>
              <w:rPr>
                <w:rFonts w:ascii="Arial" w:cs="Arial" w:eastAsia="Arial" w:hAnsi="Arial"/>
                <w:sz w:val="14"/>
                <w:szCs w:val="14"/>
                <w:color w:val="auto"/>
              </w:rPr>
              <w:t>Common Shares</w:t>
            </w:r>
          </w:p>
        </w:tc>
        <w:tc>
          <w:tcPr>
            <w:tcW w:w="80" w:type="dxa"/>
            <w:vAlign w:val="bottom"/>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rPr>
              <w:t>Comp. Income</w:t>
            </w:r>
          </w:p>
        </w:tc>
        <w:tc>
          <w:tcPr>
            <w:tcW w:w="220" w:type="dxa"/>
            <w:vAlign w:val="bottom"/>
          </w:tcPr>
          <w:p>
            <w:pPr>
              <w:spacing w:after="0"/>
              <w:rPr>
                <w:sz w:val="12"/>
                <w:szCs w:val="12"/>
                <w:color w:val="auto"/>
              </w:rPr>
            </w:pPr>
          </w:p>
        </w:tc>
        <w:tc>
          <w:tcPr>
            <w:tcW w:w="760" w:type="dxa"/>
            <w:vAlign w:val="bottom"/>
            <w:vMerge w:val="restart"/>
          </w:tcPr>
          <w:p>
            <w:pPr>
              <w:jc w:val="right"/>
              <w:ind w:right="259"/>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89"/>
        </w:trPr>
        <w:tc>
          <w:tcPr>
            <w:tcW w:w="4780" w:type="dxa"/>
            <w:vAlign w:val="bottom"/>
          </w:tcPr>
          <w:p>
            <w:pPr>
              <w:spacing w:after="0"/>
              <w:rPr>
                <w:sz w:val="16"/>
                <w:szCs w:val="16"/>
                <w:color w:val="auto"/>
              </w:rPr>
            </w:pPr>
          </w:p>
        </w:tc>
        <w:tc>
          <w:tcPr>
            <w:tcW w:w="1400" w:type="dxa"/>
            <w:vAlign w:val="bottom"/>
            <w:tcBorders>
              <w:right w:val="single" w:sz="8" w:color="auto"/>
            </w:tcBorders>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color w:val="auto"/>
              </w:rPr>
              <w:t>Capital Surplus</w:t>
            </w:r>
          </w:p>
        </w:tc>
        <w:tc>
          <w:tcPr>
            <w:tcW w:w="160" w:type="dxa"/>
            <w:vAlign w:val="bottom"/>
          </w:tcPr>
          <w:p>
            <w:pPr>
              <w:spacing w:after="0"/>
              <w:rPr>
                <w:sz w:val="16"/>
                <w:szCs w:val="16"/>
                <w:color w:val="auto"/>
              </w:rPr>
            </w:pPr>
          </w:p>
        </w:tc>
        <w:tc>
          <w:tcPr>
            <w:tcW w:w="920" w:type="dxa"/>
            <w:vAlign w:val="bottom"/>
            <w:gridSpan w:val="2"/>
          </w:tcPr>
          <w:p>
            <w:pPr>
              <w:ind w:left="40"/>
              <w:spacing w:after="0"/>
              <w:rPr>
                <w:sz w:val="20"/>
                <w:szCs w:val="20"/>
                <w:color w:val="auto"/>
              </w:rPr>
            </w:pPr>
            <w:r>
              <w:rPr>
                <w:rFonts w:ascii="Arial" w:cs="Arial" w:eastAsia="Arial" w:hAnsi="Arial"/>
                <w:sz w:val="14"/>
                <w:szCs w:val="14"/>
                <w:color w:val="auto"/>
              </w:rPr>
              <w:t>Earnings</w:t>
            </w:r>
          </w:p>
        </w:tc>
        <w:tc>
          <w:tcPr>
            <w:tcW w:w="16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color w:val="auto"/>
              </w:rPr>
              <w:t>(Loss)</w:t>
            </w:r>
          </w:p>
        </w:tc>
        <w:tc>
          <w:tcPr>
            <w:tcW w:w="2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2025</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83,422,202</w:t>
            </w: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1,513</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3,357</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4,820</w:t>
            </w:r>
          </w:p>
        </w:tc>
        <w:tc>
          <w:tcPr>
            <w:tcW w:w="0" w:type="dxa"/>
            <w:vAlign w:val="bottom"/>
          </w:tcPr>
          <w:p>
            <w:pPr>
              <w:spacing w:after="0"/>
              <w:rPr>
                <w:sz w:val="1"/>
                <w:szCs w:val="1"/>
                <w:color w:val="auto"/>
              </w:rPr>
            </w:pPr>
          </w:p>
        </w:tc>
      </w:tr>
      <w:tr>
        <w:trPr>
          <w:trHeight w:val="215"/>
        </w:trPr>
        <w:tc>
          <w:tcPr>
            <w:tcW w:w="4780" w:type="dxa"/>
            <w:vAlign w:val="bottom"/>
          </w:tcPr>
          <w:p>
            <w:pPr>
              <w:ind w:left="20"/>
              <w:spacing w:after="0"/>
              <w:rPr>
                <w:sz w:val="20"/>
                <w:szCs w:val="20"/>
                <w:color w:val="auto"/>
              </w:rPr>
            </w:pPr>
            <w:r>
              <w:rPr>
                <w:rFonts w:ascii="Arial" w:cs="Arial" w:eastAsia="Arial" w:hAnsi="Arial"/>
                <w:sz w:val="16"/>
                <w:szCs w:val="16"/>
                <w:color w:val="auto"/>
              </w:rPr>
              <w:t>Net earnings</w:t>
            </w:r>
          </w:p>
        </w:tc>
        <w:tc>
          <w:tcPr>
            <w:tcW w:w="14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191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191</w:t>
            </w: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loss</w:t>
            </w:r>
          </w:p>
        </w:tc>
        <w:tc>
          <w:tcPr>
            <w:tcW w:w="14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215"/>
        </w:trPr>
        <w:tc>
          <w:tcPr>
            <w:tcW w:w="4780" w:type="dxa"/>
            <w:vAlign w:val="bottom"/>
          </w:tcPr>
          <w:p>
            <w:pPr>
              <w:ind w:left="20"/>
              <w:spacing w:after="0"/>
              <w:rPr>
                <w:sz w:val="20"/>
                <w:szCs w:val="20"/>
                <w:color w:val="auto"/>
              </w:rPr>
            </w:pPr>
            <w:r>
              <w:rPr>
                <w:rFonts w:ascii="Arial" w:cs="Arial" w:eastAsia="Arial" w:hAnsi="Arial"/>
                <w:sz w:val="16"/>
                <w:szCs w:val="16"/>
                <w:color w:val="auto"/>
              </w:rPr>
              <w:t>Dividends ($2.38 per share)</w:t>
            </w:r>
          </w:p>
        </w:tc>
        <w:tc>
          <w:tcPr>
            <w:tcW w:w="14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(199)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(199)</w:t>
            </w: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Shares issued:</w:t>
            </w:r>
          </w:p>
        </w:tc>
        <w:tc>
          <w:tcPr>
            <w:tcW w:w="128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780" w:type="dxa"/>
            <w:vAlign w:val="bottom"/>
          </w:tcPr>
          <w:p>
            <w:pPr>
              <w:ind w:left="360"/>
              <w:spacing w:after="0"/>
              <w:rPr>
                <w:sz w:val="20"/>
                <w:szCs w:val="20"/>
                <w:color w:val="auto"/>
              </w:rPr>
            </w:pPr>
            <w:r>
              <w:rPr>
                <w:rFonts w:ascii="Arial" w:cs="Arial" w:eastAsia="Arial" w:hAnsi="Arial"/>
                <w:sz w:val="16"/>
                <w:szCs w:val="16"/>
                <w:color w:val="auto"/>
              </w:rPr>
              <w:t>Restricted stock awards</w:t>
            </w:r>
          </w:p>
        </w:tc>
        <w:tc>
          <w:tcPr>
            <w:tcW w:w="1280" w:type="dxa"/>
            <w:vAlign w:val="bottom"/>
          </w:tcPr>
          <w:p>
            <w:pPr>
              <w:jc w:val="right"/>
              <w:spacing w:after="0"/>
              <w:rPr>
                <w:sz w:val="20"/>
                <w:szCs w:val="20"/>
                <w:color w:val="auto"/>
              </w:rPr>
            </w:pPr>
            <w:r>
              <w:rPr>
                <w:rFonts w:ascii="Arial" w:cs="Arial" w:eastAsia="Arial" w:hAnsi="Arial"/>
                <w:sz w:val="16"/>
                <w:szCs w:val="16"/>
                <w:color w:val="auto"/>
              </w:rPr>
              <w:t>150,544</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benefit plans</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16,112</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5"/>
        </w:trPr>
        <w:tc>
          <w:tcPr>
            <w:tcW w:w="4780" w:type="dxa"/>
            <w:vAlign w:val="bottom"/>
          </w:tcPr>
          <w:p>
            <w:pPr>
              <w:ind w:left="360"/>
              <w:spacing w:after="0"/>
              <w:rPr>
                <w:sz w:val="20"/>
                <w:szCs w:val="20"/>
                <w:color w:val="auto"/>
              </w:rPr>
            </w:pPr>
            <w:r>
              <w:rPr>
                <w:rFonts w:ascii="Arial" w:cs="Arial" w:eastAsia="Arial" w:hAnsi="Arial"/>
                <w:sz w:val="16"/>
                <w:szCs w:val="16"/>
                <w:color w:val="auto"/>
              </w:rPr>
              <w:t>Dividend reinvestment plan</w:t>
            </w:r>
          </w:p>
        </w:tc>
        <w:tc>
          <w:tcPr>
            <w:tcW w:w="1280" w:type="dxa"/>
            <w:vAlign w:val="bottom"/>
          </w:tcPr>
          <w:p>
            <w:pPr>
              <w:jc w:val="right"/>
              <w:spacing w:after="0"/>
              <w:rPr>
                <w:sz w:val="20"/>
                <w:szCs w:val="20"/>
                <w:color w:val="auto"/>
              </w:rPr>
            </w:pPr>
            <w:r>
              <w:rPr>
                <w:rFonts w:ascii="Arial" w:cs="Arial" w:eastAsia="Arial" w:hAnsi="Arial"/>
                <w:sz w:val="16"/>
                <w:szCs w:val="16"/>
                <w:color w:val="auto"/>
              </w:rPr>
              <w:t>6,080</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 expense</w:t>
            </w:r>
          </w:p>
        </w:tc>
        <w:tc>
          <w:tcPr>
            <w:tcW w:w="14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5"/>
        </w:trPr>
        <w:tc>
          <w:tcPr>
            <w:tcW w:w="4780" w:type="dxa"/>
            <w:vAlign w:val="bottom"/>
          </w:tcPr>
          <w:p>
            <w:pPr>
              <w:ind w:left="20"/>
              <w:spacing w:after="0"/>
              <w:rPr>
                <w:sz w:val="20"/>
                <w:szCs w:val="20"/>
                <w:color w:val="auto"/>
              </w:rPr>
            </w:pPr>
            <w:r>
              <w:rPr>
                <w:rFonts w:ascii="Arial" w:cs="Arial" w:eastAsia="Arial" w:hAnsi="Arial"/>
                <w:sz w:val="16"/>
                <w:szCs w:val="16"/>
                <w:color w:val="auto"/>
              </w:rPr>
              <w:t>Shares acquired and retired</w:t>
            </w:r>
          </w:p>
        </w:tc>
        <w:tc>
          <w:tcPr>
            <w:tcW w:w="1280" w:type="dxa"/>
            <w:vAlign w:val="bottom"/>
          </w:tcPr>
          <w:p>
            <w:pPr>
              <w:jc w:val="right"/>
              <w:spacing w:after="0"/>
              <w:rPr>
                <w:sz w:val="20"/>
                <w:szCs w:val="20"/>
                <w:color w:val="auto"/>
              </w:rPr>
            </w:pPr>
            <w:r>
              <w:rPr>
                <w:rFonts w:ascii="Arial" w:cs="Arial" w:eastAsia="Arial" w:hAnsi="Arial"/>
                <w:sz w:val="16"/>
                <w:szCs w:val="16"/>
                <w:color w:val="auto"/>
              </w:rPr>
              <w:t>(466,097)</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Shares exchanged — benefit plans</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(38,736)</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5"/>
        </w:trPr>
        <w:tc>
          <w:tcPr>
            <w:tcW w:w="4780" w:type="dxa"/>
            <w:vAlign w:val="bottom"/>
          </w:tcPr>
          <w:p>
            <w:pPr>
              <w:ind w:left="20"/>
              <w:spacing w:after="0"/>
              <w:rPr>
                <w:sz w:val="20"/>
                <w:szCs w:val="20"/>
                <w:color w:val="auto"/>
              </w:rPr>
            </w:pPr>
            <w:r>
              <w:rPr>
                <w:rFonts w:ascii="Arial" w:cs="Arial" w:eastAsia="Arial" w:hAnsi="Arial"/>
                <w:sz w:val="16"/>
                <w:szCs w:val="16"/>
                <w:color w:val="auto"/>
              </w:rPr>
              <w:t>Forfeitures of restricted stock</w:t>
            </w:r>
          </w:p>
        </w:tc>
        <w:tc>
          <w:tcPr>
            <w:tcW w:w="1280" w:type="dxa"/>
            <w:vAlign w:val="bottom"/>
          </w:tcPr>
          <w:p>
            <w:pPr>
              <w:jc w:val="right"/>
              <w:spacing w:after="0"/>
              <w:rPr>
                <w:sz w:val="20"/>
                <w:szCs w:val="20"/>
                <w:color w:val="auto"/>
              </w:rPr>
            </w:pPr>
            <w:r>
              <w:rPr>
                <w:rFonts w:ascii="Arial" w:cs="Arial" w:eastAsia="Arial" w:hAnsi="Arial"/>
                <w:sz w:val="16"/>
                <w:szCs w:val="16"/>
                <w:color w:val="auto"/>
              </w:rPr>
              <w:t>(3,810)</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5"/>
        </w:trPr>
        <w:tc>
          <w:tcPr>
            <w:tcW w:w="4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March 31, 2026</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83,086,295</w:t>
            </w:r>
          </w:p>
        </w:tc>
        <w:tc>
          <w:tcPr>
            <w:tcW w:w="120" w:type="dxa"/>
            <w:vAlign w:val="bottom"/>
            <w:tcBorders>
              <w:top w:val="single" w:sz="8" w:color="CCEEFF"/>
              <w:bottom w:val="single" w:sz="8" w:color="CCEEFF"/>
              <w:right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3,294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4,678</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7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2024</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83,978,258</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4,466</w:t>
            </w:r>
          </w:p>
        </w:tc>
        <w:tc>
          <w:tcPr>
            <w:tcW w:w="0" w:type="dxa"/>
            <w:vAlign w:val="bottom"/>
          </w:tcPr>
          <w:p>
            <w:pPr>
              <w:spacing w:after="0"/>
              <w:rPr>
                <w:sz w:val="1"/>
                <w:szCs w:val="1"/>
                <w:color w:val="auto"/>
              </w:rPr>
            </w:pPr>
          </w:p>
        </w:tc>
      </w:tr>
      <w:tr>
        <w:trPr>
          <w:trHeight w:val="215"/>
        </w:trPr>
        <w:tc>
          <w:tcPr>
            <w:tcW w:w="4780" w:type="dxa"/>
            <w:vAlign w:val="bottom"/>
          </w:tcPr>
          <w:p>
            <w:pPr>
              <w:ind w:left="20"/>
              <w:spacing w:after="0"/>
              <w:rPr>
                <w:sz w:val="20"/>
                <w:szCs w:val="20"/>
                <w:color w:val="auto"/>
              </w:rPr>
            </w:pPr>
            <w:r>
              <w:rPr>
                <w:rFonts w:ascii="Arial" w:cs="Arial" w:eastAsia="Arial" w:hAnsi="Arial"/>
                <w:sz w:val="16"/>
                <w:szCs w:val="16"/>
                <w:color w:val="auto"/>
              </w:rPr>
              <w:t>Net earnings</w:t>
            </w:r>
          </w:p>
        </w:tc>
        <w:tc>
          <w:tcPr>
            <w:tcW w:w="14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154</w:t>
            </w: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income</w:t>
            </w:r>
          </w:p>
        </w:tc>
        <w:tc>
          <w:tcPr>
            <w:tcW w:w="14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15"/>
        </w:trPr>
        <w:tc>
          <w:tcPr>
            <w:tcW w:w="4780" w:type="dxa"/>
            <w:vAlign w:val="bottom"/>
          </w:tcPr>
          <w:p>
            <w:pPr>
              <w:ind w:left="20"/>
              <w:spacing w:after="0"/>
              <w:rPr>
                <w:sz w:val="20"/>
                <w:szCs w:val="20"/>
                <w:color w:val="auto"/>
              </w:rPr>
            </w:pPr>
            <w:r>
              <w:rPr>
                <w:rFonts w:ascii="Arial" w:cs="Arial" w:eastAsia="Arial" w:hAnsi="Arial"/>
                <w:sz w:val="16"/>
                <w:szCs w:val="16"/>
                <w:color w:val="auto"/>
              </w:rPr>
              <w:t>Dividends ($2.80 per share)</w:t>
            </w:r>
          </w:p>
        </w:tc>
        <w:tc>
          <w:tcPr>
            <w:tcW w:w="14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(234)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(234)</w:t>
            </w: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Shares issued:</w:t>
            </w:r>
          </w:p>
        </w:tc>
        <w:tc>
          <w:tcPr>
            <w:tcW w:w="128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780" w:type="dxa"/>
            <w:vAlign w:val="bottom"/>
          </w:tcPr>
          <w:p>
            <w:pPr>
              <w:ind w:left="360"/>
              <w:spacing w:after="0"/>
              <w:rPr>
                <w:sz w:val="20"/>
                <w:szCs w:val="20"/>
                <w:color w:val="auto"/>
              </w:rPr>
            </w:pPr>
            <w:r>
              <w:rPr>
                <w:rFonts w:ascii="Arial" w:cs="Arial" w:eastAsia="Arial" w:hAnsi="Arial"/>
                <w:sz w:val="16"/>
                <w:szCs w:val="16"/>
                <w:color w:val="auto"/>
              </w:rPr>
              <w:t>Exercise of stock options</w:t>
            </w:r>
          </w:p>
        </w:tc>
        <w:tc>
          <w:tcPr>
            <w:tcW w:w="1280" w:type="dxa"/>
            <w:vAlign w:val="bottom"/>
          </w:tcPr>
          <w:p>
            <w:pPr>
              <w:jc w:val="right"/>
              <w:spacing w:after="0"/>
              <w:rPr>
                <w:sz w:val="20"/>
                <w:szCs w:val="20"/>
                <w:color w:val="auto"/>
              </w:rPr>
            </w:pPr>
            <w:r>
              <w:rPr>
                <w:rFonts w:ascii="Arial" w:cs="Arial" w:eastAsia="Arial" w:hAnsi="Arial"/>
                <w:sz w:val="16"/>
                <w:szCs w:val="16"/>
                <w:color w:val="auto"/>
              </w:rPr>
              <w:t>18,932</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Restricted stock awards</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166,297</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4780" w:type="dxa"/>
            <w:vAlign w:val="bottom"/>
          </w:tcPr>
          <w:p>
            <w:pPr>
              <w:ind w:left="360"/>
              <w:spacing w:after="0"/>
              <w:rPr>
                <w:sz w:val="20"/>
                <w:szCs w:val="20"/>
                <w:color w:val="auto"/>
              </w:rPr>
            </w:pPr>
            <w:r>
              <w:rPr>
                <w:rFonts w:ascii="Arial" w:cs="Arial" w:eastAsia="Arial" w:hAnsi="Arial"/>
                <w:sz w:val="16"/>
                <w:szCs w:val="16"/>
                <w:color w:val="auto"/>
              </w:rPr>
              <w:t>Other benefit plans</w:t>
            </w:r>
          </w:p>
        </w:tc>
        <w:tc>
          <w:tcPr>
            <w:tcW w:w="1280" w:type="dxa"/>
            <w:vAlign w:val="bottom"/>
          </w:tcPr>
          <w:p>
            <w:pPr>
              <w:jc w:val="right"/>
              <w:spacing w:after="0"/>
              <w:rPr>
                <w:sz w:val="20"/>
                <w:szCs w:val="20"/>
                <w:color w:val="auto"/>
              </w:rPr>
            </w:pPr>
            <w:r>
              <w:rPr>
                <w:rFonts w:ascii="Arial" w:cs="Arial" w:eastAsia="Arial" w:hAnsi="Arial"/>
                <w:sz w:val="16"/>
                <w:szCs w:val="16"/>
                <w:color w:val="auto"/>
              </w:rPr>
              <w:t>15,657</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Dividend reinvestment plan</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7,020</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5"/>
        </w:trPr>
        <w:tc>
          <w:tcPr>
            <w:tcW w:w="4780" w:type="dxa"/>
            <w:vAlign w:val="bottom"/>
          </w:tcPr>
          <w:p>
            <w:pPr>
              <w:ind w:left="20"/>
              <w:spacing w:after="0"/>
              <w:rPr>
                <w:sz w:val="20"/>
                <w:szCs w:val="20"/>
                <w:color w:val="auto"/>
              </w:rPr>
            </w:pPr>
            <w:r>
              <w:rPr>
                <w:rFonts w:ascii="Arial" w:cs="Arial" w:eastAsia="Arial" w:hAnsi="Arial"/>
                <w:sz w:val="16"/>
                <w:szCs w:val="16"/>
                <w:color w:val="auto"/>
              </w:rPr>
              <w:t>Stock-based compensation expense</w:t>
            </w:r>
          </w:p>
        </w:tc>
        <w:tc>
          <w:tcPr>
            <w:tcW w:w="14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Shares acquired and retired</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(462,398)</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15"/>
        </w:trPr>
        <w:tc>
          <w:tcPr>
            <w:tcW w:w="4780" w:type="dxa"/>
            <w:vAlign w:val="bottom"/>
          </w:tcPr>
          <w:p>
            <w:pPr>
              <w:ind w:left="20"/>
              <w:spacing w:after="0"/>
              <w:rPr>
                <w:sz w:val="20"/>
                <w:szCs w:val="20"/>
                <w:color w:val="auto"/>
              </w:rPr>
            </w:pPr>
            <w:r>
              <w:rPr>
                <w:rFonts w:ascii="Arial" w:cs="Arial" w:eastAsia="Arial" w:hAnsi="Arial"/>
                <w:sz w:val="16"/>
                <w:szCs w:val="16"/>
                <w:color w:val="auto"/>
              </w:rPr>
              <w:t>Shares exchanged — benefit plans</w:t>
            </w:r>
          </w:p>
        </w:tc>
        <w:tc>
          <w:tcPr>
            <w:tcW w:w="1280" w:type="dxa"/>
            <w:vAlign w:val="bottom"/>
          </w:tcPr>
          <w:p>
            <w:pPr>
              <w:jc w:val="right"/>
              <w:spacing w:after="0"/>
              <w:rPr>
                <w:sz w:val="20"/>
                <w:szCs w:val="20"/>
                <w:color w:val="auto"/>
              </w:rPr>
            </w:pPr>
            <w:r>
              <w:rPr>
                <w:rFonts w:ascii="Arial" w:cs="Arial" w:eastAsia="Arial" w:hAnsi="Arial"/>
                <w:sz w:val="16"/>
                <w:szCs w:val="16"/>
                <w:color w:val="auto"/>
              </w:rPr>
              <w:t>(42,809)</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Forfeitures of restricted stock</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(12,504)</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4780" w:type="dxa"/>
            <w:vAlign w:val="bottom"/>
          </w:tcPr>
          <w:p>
            <w:pPr>
              <w:ind w:left="20"/>
              <w:spacing w:after="0"/>
              <w:rPr>
                <w:sz w:val="20"/>
                <w:szCs w:val="20"/>
                <w:color w:val="auto"/>
              </w:rPr>
            </w:pPr>
            <w:r>
              <w:rPr>
                <w:rFonts w:ascii="Arial" w:cs="Arial" w:eastAsia="Arial" w:hAnsi="Arial"/>
                <w:sz w:val="16"/>
                <w:szCs w:val="16"/>
                <w:b w:val="1"/>
                <w:bCs w:val="1"/>
                <w:color w:val="auto"/>
              </w:rPr>
              <w:t>Balance at March 31, 2025</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83,668,453</w:t>
            </w:r>
          </w:p>
        </w:tc>
        <w:tc>
          <w:tcPr>
            <w:tcW w:w="1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1,493</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3,078</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(179)</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4,392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6" w:name="page7"/>
    <w:bookmarkEnd w:id="6"/>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277" w:lineRule="exact"/>
        <w:rPr>
          <w:sz w:val="20"/>
          <w:szCs w:val="20"/>
          <w:color w:val="auto"/>
        </w:rPr>
      </w:pPr>
    </w:p>
    <w:p>
      <w:pPr>
        <w:ind w:left="2920"/>
        <w:spacing w:after="0"/>
        <w:rPr>
          <w:sz w:val="20"/>
          <w:szCs w:val="20"/>
          <w:color w:val="auto"/>
        </w:rPr>
      </w:pPr>
      <w:r>
        <w:rPr>
          <w:rFonts w:ascii="Arial" w:cs="Arial" w:eastAsia="Arial" w:hAnsi="Arial"/>
          <w:sz w:val="20"/>
          <w:szCs w:val="20"/>
          <w:b w:val="1"/>
          <w:bCs w:val="1"/>
          <w:color w:val="003366"/>
        </w:rPr>
        <w:t>AMERICAN FINANCIAL GROUP, INC. AND SUBSIDIARIES</w:t>
      </w:r>
    </w:p>
    <w:p>
      <w:pPr>
        <w:spacing w:after="0" w:line="33" w:lineRule="exact"/>
        <w:rPr>
          <w:sz w:val="20"/>
          <w:szCs w:val="20"/>
          <w:color w:val="auto"/>
        </w:rPr>
      </w:pPr>
    </w:p>
    <w:p>
      <w:pPr>
        <w:ind w:left="2680"/>
        <w:spacing w:after="0"/>
        <w:rPr>
          <w:sz w:val="20"/>
          <w:szCs w:val="20"/>
          <w:color w:val="auto"/>
        </w:rPr>
      </w:pPr>
      <w:r>
        <w:rPr>
          <w:rFonts w:ascii="Arial" w:cs="Arial" w:eastAsia="Arial" w:hAnsi="Arial"/>
          <w:sz w:val="20"/>
          <w:szCs w:val="20"/>
          <w:b w:val="1"/>
          <w:bCs w:val="1"/>
          <w:color w:val="003366"/>
        </w:rPr>
        <w:t>CONSOLIDATED STATEMENT OF CASH FLOWS (UNAUDITED)</w:t>
      </w:r>
    </w:p>
    <w:p>
      <w:pPr>
        <w:jc w:val="center"/>
        <w:spacing w:after="0"/>
        <w:rPr>
          <w:sz w:val="20"/>
          <w:szCs w:val="20"/>
          <w:color w:val="auto"/>
        </w:rPr>
      </w:pPr>
      <w:r>
        <w:rPr>
          <w:rFonts w:ascii="Arial" w:cs="Arial" w:eastAsia="Arial" w:hAnsi="Arial"/>
          <w:sz w:val="20"/>
          <w:szCs w:val="20"/>
          <w:b w:val="1"/>
          <w:bCs w:val="1"/>
          <w:color w:val="003366"/>
        </w:rPr>
        <w:t>(In Millions)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320" w:type="dxa"/>
            <w:vAlign w:val="bottom"/>
          </w:tcPr>
          <w:p>
            <w:pPr>
              <w:spacing w:after="0"/>
              <w:rPr>
                <w:sz w:val="16"/>
                <w:szCs w:val="16"/>
                <w:color w:val="auto"/>
              </w:rPr>
            </w:pPr>
          </w:p>
        </w:tc>
        <w:tc>
          <w:tcPr>
            <w:tcW w:w="2920" w:type="dxa"/>
            <w:vAlign w:val="bottom"/>
            <w:tcBorders>
              <w:bottom w:val="single" w:sz="8" w:color="auto"/>
            </w:tcBorders>
            <w:gridSpan w:val="5"/>
          </w:tcPr>
          <w:p>
            <w:pPr>
              <w:jc w:val="right"/>
              <w:ind w:right="379"/>
              <w:spacing w:after="0"/>
              <w:rPr>
                <w:sz w:val="20"/>
                <w:szCs w:val="20"/>
                <w:color w:val="auto"/>
              </w:rPr>
            </w:pPr>
            <w:r>
              <w:rPr>
                <w:rFonts w:ascii="Arial" w:cs="Arial" w:eastAsia="Arial" w:hAnsi="Arial"/>
                <w:sz w:val="14"/>
                <w:szCs w:val="14"/>
                <w:color w:val="auto"/>
              </w:rPr>
              <w:t>Three months ended March 31,</w:t>
            </w:r>
          </w:p>
        </w:tc>
      </w:tr>
      <w:tr>
        <w:trPr>
          <w:trHeight w:val="196"/>
        </w:trPr>
        <w:tc>
          <w:tcPr>
            <w:tcW w:w="832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2026</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color w:val="auto"/>
              </w:rPr>
              <w:t>2025</w:t>
            </w:r>
          </w:p>
        </w:tc>
      </w:tr>
      <w:tr>
        <w:trPr>
          <w:trHeight w:val="200"/>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8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15"/>
        </w:trPr>
        <w:tc>
          <w:tcPr>
            <w:tcW w:w="8320" w:type="dxa"/>
            <w:vAlign w:val="bottom"/>
          </w:tcPr>
          <w:p>
            <w:pPr>
              <w:ind w:left="360"/>
              <w:spacing w:after="0"/>
              <w:rPr>
                <w:sz w:val="20"/>
                <w:szCs w:val="20"/>
                <w:color w:val="auto"/>
              </w:rPr>
            </w:pPr>
            <w:r>
              <w:rPr>
                <w:rFonts w:ascii="Arial" w:cs="Arial" w:eastAsia="Arial" w:hAnsi="Arial"/>
                <w:sz w:val="16"/>
                <w:szCs w:val="16"/>
                <w:color w:val="auto"/>
              </w:rPr>
              <w:t>Net earnings</w:t>
            </w:r>
          </w:p>
        </w:tc>
        <w:tc>
          <w:tcPr>
            <w:tcW w:w="860" w:type="dxa"/>
            <w:vAlign w:val="bottom"/>
          </w:tcPr>
          <w:p>
            <w:pPr>
              <w:jc w:val="right"/>
              <w:ind w:right="684"/>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191</w:t>
            </w:r>
          </w:p>
        </w:tc>
        <w:tc>
          <w:tcPr>
            <w:tcW w:w="10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154</w:t>
            </w:r>
          </w:p>
        </w:tc>
      </w:tr>
      <w:tr>
        <w:trPr>
          <w:trHeight w:val="217"/>
        </w:trPr>
        <w:tc>
          <w:tcPr>
            <w:tcW w:w="83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Adjustments:</w:t>
            </w: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5"/>
        </w:trPr>
        <w:tc>
          <w:tcPr>
            <w:tcW w:w="8320" w:type="dxa"/>
            <w:vAlign w:val="bottom"/>
          </w:tcPr>
          <w:p>
            <w:pPr>
              <w:ind w:left="680"/>
              <w:spacing w:after="0"/>
              <w:rPr>
                <w:sz w:val="20"/>
                <w:szCs w:val="20"/>
                <w:color w:val="auto"/>
              </w:rPr>
            </w:pPr>
            <w:r>
              <w:rPr>
                <w:rFonts w:ascii="Arial" w:cs="Arial" w:eastAsia="Arial" w:hAnsi="Arial"/>
                <w:sz w:val="16"/>
                <w:szCs w:val="16"/>
                <w:color w:val="auto"/>
              </w:rPr>
              <w:t>Depreciation and amortization</w:t>
            </w:r>
          </w:p>
        </w:tc>
        <w:tc>
          <w:tcPr>
            <w:tcW w:w="8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17"/>
        </w:trPr>
        <w:tc>
          <w:tcPr>
            <w:tcW w:w="83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Realized (gains) losses on investing activities</w:t>
            </w: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15"/>
        </w:trPr>
        <w:tc>
          <w:tcPr>
            <w:tcW w:w="8320" w:type="dxa"/>
            <w:vAlign w:val="bottom"/>
          </w:tcPr>
          <w:p>
            <w:pPr>
              <w:ind w:left="680"/>
              <w:spacing w:after="0"/>
              <w:rPr>
                <w:sz w:val="20"/>
                <w:szCs w:val="20"/>
                <w:color w:val="auto"/>
              </w:rPr>
            </w:pPr>
            <w:r>
              <w:rPr>
                <w:rFonts w:ascii="Arial" w:cs="Arial" w:eastAsia="Arial" w:hAnsi="Arial"/>
                <w:sz w:val="16"/>
                <w:szCs w:val="16"/>
                <w:color w:val="auto"/>
              </w:rPr>
              <w:t>Net sales of trading securities</w:t>
            </w:r>
          </w:p>
        </w:tc>
        <w:tc>
          <w:tcPr>
            <w:tcW w:w="8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17"/>
        </w:trPr>
        <w:tc>
          <w:tcPr>
            <w:tcW w:w="83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Change in:</w:t>
            </w: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5"/>
        </w:trPr>
        <w:tc>
          <w:tcPr>
            <w:tcW w:w="8320" w:type="dxa"/>
            <w:vAlign w:val="bottom"/>
          </w:tcPr>
          <w:p>
            <w:pPr>
              <w:ind w:left="1120"/>
              <w:spacing w:after="0"/>
              <w:rPr>
                <w:sz w:val="20"/>
                <w:szCs w:val="20"/>
                <w:color w:val="auto"/>
              </w:rPr>
            </w:pPr>
            <w:r>
              <w:rPr>
                <w:rFonts w:ascii="Arial" w:cs="Arial" w:eastAsia="Arial" w:hAnsi="Arial"/>
                <w:sz w:val="16"/>
                <w:szCs w:val="16"/>
                <w:color w:val="auto"/>
              </w:rPr>
              <w:t>Reinsurance and other receivables</w:t>
            </w:r>
          </w:p>
        </w:tc>
        <w:tc>
          <w:tcPr>
            <w:tcW w:w="8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228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349</w:t>
            </w:r>
          </w:p>
        </w:tc>
      </w:tr>
      <w:tr>
        <w:trPr>
          <w:trHeight w:val="217"/>
        </w:trPr>
        <w:tc>
          <w:tcPr>
            <w:tcW w:w="832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Other assets</w:t>
            </w: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r>
      <w:tr>
        <w:trPr>
          <w:trHeight w:val="215"/>
        </w:trPr>
        <w:tc>
          <w:tcPr>
            <w:tcW w:w="8320" w:type="dxa"/>
            <w:vAlign w:val="bottom"/>
          </w:tcPr>
          <w:p>
            <w:pPr>
              <w:ind w:left="1120"/>
              <w:spacing w:after="0"/>
              <w:rPr>
                <w:sz w:val="20"/>
                <w:szCs w:val="20"/>
                <w:color w:val="auto"/>
              </w:rPr>
            </w:pPr>
            <w:r>
              <w:rPr>
                <w:rFonts w:ascii="Arial" w:cs="Arial" w:eastAsia="Arial" w:hAnsi="Arial"/>
                <w:sz w:val="16"/>
                <w:szCs w:val="16"/>
                <w:color w:val="auto"/>
              </w:rPr>
              <w:t>Insurance claims and reserves</w:t>
            </w:r>
          </w:p>
        </w:tc>
        <w:tc>
          <w:tcPr>
            <w:tcW w:w="8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(83)</w:t>
            </w:r>
          </w:p>
        </w:tc>
      </w:tr>
      <w:tr>
        <w:trPr>
          <w:trHeight w:val="217"/>
        </w:trPr>
        <w:tc>
          <w:tcPr>
            <w:tcW w:w="832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Payable to reinsurers</w:t>
            </w: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w:t>
            </w:r>
          </w:p>
        </w:tc>
      </w:tr>
      <w:tr>
        <w:trPr>
          <w:trHeight w:val="215"/>
        </w:trPr>
        <w:tc>
          <w:tcPr>
            <w:tcW w:w="8320" w:type="dxa"/>
            <w:vAlign w:val="bottom"/>
          </w:tcPr>
          <w:p>
            <w:pPr>
              <w:ind w:left="1120"/>
              <w:spacing w:after="0"/>
              <w:rPr>
                <w:sz w:val="20"/>
                <w:szCs w:val="20"/>
                <w:color w:val="auto"/>
              </w:rPr>
            </w:pPr>
            <w:r>
              <w:rPr>
                <w:rFonts w:ascii="Arial" w:cs="Arial" w:eastAsia="Arial" w:hAnsi="Arial"/>
                <w:sz w:val="16"/>
                <w:szCs w:val="16"/>
                <w:color w:val="auto"/>
              </w:rPr>
              <w:t>Other liabilities</w:t>
            </w:r>
          </w:p>
        </w:tc>
        <w:tc>
          <w:tcPr>
            <w:tcW w:w="8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17"/>
        </w:trPr>
        <w:tc>
          <w:tcPr>
            <w:tcW w:w="832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Managed investment entities’ assets/liabilities</w:t>
            </w: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r>
      <w:tr>
        <w:trPr>
          <w:trHeight w:val="215"/>
        </w:trPr>
        <w:tc>
          <w:tcPr>
            <w:tcW w:w="832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Other operating activities, net</w:t>
            </w:r>
          </w:p>
        </w:tc>
        <w:tc>
          <w:tcPr>
            <w:tcW w:w="8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r>
      <w:tr>
        <w:trPr>
          <w:trHeight w:val="209"/>
        </w:trPr>
        <w:tc>
          <w:tcPr>
            <w:tcW w:w="8320" w:type="dxa"/>
            <w:vAlign w:val="bottom"/>
            <w:shd w:val="clear" w:color="auto" w:fill="CCEEFF"/>
          </w:tcPr>
          <w:p>
            <w:pPr>
              <w:ind w:left="1020"/>
              <w:spacing w:after="0"/>
              <w:rPr>
                <w:sz w:val="20"/>
                <w:szCs w:val="20"/>
                <w:color w:val="auto"/>
              </w:rPr>
            </w:pPr>
            <w:r>
              <w:rPr>
                <w:rFonts w:ascii="Arial" w:cs="Arial" w:eastAsia="Arial" w:hAnsi="Arial"/>
                <w:sz w:val="16"/>
                <w:szCs w:val="16"/>
                <w:color w:val="auto"/>
              </w:rPr>
              <w:t>Net cash provided by operating activities</w:t>
            </w:r>
          </w:p>
        </w:tc>
        <w:tc>
          <w:tcPr>
            <w:tcW w:w="8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474</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342</w:t>
            </w:r>
          </w:p>
        </w:tc>
      </w:tr>
      <w:tr>
        <w:trPr>
          <w:trHeight w:val="197"/>
        </w:trPr>
        <w:tc>
          <w:tcPr>
            <w:tcW w:w="8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16"/>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5"/>
        </w:trPr>
        <w:tc>
          <w:tcPr>
            <w:tcW w:w="8320" w:type="dxa"/>
            <w:vAlign w:val="bottom"/>
          </w:tcPr>
          <w:p>
            <w:pPr>
              <w:ind w:left="360"/>
              <w:spacing w:after="0"/>
              <w:rPr>
                <w:sz w:val="20"/>
                <w:szCs w:val="20"/>
                <w:color w:val="auto"/>
              </w:rPr>
            </w:pPr>
            <w:r>
              <w:rPr>
                <w:rFonts w:ascii="Arial" w:cs="Arial" w:eastAsia="Arial" w:hAnsi="Arial"/>
                <w:sz w:val="16"/>
                <w:szCs w:val="16"/>
                <w:color w:val="auto"/>
              </w:rPr>
              <w:t>Purchases of:</w:t>
            </w:r>
          </w:p>
        </w:tc>
        <w:tc>
          <w:tcPr>
            <w:tcW w:w="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7"/>
        </w:trPr>
        <w:tc>
          <w:tcPr>
            <w:tcW w:w="83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Fixed maturities</w:t>
            </w: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(1,027)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(529)</w:t>
            </w:r>
          </w:p>
        </w:tc>
      </w:tr>
      <w:tr>
        <w:trPr>
          <w:trHeight w:val="215"/>
        </w:trPr>
        <w:tc>
          <w:tcPr>
            <w:tcW w:w="8320" w:type="dxa"/>
            <w:vAlign w:val="bottom"/>
          </w:tcPr>
          <w:p>
            <w:pPr>
              <w:ind w:left="680"/>
              <w:spacing w:after="0"/>
              <w:rPr>
                <w:sz w:val="20"/>
                <w:szCs w:val="20"/>
                <w:color w:val="auto"/>
              </w:rPr>
            </w:pPr>
            <w:r>
              <w:rPr>
                <w:rFonts w:ascii="Arial" w:cs="Arial" w:eastAsia="Arial" w:hAnsi="Arial"/>
                <w:sz w:val="16"/>
                <w:szCs w:val="16"/>
                <w:color w:val="auto"/>
              </w:rPr>
              <w:t>Equity securities</w:t>
            </w:r>
          </w:p>
        </w:tc>
        <w:tc>
          <w:tcPr>
            <w:tcW w:w="8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17"/>
        </w:trPr>
        <w:tc>
          <w:tcPr>
            <w:tcW w:w="83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Mortgage loans</w:t>
            </w: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r>
      <w:tr>
        <w:trPr>
          <w:trHeight w:val="215"/>
        </w:trPr>
        <w:tc>
          <w:tcPr>
            <w:tcW w:w="8320" w:type="dxa"/>
            <w:vAlign w:val="bottom"/>
          </w:tcPr>
          <w:p>
            <w:pPr>
              <w:ind w:left="680"/>
              <w:spacing w:after="0"/>
              <w:rPr>
                <w:sz w:val="20"/>
                <w:szCs w:val="20"/>
                <w:color w:val="auto"/>
              </w:rPr>
            </w:pPr>
            <w:r>
              <w:rPr>
                <w:rFonts w:ascii="Arial" w:cs="Arial" w:eastAsia="Arial" w:hAnsi="Arial"/>
                <w:sz w:val="16"/>
                <w:szCs w:val="16"/>
                <w:color w:val="auto"/>
              </w:rPr>
              <w:t>Other investments</w:t>
            </w:r>
          </w:p>
        </w:tc>
        <w:tc>
          <w:tcPr>
            <w:tcW w:w="8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(65)</w:t>
            </w:r>
          </w:p>
        </w:tc>
      </w:tr>
      <w:tr>
        <w:trPr>
          <w:trHeight w:val="217"/>
        </w:trPr>
        <w:tc>
          <w:tcPr>
            <w:tcW w:w="83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Real estate, property and equipment</w:t>
            </w: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r>
      <w:tr>
        <w:trPr>
          <w:trHeight w:val="215"/>
        </w:trPr>
        <w:tc>
          <w:tcPr>
            <w:tcW w:w="8320" w:type="dxa"/>
            <w:vAlign w:val="bottom"/>
          </w:tcPr>
          <w:p>
            <w:pPr>
              <w:ind w:left="360"/>
              <w:spacing w:after="0"/>
              <w:rPr>
                <w:sz w:val="20"/>
                <w:szCs w:val="20"/>
                <w:color w:val="auto"/>
              </w:rPr>
            </w:pPr>
            <w:r>
              <w:rPr>
                <w:rFonts w:ascii="Arial" w:cs="Arial" w:eastAsia="Arial" w:hAnsi="Arial"/>
                <w:sz w:val="16"/>
                <w:szCs w:val="16"/>
                <w:color w:val="auto"/>
              </w:rPr>
              <w:t>Proceeds from:</w:t>
            </w:r>
          </w:p>
        </w:tc>
        <w:tc>
          <w:tcPr>
            <w:tcW w:w="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7"/>
        </w:trPr>
        <w:tc>
          <w:tcPr>
            <w:tcW w:w="83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Maturities and redemptions of fixed maturities</w:t>
            </w: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441</w:t>
            </w:r>
          </w:p>
        </w:tc>
      </w:tr>
      <w:tr>
        <w:trPr>
          <w:trHeight w:val="215"/>
        </w:trPr>
        <w:tc>
          <w:tcPr>
            <w:tcW w:w="8320" w:type="dxa"/>
            <w:vAlign w:val="bottom"/>
          </w:tcPr>
          <w:p>
            <w:pPr>
              <w:ind w:left="680"/>
              <w:spacing w:after="0"/>
              <w:rPr>
                <w:sz w:val="20"/>
                <w:szCs w:val="20"/>
                <w:color w:val="auto"/>
              </w:rPr>
            </w:pPr>
            <w:r>
              <w:rPr>
                <w:rFonts w:ascii="Arial" w:cs="Arial" w:eastAsia="Arial" w:hAnsi="Arial"/>
                <w:sz w:val="16"/>
                <w:szCs w:val="16"/>
                <w:color w:val="auto"/>
              </w:rPr>
              <w:t>Repayments of mortgage loans</w:t>
            </w:r>
          </w:p>
        </w:tc>
        <w:tc>
          <w:tcPr>
            <w:tcW w:w="86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17"/>
        </w:trPr>
        <w:tc>
          <w:tcPr>
            <w:tcW w:w="83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Sales of fixed maturities</w:t>
            </w: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15"/>
        </w:trPr>
        <w:tc>
          <w:tcPr>
            <w:tcW w:w="8320" w:type="dxa"/>
            <w:vAlign w:val="bottom"/>
          </w:tcPr>
          <w:p>
            <w:pPr>
              <w:ind w:left="680"/>
              <w:spacing w:after="0"/>
              <w:rPr>
                <w:sz w:val="20"/>
                <w:szCs w:val="20"/>
                <w:color w:val="auto"/>
              </w:rPr>
            </w:pPr>
            <w:r>
              <w:rPr>
                <w:rFonts w:ascii="Arial" w:cs="Arial" w:eastAsia="Arial" w:hAnsi="Arial"/>
                <w:sz w:val="16"/>
                <w:szCs w:val="16"/>
                <w:color w:val="auto"/>
              </w:rPr>
              <w:t>Sales of equity securities</w:t>
            </w:r>
          </w:p>
        </w:tc>
        <w:tc>
          <w:tcPr>
            <w:tcW w:w="8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17"/>
        </w:trPr>
        <w:tc>
          <w:tcPr>
            <w:tcW w:w="83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Sales of other investments</w:t>
            </w: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15"/>
        </w:trPr>
        <w:tc>
          <w:tcPr>
            <w:tcW w:w="8320" w:type="dxa"/>
            <w:vAlign w:val="bottom"/>
          </w:tcPr>
          <w:p>
            <w:pPr>
              <w:ind w:left="680"/>
              <w:spacing w:after="0"/>
              <w:rPr>
                <w:sz w:val="20"/>
                <w:szCs w:val="20"/>
                <w:color w:val="auto"/>
              </w:rPr>
            </w:pPr>
            <w:r>
              <w:rPr>
                <w:rFonts w:ascii="Arial" w:cs="Arial" w:eastAsia="Arial" w:hAnsi="Arial"/>
                <w:sz w:val="16"/>
                <w:szCs w:val="16"/>
                <w:color w:val="auto"/>
              </w:rPr>
              <w:t>Sales of real estate, property and equipment</w:t>
            </w:r>
          </w:p>
        </w:tc>
        <w:tc>
          <w:tcPr>
            <w:tcW w:w="8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83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Managed investment entities:</w:t>
            </w: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5"/>
        </w:trPr>
        <w:tc>
          <w:tcPr>
            <w:tcW w:w="8320" w:type="dxa"/>
            <w:vAlign w:val="bottom"/>
          </w:tcPr>
          <w:p>
            <w:pPr>
              <w:ind w:left="680"/>
              <w:spacing w:after="0"/>
              <w:rPr>
                <w:sz w:val="20"/>
                <w:szCs w:val="20"/>
                <w:color w:val="auto"/>
              </w:rPr>
            </w:pPr>
            <w:r>
              <w:rPr>
                <w:rFonts w:ascii="Arial" w:cs="Arial" w:eastAsia="Arial" w:hAnsi="Arial"/>
                <w:sz w:val="16"/>
                <w:szCs w:val="16"/>
                <w:color w:val="auto"/>
              </w:rPr>
              <w:t>Purchases of investments</w:t>
            </w:r>
          </w:p>
        </w:tc>
        <w:tc>
          <w:tcPr>
            <w:tcW w:w="8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(415)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(500)</w:t>
            </w:r>
          </w:p>
        </w:tc>
      </w:tr>
      <w:tr>
        <w:trPr>
          <w:trHeight w:val="217"/>
        </w:trPr>
        <w:tc>
          <w:tcPr>
            <w:tcW w:w="83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Proceeds from sales and redemptions of investments</w:t>
            </w: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718</w:t>
            </w:r>
          </w:p>
        </w:tc>
      </w:tr>
      <w:tr>
        <w:trPr>
          <w:trHeight w:val="215"/>
        </w:trPr>
        <w:tc>
          <w:tcPr>
            <w:tcW w:w="8320" w:type="dxa"/>
            <w:vAlign w:val="bottom"/>
          </w:tcPr>
          <w:p>
            <w:pPr>
              <w:ind w:left="360"/>
              <w:spacing w:after="0"/>
              <w:rPr>
                <w:sz w:val="20"/>
                <w:szCs w:val="20"/>
                <w:color w:val="auto"/>
              </w:rPr>
            </w:pPr>
            <w:r>
              <w:rPr>
                <w:rFonts w:ascii="Arial" w:cs="Arial" w:eastAsia="Arial" w:hAnsi="Arial"/>
                <w:sz w:val="16"/>
                <w:szCs w:val="16"/>
                <w:color w:val="auto"/>
              </w:rPr>
              <w:t>Other investing activities, net</w:t>
            </w:r>
          </w:p>
        </w:tc>
        <w:tc>
          <w:tcPr>
            <w:tcW w:w="86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0"/>
        </w:trPr>
        <w:tc>
          <w:tcPr>
            <w:tcW w:w="8320" w:type="dxa"/>
            <w:vAlign w:val="bottom"/>
            <w:tcBorders>
              <w:top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Net cash provided by (used in) investing activities</w:t>
            </w:r>
          </w:p>
        </w:tc>
        <w:tc>
          <w:tcPr>
            <w:tcW w:w="86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(613)</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r>
      <w:tr>
        <w:trPr>
          <w:trHeight w:val="197"/>
        </w:trPr>
        <w:tc>
          <w:tcPr>
            <w:tcW w:w="8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16"/>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5"/>
        </w:trPr>
        <w:tc>
          <w:tcPr>
            <w:tcW w:w="8320" w:type="dxa"/>
            <w:vAlign w:val="bottom"/>
          </w:tcPr>
          <w:p>
            <w:pPr>
              <w:ind w:left="360"/>
              <w:spacing w:after="0"/>
              <w:rPr>
                <w:sz w:val="20"/>
                <w:szCs w:val="20"/>
                <w:color w:val="auto"/>
              </w:rPr>
            </w:pPr>
            <w:r>
              <w:rPr>
                <w:rFonts w:ascii="Arial" w:cs="Arial" w:eastAsia="Arial" w:hAnsi="Arial"/>
                <w:sz w:val="16"/>
                <w:szCs w:val="16"/>
                <w:color w:val="auto"/>
              </w:rPr>
              <w:t>Issuances of Common Stock</w:t>
            </w:r>
          </w:p>
        </w:tc>
        <w:tc>
          <w:tcPr>
            <w:tcW w:w="8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17"/>
        </w:trPr>
        <w:tc>
          <w:tcPr>
            <w:tcW w:w="83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Repurchases of Common Stock</w:t>
            </w: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r>
      <w:tr>
        <w:trPr>
          <w:trHeight w:val="215"/>
        </w:trPr>
        <w:tc>
          <w:tcPr>
            <w:tcW w:w="8320" w:type="dxa"/>
            <w:vAlign w:val="bottom"/>
          </w:tcPr>
          <w:p>
            <w:pPr>
              <w:ind w:left="360"/>
              <w:spacing w:after="0"/>
              <w:rPr>
                <w:sz w:val="20"/>
                <w:szCs w:val="20"/>
                <w:color w:val="auto"/>
              </w:rPr>
            </w:pPr>
            <w:r>
              <w:rPr>
                <w:rFonts w:ascii="Arial" w:cs="Arial" w:eastAsia="Arial" w:hAnsi="Arial"/>
                <w:sz w:val="16"/>
                <w:szCs w:val="16"/>
                <w:color w:val="auto"/>
              </w:rPr>
              <w:t>Cash dividends paid on Common Stock</w:t>
            </w:r>
          </w:p>
        </w:tc>
        <w:tc>
          <w:tcPr>
            <w:tcW w:w="8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(198)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(233)</w:t>
            </w:r>
          </w:p>
        </w:tc>
      </w:tr>
      <w:tr>
        <w:trPr>
          <w:trHeight w:val="217"/>
        </w:trPr>
        <w:tc>
          <w:tcPr>
            <w:tcW w:w="83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Issuances of managed investment entities’ liabilities</w:t>
            </w: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764</w:t>
            </w:r>
          </w:p>
        </w:tc>
      </w:tr>
      <w:tr>
        <w:trPr>
          <w:trHeight w:val="215"/>
        </w:trPr>
        <w:tc>
          <w:tcPr>
            <w:tcW w:w="83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Retirements of managed investment entities’ liabilities</w:t>
            </w:r>
          </w:p>
        </w:tc>
        <w:tc>
          <w:tcPr>
            <w:tcW w:w="8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(971)</w:t>
            </w:r>
          </w:p>
        </w:tc>
      </w:tr>
      <w:tr>
        <w:trPr>
          <w:trHeight w:val="210"/>
        </w:trPr>
        <w:tc>
          <w:tcPr>
            <w:tcW w:w="83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Net cash used in financing activities</w:t>
            </w:r>
          </w:p>
        </w:tc>
        <w:tc>
          <w:tcPr>
            <w:tcW w:w="8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(235)</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(495)</w:t>
            </w:r>
          </w:p>
        </w:tc>
      </w:tr>
      <w:tr>
        <w:trPr>
          <w:trHeight w:val="21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Net Change in Cash and Cash Equivalents</w:t>
            </w:r>
          </w:p>
        </w:tc>
        <w:tc>
          <w:tcPr>
            <w:tcW w:w="8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(374)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(130)</w:t>
            </w:r>
          </w:p>
        </w:tc>
      </w:tr>
      <w:tr>
        <w:trPr>
          <w:trHeight w:val="215"/>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 at beginning of period</w:t>
            </w:r>
          </w:p>
        </w:tc>
        <w:tc>
          <w:tcPr>
            <w:tcW w:w="8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1,727</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1,406</w:t>
            </w:r>
          </w:p>
        </w:tc>
      </w:tr>
      <w:tr>
        <w:trPr>
          <w:trHeight w:val="210"/>
        </w:trPr>
        <w:tc>
          <w:tcPr>
            <w:tcW w:w="8320" w:type="dxa"/>
            <w:vAlign w:val="bottom"/>
          </w:tcPr>
          <w:p>
            <w:pPr>
              <w:ind w:left="20"/>
              <w:spacing w:after="0"/>
              <w:rPr>
                <w:sz w:val="20"/>
                <w:szCs w:val="20"/>
                <w:color w:val="auto"/>
              </w:rPr>
            </w:pPr>
            <w:r>
              <w:rPr>
                <w:rFonts w:ascii="Arial" w:cs="Arial" w:eastAsia="Arial" w:hAnsi="Arial"/>
                <w:sz w:val="16"/>
                <w:szCs w:val="16"/>
                <w:color w:val="auto"/>
              </w:rPr>
              <w:t>Cash and cash equivalents at end of period</w:t>
            </w:r>
          </w:p>
        </w:tc>
        <w:tc>
          <w:tcPr>
            <w:tcW w:w="860" w:type="dxa"/>
            <w:vAlign w:val="bottom"/>
            <w:tcBorders>
              <w:bottom w:val="single" w:sz="8" w:color="auto"/>
            </w:tcBorders>
          </w:tcPr>
          <w:p>
            <w:pPr>
              <w:jc w:val="right"/>
              <w:ind w:right="684"/>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1,353</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1,276</w:t>
            </w:r>
          </w:p>
        </w:tc>
      </w:tr>
      <w:tr>
        <w:trPr>
          <w:trHeight w:val="21"/>
        </w:trPr>
        <w:tc>
          <w:tcPr>
            <w:tcW w:w="83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7" w:name="page8"/>
    <w:bookmarkEnd w:id="7"/>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003366"/>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tbl>
      <w:tblPr>
        <w:tblLayout w:type="fixed"/>
        <w:tblInd w:w="20" w:type="dxa"/>
        <w:tblCellMar>
          <w:top w:w="0" w:type="dxa"/>
          <w:left w:w="0" w:type="dxa"/>
          <w:bottom w:w="0" w:type="dxa"/>
          <w:right w:w="0" w:type="dxa"/>
        </w:tblCellMar>
      </w:tblPr>
      <w:tr>
        <w:trPr>
          <w:trHeight w:val="273"/>
        </w:trPr>
        <w:tc>
          <w:tcPr>
            <w:tcW w:w="400" w:type="dxa"/>
            <w:vAlign w:val="bottom"/>
          </w:tcPr>
          <w:p>
            <w:pPr>
              <w:spacing w:after="0"/>
              <w:rPr>
                <w:sz w:val="23"/>
                <w:szCs w:val="23"/>
                <w:color w:val="auto"/>
              </w:rPr>
            </w:pPr>
          </w:p>
        </w:tc>
        <w:tc>
          <w:tcPr>
            <w:tcW w:w="3640" w:type="dxa"/>
            <w:vAlign w:val="bottom"/>
          </w:tcPr>
          <w:p>
            <w:pPr>
              <w:spacing w:after="0"/>
              <w:rPr>
                <w:sz w:val="23"/>
                <w:szCs w:val="23"/>
                <w:color w:val="auto"/>
              </w:rPr>
            </w:pPr>
          </w:p>
        </w:tc>
        <w:tc>
          <w:tcPr>
            <w:tcW w:w="4200" w:type="dxa"/>
            <w:vAlign w:val="bottom"/>
            <w:gridSpan w:val="2"/>
          </w:tcPr>
          <w:p>
            <w:pPr>
              <w:ind w:left="740"/>
              <w:spacing w:after="0"/>
              <w:rPr>
                <w:sz w:val="20"/>
                <w:szCs w:val="20"/>
                <w:color w:val="auto"/>
              </w:rPr>
            </w:pPr>
            <w:r>
              <w:rPr>
                <w:rFonts w:ascii="Arial" w:cs="Arial" w:eastAsia="Arial" w:hAnsi="Arial"/>
                <w:sz w:val="20"/>
                <w:szCs w:val="20"/>
                <w:b w:val="1"/>
                <w:bCs w:val="1"/>
                <w:color w:val="003366"/>
              </w:rPr>
              <w:t>INDEX TO NOTES</w:t>
            </w:r>
          </w:p>
        </w:tc>
      </w:tr>
      <w:tr>
        <w:trPr>
          <w:trHeight w:val="392"/>
        </w:trPr>
        <w:tc>
          <w:tcPr>
            <w:tcW w:w="400" w:type="dxa"/>
            <w:vAlign w:val="bottom"/>
          </w:tcPr>
          <w:p>
            <w:pPr>
              <w:spacing w:after="0"/>
              <w:rPr>
                <w:sz w:val="20"/>
                <w:szCs w:val="20"/>
                <w:color w:val="auto"/>
              </w:rPr>
            </w:pPr>
            <w:r>
              <w:rPr>
                <w:rFonts w:ascii="Arial" w:cs="Arial" w:eastAsia="Arial" w:hAnsi="Arial"/>
                <w:sz w:val="20"/>
                <w:szCs w:val="20"/>
                <w:b w:val="1"/>
                <w:bCs w:val="1"/>
                <w:color w:val="003366"/>
              </w:rPr>
              <w:t>A.</w:t>
            </w:r>
          </w:p>
        </w:tc>
        <w:tc>
          <w:tcPr>
            <w:tcW w:w="3640" w:type="dxa"/>
            <w:vAlign w:val="bottom"/>
          </w:tcPr>
          <w:p>
            <w:pPr>
              <w:ind w:left="200"/>
              <w:spacing w:after="0"/>
              <w:rPr>
                <w:sz w:val="20"/>
                <w:szCs w:val="20"/>
                <w:color w:val="auto"/>
              </w:rPr>
            </w:pPr>
            <w:r>
              <w:rPr>
                <w:rFonts w:ascii="Arial" w:cs="Arial" w:eastAsia="Arial" w:hAnsi="Arial"/>
                <w:sz w:val="20"/>
                <w:szCs w:val="20"/>
                <w:b w:val="1"/>
                <w:bCs w:val="1"/>
                <w:color w:val="003366"/>
              </w:rPr>
              <w:t>Accounting Policies</w:t>
            </w:r>
          </w:p>
        </w:tc>
        <w:tc>
          <w:tcPr>
            <w:tcW w:w="2040" w:type="dxa"/>
            <w:vAlign w:val="bottom"/>
          </w:tcPr>
          <w:p>
            <w:pPr>
              <w:ind w:left="1620"/>
              <w:spacing w:after="0"/>
              <w:rPr>
                <w:sz w:val="20"/>
                <w:szCs w:val="20"/>
                <w:color w:val="auto"/>
              </w:rPr>
            </w:pPr>
            <w:r>
              <w:rPr>
                <w:rFonts w:ascii="Arial" w:cs="Arial" w:eastAsia="Arial" w:hAnsi="Arial"/>
                <w:sz w:val="20"/>
                <w:szCs w:val="20"/>
                <w:b w:val="1"/>
                <w:bCs w:val="1"/>
                <w:color w:val="003366"/>
              </w:rPr>
              <w:t>H.</w:t>
            </w:r>
          </w:p>
        </w:tc>
        <w:tc>
          <w:tcPr>
            <w:tcW w:w="2160" w:type="dxa"/>
            <w:vAlign w:val="bottom"/>
          </w:tcPr>
          <w:p>
            <w:pPr>
              <w:ind w:left="200"/>
              <w:spacing w:after="0"/>
              <w:rPr>
                <w:sz w:val="20"/>
                <w:szCs w:val="20"/>
                <w:color w:val="auto"/>
              </w:rPr>
            </w:pPr>
            <w:r>
              <w:rPr>
                <w:rFonts w:ascii="Arial" w:cs="Arial" w:eastAsia="Arial" w:hAnsi="Arial"/>
                <w:sz w:val="20"/>
                <w:szCs w:val="20"/>
                <w:b w:val="1"/>
                <w:bCs w:val="1"/>
                <w:color w:val="003366"/>
              </w:rPr>
              <w:t>Long-Term Debt</w:t>
            </w:r>
          </w:p>
        </w:tc>
      </w:tr>
      <w:tr>
        <w:trPr>
          <w:trHeight w:val="297"/>
        </w:trPr>
        <w:tc>
          <w:tcPr>
            <w:tcW w:w="400" w:type="dxa"/>
            <w:vAlign w:val="bottom"/>
          </w:tcPr>
          <w:p>
            <w:pPr>
              <w:spacing w:after="0"/>
              <w:rPr>
                <w:sz w:val="20"/>
                <w:szCs w:val="20"/>
                <w:color w:val="auto"/>
              </w:rPr>
            </w:pPr>
            <w:r>
              <w:rPr>
                <w:rFonts w:ascii="Arial" w:cs="Arial" w:eastAsia="Arial" w:hAnsi="Arial"/>
                <w:sz w:val="20"/>
                <w:szCs w:val="20"/>
                <w:b w:val="1"/>
                <w:bCs w:val="1"/>
                <w:color w:val="003366"/>
              </w:rPr>
              <w:t>B.</w:t>
            </w:r>
          </w:p>
        </w:tc>
        <w:tc>
          <w:tcPr>
            <w:tcW w:w="3640" w:type="dxa"/>
            <w:vAlign w:val="bottom"/>
          </w:tcPr>
          <w:p>
            <w:pPr>
              <w:ind w:left="200"/>
              <w:spacing w:after="0"/>
              <w:rPr>
                <w:sz w:val="20"/>
                <w:szCs w:val="20"/>
                <w:color w:val="auto"/>
              </w:rPr>
            </w:pPr>
            <w:r>
              <w:rPr>
                <w:rFonts w:ascii="Arial" w:cs="Arial" w:eastAsia="Arial" w:hAnsi="Arial"/>
                <w:sz w:val="20"/>
                <w:szCs w:val="20"/>
                <w:b w:val="1"/>
                <w:bCs w:val="1"/>
                <w:color w:val="003366"/>
              </w:rPr>
              <w:t>Segments of Operations</w:t>
            </w:r>
          </w:p>
        </w:tc>
        <w:tc>
          <w:tcPr>
            <w:tcW w:w="2040" w:type="dxa"/>
            <w:vAlign w:val="bottom"/>
          </w:tcPr>
          <w:p>
            <w:pPr>
              <w:ind w:left="1620"/>
              <w:spacing w:after="0"/>
              <w:rPr>
                <w:sz w:val="20"/>
                <w:szCs w:val="20"/>
                <w:color w:val="auto"/>
              </w:rPr>
            </w:pPr>
            <w:r>
              <w:rPr>
                <w:rFonts w:ascii="Arial" w:cs="Arial" w:eastAsia="Arial" w:hAnsi="Arial"/>
                <w:sz w:val="20"/>
                <w:szCs w:val="20"/>
                <w:b w:val="1"/>
                <w:bCs w:val="1"/>
                <w:color w:val="003366"/>
              </w:rPr>
              <w:t>I.</w:t>
            </w:r>
          </w:p>
        </w:tc>
        <w:tc>
          <w:tcPr>
            <w:tcW w:w="2160" w:type="dxa"/>
            <w:vAlign w:val="bottom"/>
          </w:tcPr>
          <w:p>
            <w:pPr>
              <w:ind w:left="200"/>
              <w:spacing w:after="0"/>
              <w:rPr>
                <w:sz w:val="20"/>
                <w:szCs w:val="20"/>
                <w:color w:val="auto"/>
              </w:rPr>
            </w:pPr>
            <w:r>
              <w:rPr>
                <w:rFonts w:ascii="Arial" w:cs="Arial" w:eastAsia="Arial" w:hAnsi="Arial"/>
                <w:sz w:val="20"/>
                <w:szCs w:val="20"/>
                <w:b w:val="1"/>
                <w:bCs w:val="1"/>
                <w:color w:val="003366"/>
                <w:w w:val="96"/>
              </w:rPr>
              <w:t>Shareholders’ Equity</w:t>
            </w:r>
          </w:p>
        </w:tc>
      </w:tr>
      <w:tr>
        <w:trPr>
          <w:trHeight w:val="297"/>
        </w:trPr>
        <w:tc>
          <w:tcPr>
            <w:tcW w:w="400" w:type="dxa"/>
            <w:vAlign w:val="bottom"/>
          </w:tcPr>
          <w:p>
            <w:pPr>
              <w:spacing w:after="0"/>
              <w:rPr>
                <w:sz w:val="20"/>
                <w:szCs w:val="20"/>
                <w:color w:val="auto"/>
              </w:rPr>
            </w:pPr>
            <w:r>
              <w:rPr>
                <w:rFonts w:ascii="Arial" w:cs="Arial" w:eastAsia="Arial" w:hAnsi="Arial"/>
                <w:sz w:val="20"/>
                <w:szCs w:val="20"/>
                <w:b w:val="1"/>
                <w:bCs w:val="1"/>
                <w:color w:val="003366"/>
              </w:rPr>
              <w:t>C.</w:t>
            </w:r>
          </w:p>
        </w:tc>
        <w:tc>
          <w:tcPr>
            <w:tcW w:w="3640" w:type="dxa"/>
            <w:vAlign w:val="bottom"/>
          </w:tcPr>
          <w:p>
            <w:pPr>
              <w:ind w:left="200"/>
              <w:spacing w:after="0"/>
              <w:rPr>
                <w:sz w:val="20"/>
                <w:szCs w:val="20"/>
                <w:color w:val="auto"/>
              </w:rPr>
            </w:pPr>
            <w:r>
              <w:rPr>
                <w:rFonts w:ascii="Arial" w:cs="Arial" w:eastAsia="Arial" w:hAnsi="Arial"/>
                <w:sz w:val="20"/>
                <w:szCs w:val="20"/>
                <w:b w:val="1"/>
                <w:bCs w:val="1"/>
                <w:color w:val="003366"/>
              </w:rPr>
              <w:t>Fair Value Measurements</w:t>
            </w:r>
          </w:p>
        </w:tc>
        <w:tc>
          <w:tcPr>
            <w:tcW w:w="2040" w:type="dxa"/>
            <w:vAlign w:val="bottom"/>
          </w:tcPr>
          <w:p>
            <w:pPr>
              <w:ind w:left="1620"/>
              <w:spacing w:after="0"/>
              <w:rPr>
                <w:sz w:val="20"/>
                <w:szCs w:val="20"/>
                <w:color w:val="auto"/>
              </w:rPr>
            </w:pPr>
            <w:r>
              <w:rPr>
                <w:rFonts w:ascii="Arial" w:cs="Arial" w:eastAsia="Arial" w:hAnsi="Arial"/>
                <w:sz w:val="20"/>
                <w:szCs w:val="20"/>
                <w:b w:val="1"/>
                <w:bCs w:val="1"/>
                <w:color w:val="003366"/>
              </w:rPr>
              <w:t>J.</w:t>
            </w:r>
          </w:p>
        </w:tc>
        <w:tc>
          <w:tcPr>
            <w:tcW w:w="2160" w:type="dxa"/>
            <w:vAlign w:val="bottom"/>
          </w:tcPr>
          <w:p>
            <w:pPr>
              <w:ind w:left="200"/>
              <w:spacing w:after="0"/>
              <w:rPr>
                <w:sz w:val="20"/>
                <w:szCs w:val="20"/>
                <w:color w:val="auto"/>
              </w:rPr>
            </w:pPr>
            <w:r>
              <w:rPr>
                <w:rFonts w:ascii="Arial" w:cs="Arial" w:eastAsia="Arial" w:hAnsi="Arial"/>
                <w:sz w:val="20"/>
                <w:szCs w:val="20"/>
                <w:b w:val="1"/>
                <w:bCs w:val="1"/>
                <w:color w:val="003366"/>
              </w:rPr>
              <w:t>Income Taxes</w:t>
            </w:r>
          </w:p>
        </w:tc>
      </w:tr>
      <w:tr>
        <w:trPr>
          <w:trHeight w:val="297"/>
        </w:trPr>
        <w:tc>
          <w:tcPr>
            <w:tcW w:w="400" w:type="dxa"/>
            <w:vAlign w:val="bottom"/>
          </w:tcPr>
          <w:p>
            <w:pPr>
              <w:spacing w:after="0"/>
              <w:rPr>
                <w:sz w:val="20"/>
                <w:szCs w:val="20"/>
                <w:color w:val="auto"/>
              </w:rPr>
            </w:pPr>
            <w:r>
              <w:rPr>
                <w:rFonts w:ascii="Arial" w:cs="Arial" w:eastAsia="Arial" w:hAnsi="Arial"/>
                <w:sz w:val="20"/>
                <w:szCs w:val="20"/>
                <w:b w:val="1"/>
                <w:bCs w:val="1"/>
                <w:color w:val="003366"/>
              </w:rPr>
              <w:t>D.</w:t>
            </w:r>
          </w:p>
        </w:tc>
        <w:tc>
          <w:tcPr>
            <w:tcW w:w="3640" w:type="dxa"/>
            <w:vAlign w:val="bottom"/>
          </w:tcPr>
          <w:p>
            <w:pPr>
              <w:ind w:left="200"/>
              <w:spacing w:after="0"/>
              <w:rPr>
                <w:sz w:val="20"/>
                <w:szCs w:val="20"/>
                <w:color w:val="auto"/>
              </w:rPr>
            </w:pPr>
            <w:r>
              <w:rPr>
                <w:rFonts w:ascii="Arial" w:cs="Arial" w:eastAsia="Arial" w:hAnsi="Arial"/>
                <w:sz w:val="20"/>
                <w:szCs w:val="20"/>
                <w:b w:val="1"/>
                <w:bCs w:val="1"/>
                <w:color w:val="003366"/>
              </w:rPr>
              <w:t>Investments</w:t>
            </w:r>
          </w:p>
        </w:tc>
        <w:tc>
          <w:tcPr>
            <w:tcW w:w="2040" w:type="dxa"/>
            <w:vAlign w:val="bottom"/>
          </w:tcPr>
          <w:p>
            <w:pPr>
              <w:ind w:left="1620"/>
              <w:spacing w:after="0"/>
              <w:rPr>
                <w:sz w:val="20"/>
                <w:szCs w:val="20"/>
                <w:color w:val="auto"/>
              </w:rPr>
            </w:pPr>
            <w:r>
              <w:rPr>
                <w:rFonts w:ascii="Arial" w:cs="Arial" w:eastAsia="Arial" w:hAnsi="Arial"/>
                <w:sz w:val="20"/>
                <w:szCs w:val="20"/>
                <w:b w:val="1"/>
                <w:bCs w:val="1"/>
                <w:color w:val="003366"/>
              </w:rPr>
              <w:t>K.</w:t>
            </w:r>
          </w:p>
        </w:tc>
        <w:tc>
          <w:tcPr>
            <w:tcW w:w="2160" w:type="dxa"/>
            <w:vAlign w:val="bottom"/>
          </w:tcPr>
          <w:p>
            <w:pPr>
              <w:ind w:left="200"/>
              <w:spacing w:after="0"/>
              <w:rPr>
                <w:sz w:val="20"/>
                <w:szCs w:val="20"/>
                <w:color w:val="auto"/>
              </w:rPr>
            </w:pPr>
            <w:r>
              <w:rPr>
                <w:rFonts w:ascii="Arial" w:cs="Arial" w:eastAsia="Arial" w:hAnsi="Arial"/>
                <w:sz w:val="20"/>
                <w:szCs w:val="20"/>
                <w:b w:val="1"/>
                <w:bCs w:val="1"/>
                <w:color w:val="003366"/>
              </w:rPr>
              <w:t>Contingencies</w:t>
            </w:r>
          </w:p>
        </w:tc>
      </w:tr>
      <w:tr>
        <w:trPr>
          <w:trHeight w:val="297"/>
        </w:trPr>
        <w:tc>
          <w:tcPr>
            <w:tcW w:w="400" w:type="dxa"/>
            <w:vAlign w:val="bottom"/>
          </w:tcPr>
          <w:p>
            <w:pPr>
              <w:spacing w:after="0"/>
              <w:rPr>
                <w:sz w:val="20"/>
                <w:szCs w:val="20"/>
                <w:color w:val="auto"/>
              </w:rPr>
            </w:pPr>
            <w:r>
              <w:rPr>
                <w:rFonts w:ascii="Arial" w:cs="Arial" w:eastAsia="Arial" w:hAnsi="Arial"/>
                <w:sz w:val="20"/>
                <w:szCs w:val="20"/>
                <w:b w:val="1"/>
                <w:bCs w:val="1"/>
                <w:color w:val="003366"/>
              </w:rPr>
              <w:t>E.</w:t>
            </w:r>
          </w:p>
        </w:tc>
        <w:tc>
          <w:tcPr>
            <w:tcW w:w="3640" w:type="dxa"/>
            <w:vAlign w:val="bottom"/>
          </w:tcPr>
          <w:p>
            <w:pPr>
              <w:ind w:left="200"/>
              <w:spacing w:after="0"/>
              <w:rPr>
                <w:sz w:val="20"/>
                <w:szCs w:val="20"/>
                <w:color w:val="auto"/>
              </w:rPr>
            </w:pPr>
            <w:r>
              <w:rPr>
                <w:rFonts w:ascii="Arial" w:cs="Arial" w:eastAsia="Arial" w:hAnsi="Arial"/>
                <w:sz w:val="20"/>
                <w:szCs w:val="20"/>
                <w:b w:val="1"/>
                <w:bCs w:val="1"/>
                <w:color w:val="003366"/>
              </w:rPr>
              <w:t>Derivatives</w:t>
            </w:r>
          </w:p>
        </w:tc>
        <w:tc>
          <w:tcPr>
            <w:tcW w:w="2040" w:type="dxa"/>
            <w:vAlign w:val="bottom"/>
          </w:tcPr>
          <w:p>
            <w:pPr>
              <w:ind w:left="1620"/>
              <w:spacing w:after="0"/>
              <w:rPr>
                <w:sz w:val="20"/>
                <w:szCs w:val="20"/>
                <w:color w:val="auto"/>
              </w:rPr>
            </w:pPr>
            <w:r>
              <w:rPr>
                <w:rFonts w:ascii="Arial" w:cs="Arial" w:eastAsia="Arial" w:hAnsi="Arial"/>
                <w:sz w:val="20"/>
                <w:szCs w:val="20"/>
                <w:b w:val="1"/>
                <w:bCs w:val="1"/>
                <w:color w:val="003366"/>
              </w:rPr>
              <w:t>L.</w:t>
            </w:r>
          </w:p>
        </w:tc>
        <w:tc>
          <w:tcPr>
            <w:tcW w:w="2160" w:type="dxa"/>
            <w:vAlign w:val="bottom"/>
          </w:tcPr>
          <w:p>
            <w:pPr>
              <w:ind w:left="200"/>
              <w:spacing w:after="0"/>
              <w:rPr>
                <w:sz w:val="20"/>
                <w:szCs w:val="20"/>
                <w:color w:val="auto"/>
              </w:rPr>
            </w:pPr>
            <w:r>
              <w:rPr>
                <w:rFonts w:ascii="Arial" w:cs="Arial" w:eastAsia="Arial" w:hAnsi="Arial"/>
                <w:sz w:val="20"/>
                <w:szCs w:val="20"/>
                <w:b w:val="1"/>
                <w:bCs w:val="1"/>
                <w:color w:val="003366"/>
              </w:rPr>
              <w:t>Insurance</w:t>
            </w:r>
          </w:p>
        </w:tc>
      </w:tr>
      <w:tr>
        <w:trPr>
          <w:trHeight w:val="297"/>
        </w:trPr>
        <w:tc>
          <w:tcPr>
            <w:tcW w:w="400" w:type="dxa"/>
            <w:vAlign w:val="bottom"/>
          </w:tcPr>
          <w:p>
            <w:pPr>
              <w:spacing w:after="0"/>
              <w:rPr>
                <w:sz w:val="20"/>
                <w:szCs w:val="20"/>
                <w:color w:val="auto"/>
              </w:rPr>
            </w:pPr>
            <w:r>
              <w:rPr>
                <w:rFonts w:ascii="Arial" w:cs="Arial" w:eastAsia="Arial" w:hAnsi="Arial"/>
                <w:sz w:val="20"/>
                <w:szCs w:val="20"/>
                <w:b w:val="1"/>
                <w:bCs w:val="1"/>
                <w:color w:val="003366"/>
              </w:rPr>
              <w:t>F.</w:t>
            </w:r>
          </w:p>
        </w:tc>
        <w:tc>
          <w:tcPr>
            <w:tcW w:w="3640" w:type="dxa"/>
            <w:vAlign w:val="bottom"/>
          </w:tcPr>
          <w:p>
            <w:pPr>
              <w:ind w:left="200"/>
              <w:spacing w:after="0"/>
              <w:rPr>
                <w:sz w:val="20"/>
                <w:szCs w:val="20"/>
                <w:color w:val="auto"/>
              </w:rPr>
            </w:pPr>
            <w:r>
              <w:rPr>
                <w:rFonts w:ascii="Arial" w:cs="Arial" w:eastAsia="Arial" w:hAnsi="Arial"/>
                <w:sz w:val="20"/>
                <w:szCs w:val="20"/>
                <w:b w:val="1"/>
                <w:bCs w:val="1"/>
                <w:color w:val="003366"/>
              </w:rPr>
              <w:t>Managed Investment Entities</w:t>
            </w:r>
          </w:p>
        </w:tc>
        <w:tc>
          <w:tcPr>
            <w:tcW w:w="2040" w:type="dxa"/>
            <w:vAlign w:val="bottom"/>
          </w:tcPr>
          <w:p>
            <w:pPr>
              <w:ind w:left="1620"/>
              <w:spacing w:after="0"/>
              <w:rPr>
                <w:sz w:val="20"/>
                <w:szCs w:val="20"/>
                <w:color w:val="auto"/>
              </w:rPr>
            </w:pPr>
            <w:r>
              <w:rPr>
                <w:rFonts w:ascii="Arial" w:cs="Arial" w:eastAsia="Arial" w:hAnsi="Arial"/>
                <w:sz w:val="20"/>
                <w:szCs w:val="20"/>
                <w:b w:val="1"/>
                <w:bCs w:val="1"/>
                <w:color w:val="003366"/>
              </w:rPr>
              <w:t>M.</w:t>
            </w:r>
          </w:p>
        </w:tc>
        <w:tc>
          <w:tcPr>
            <w:tcW w:w="2160" w:type="dxa"/>
            <w:vAlign w:val="bottom"/>
          </w:tcPr>
          <w:p>
            <w:pPr>
              <w:ind w:left="200"/>
              <w:spacing w:after="0"/>
              <w:rPr>
                <w:sz w:val="20"/>
                <w:szCs w:val="20"/>
                <w:color w:val="auto"/>
              </w:rPr>
            </w:pPr>
            <w:r>
              <w:rPr>
                <w:rFonts w:ascii="Arial" w:cs="Arial" w:eastAsia="Arial" w:hAnsi="Arial"/>
                <w:sz w:val="20"/>
                <w:szCs w:val="20"/>
                <w:b w:val="1"/>
                <w:bCs w:val="1"/>
                <w:color w:val="003366"/>
              </w:rPr>
              <w:t>Subsequent Event</w:t>
            </w:r>
          </w:p>
        </w:tc>
      </w:tr>
    </w:tbl>
    <w:p>
      <w:pPr>
        <w:spacing w:after="0" w:line="24" w:lineRule="exact"/>
        <w:rPr>
          <w:sz w:val="20"/>
          <w:szCs w:val="20"/>
          <w:color w:val="auto"/>
        </w:rPr>
      </w:pPr>
    </w:p>
    <w:p>
      <w:pPr>
        <w:ind w:left="620" w:hanging="594"/>
        <w:spacing w:after="0"/>
        <w:tabs>
          <w:tab w:leader="none" w:pos="620" w:val="left"/>
        </w:tabs>
        <w:numPr>
          <w:ilvl w:val="0"/>
          <w:numId w:val="3"/>
        </w:numPr>
        <w:rPr>
          <w:rFonts w:ascii="Arial" w:cs="Arial" w:eastAsia="Arial" w:hAnsi="Arial"/>
          <w:sz w:val="20"/>
          <w:szCs w:val="20"/>
          <w:b w:val="1"/>
          <w:bCs w:val="1"/>
          <w:color w:val="003366"/>
        </w:rPr>
      </w:pPr>
      <w:r>
        <w:rPr>
          <w:rFonts w:ascii="Arial" w:cs="Arial" w:eastAsia="Arial" w:hAnsi="Arial"/>
          <w:sz w:val="20"/>
          <w:szCs w:val="20"/>
          <w:b w:val="1"/>
          <w:bCs w:val="1"/>
          <w:color w:val="003366"/>
        </w:rPr>
        <w:t>Goodwill and Other Intangibles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600" w:hanging="592"/>
        <w:spacing w:after="0"/>
        <w:tabs>
          <w:tab w:leader="none" w:pos="600" w:val="left"/>
        </w:tabs>
        <w:numPr>
          <w:ilvl w:val="0"/>
          <w:numId w:val="4"/>
        </w:numPr>
        <w:rPr>
          <w:rFonts w:ascii="Arial" w:cs="Arial" w:eastAsia="Arial" w:hAnsi="Arial"/>
          <w:sz w:val="29"/>
          <w:szCs w:val="29"/>
          <w:b w:val="1"/>
          <w:bCs w:val="1"/>
          <w:color w:val="003366"/>
        </w:rPr>
      </w:pPr>
      <w:r>
        <w:rPr>
          <w:rFonts w:ascii="Arial" w:cs="Arial" w:eastAsia="Arial" w:hAnsi="Arial"/>
          <w:sz w:val="29"/>
          <w:szCs w:val="29"/>
          <w:b w:val="1"/>
          <w:bCs w:val="1"/>
          <w:color w:val="003366"/>
        </w:rPr>
        <w:t>Accounting Policies</w:t>
      </w:r>
    </w:p>
    <w:p>
      <w:pPr>
        <w:spacing w:after="0" w:line="258" w:lineRule="exact"/>
        <w:rPr>
          <w:sz w:val="20"/>
          <w:szCs w:val="20"/>
          <w:color w:val="auto"/>
        </w:rPr>
      </w:pPr>
    </w:p>
    <w:p>
      <w:pPr>
        <w:spacing w:after="0" w:line="248" w:lineRule="auto"/>
        <w:rPr>
          <w:sz w:val="20"/>
          <w:szCs w:val="20"/>
          <w:color w:val="auto"/>
        </w:rPr>
      </w:pPr>
      <w:r>
        <w:rPr>
          <w:rFonts w:ascii="Arial" w:cs="Arial" w:eastAsia="Arial" w:hAnsi="Arial"/>
          <w:sz w:val="20"/>
          <w:szCs w:val="20"/>
          <w:b w:val="1"/>
          <w:bCs w:val="1"/>
          <w:color w:val="003366"/>
        </w:rPr>
        <w:t xml:space="preserve">Basis of Presentation </w:t>
      </w:r>
      <w:r>
        <w:rPr>
          <w:rFonts w:ascii="Arial" w:cs="Arial" w:eastAsia="Arial" w:hAnsi="Arial"/>
          <w:sz w:val="17"/>
          <w:szCs w:val="17"/>
          <w:color w:val="000000"/>
        </w:rPr>
        <w:t>The accompanying consolidated financial statements for American Financial Group, Inc. and its subsidiaries (“AFG”) are</w:t>
      </w:r>
      <w:r>
        <w:rPr>
          <w:rFonts w:ascii="Arial" w:cs="Arial" w:eastAsia="Arial" w:hAnsi="Arial"/>
          <w:sz w:val="20"/>
          <w:szCs w:val="20"/>
          <w:b w:val="1"/>
          <w:bCs w:val="1"/>
          <w:color w:val="003366"/>
        </w:rPr>
        <w:t xml:space="preserve"> </w:t>
      </w:r>
      <w:r>
        <w:rPr>
          <w:rFonts w:ascii="Arial" w:cs="Arial" w:eastAsia="Arial" w:hAnsi="Arial"/>
          <w:sz w:val="17"/>
          <w:szCs w:val="17"/>
          <w:color w:val="000000"/>
        </w:rPr>
        <w:t>unaudited; however, management believes that all adjustments (consisting only of normal recurring accruals unless otherwise disclosed herein) necessary for fair presentation have been made. The results of operations for interim periods are not necessarily indicative of results to be expected for the year. The financial statements have been prepared in accordance with the instructions to Form 10-Q and, therefore, do not include all information and footnotes necessary to be in conformity with U.S. generally accepted accounting principles (“GAAP”).</w:t>
      </w:r>
    </w:p>
    <w:p>
      <w:pPr>
        <w:spacing w:after="0" w:line="230" w:lineRule="exact"/>
        <w:rPr>
          <w:sz w:val="20"/>
          <w:szCs w:val="20"/>
          <w:color w:val="auto"/>
        </w:rPr>
      </w:pPr>
    </w:p>
    <w:p>
      <w:pPr>
        <w:ind w:right="120"/>
        <w:spacing w:after="0" w:line="260" w:lineRule="auto"/>
        <w:rPr>
          <w:sz w:val="20"/>
          <w:szCs w:val="20"/>
          <w:color w:val="auto"/>
        </w:rPr>
      </w:pPr>
      <w:r>
        <w:rPr>
          <w:rFonts w:ascii="Arial" w:cs="Arial" w:eastAsia="Arial" w:hAnsi="Arial"/>
          <w:sz w:val="17"/>
          <w:szCs w:val="17"/>
          <w:color w:val="auto"/>
        </w:rPr>
        <w:t>Certain reclassifications have been made to prior periods to conform to the current year’s presentation. All significant intercompany balances and transactions have been eliminated. The results of operations of companies since their formation or acquisition are included in the consolidated financial statements. Events or transactions occurring subsequent to March 31, 2026, and prior to the filing of this Form 10-Q, have been evaluated for potential recognition or disclosure herein.</w:t>
      </w:r>
    </w:p>
    <w:p>
      <w:pPr>
        <w:spacing w:after="0" w:line="206" w:lineRule="exact"/>
        <w:rPr>
          <w:sz w:val="20"/>
          <w:szCs w:val="20"/>
          <w:color w:val="auto"/>
        </w:rPr>
      </w:pPr>
    </w:p>
    <w:p>
      <w:pPr>
        <w:jc w:val="both"/>
        <w:ind w:right="580"/>
        <w:spacing w:after="0" w:line="301" w:lineRule="auto"/>
        <w:rPr>
          <w:sz w:val="20"/>
          <w:szCs w:val="20"/>
          <w:color w:val="auto"/>
        </w:rPr>
      </w:pPr>
      <w:r>
        <w:rPr>
          <w:rFonts w:ascii="Arial" w:cs="Arial" w:eastAsia="Arial" w:hAnsi="Arial"/>
          <w:sz w:val="17"/>
          <w:szCs w:val="17"/>
          <w:color w:val="auto"/>
        </w:rPr>
        <w:t>The preparation of the financial statements requires management to make estimates and assumptions that affect the amounts reported in the financial statements and accompanying notes. Changes in circumstances could cause actual results to differ materially from those estimates.</w:t>
      </w:r>
    </w:p>
    <w:p>
      <w:pPr>
        <w:spacing w:after="0" w:line="170" w:lineRule="exact"/>
        <w:rPr>
          <w:sz w:val="20"/>
          <w:szCs w:val="20"/>
          <w:color w:val="auto"/>
        </w:rPr>
      </w:pPr>
    </w:p>
    <w:p>
      <w:pPr>
        <w:ind w:right="200"/>
        <w:spacing w:after="0" w:line="248" w:lineRule="auto"/>
        <w:rPr>
          <w:sz w:val="20"/>
          <w:szCs w:val="20"/>
          <w:color w:val="auto"/>
        </w:rPr>
      </w:pPr>
      <w:r>
        <w:rPr>
          <w:rFonts w:ascii="Arial" w:cs="Arial" w:eastAsia="Arial" w:hAnsi="Arial"/>
          <w:sz w:val="20"/>
          <w:szCs w:val="20"/>
          <w:b w:val="1"/>
          <w:bCs w:val="1"/>
          <w:color w:val="003366"/>
        </w:rPr>
        <w:t xml:space="preserve">Fair Value Measurements </w:t>
      </w:r>
      <w:r>
        <w:rPr>
          <w:rFonts w:ascii="Arial" w:cs="Arial" w:eastAsia="Arial" w:hAnsi="Arial"/>
          <w:sz w:val="17"/>
          <w:szCs w:val="17"/>
          <w:color w:val="000000"/>
        </w:rPr>
        <w:t>Accounting standards define fair value as the price that would be received to sell an asset or paid to transfer a</w:t>
      </w:r>
      <w:r>
        <w:rPr>
          <w:rFonts w:ascii="Arial" w:cs="Arial" w:eastAsia="Arial" w:hAnsi="Arial"/>
          <w:sz w:val="20"/>
          <w:szCs w:val="20"/>
          <w:b w:val="1"/>
          <w:bCs w:val="1"/>
          <w:color w:val="003366"/>
        </w:rPr>
        <w:t xml:space="preserve"> </w:t>
      </w:r>
      <w:r>
        <w:rPr>
          <w:rFonts w:ascii="Arial" w:cs="Arial" w:eastAsia="Arial" w:hAnsi="Arial"/>
          <w:sz w:val="17"/>
          <w:szCs w:val="17"/>
          <w:color w:val="000000"/>
        </w:rPr>
        <w:t>liability (an exit price) in an orderly transaction between market participants on the measurement date. The standards establish a hierarchy of valuation techniques based on whether the assumptions that market participants would use in pricing the asset or liability (“inputs”) are observable or unobservable. Observable inputs reflect market data obtained from independent sources, while unobservable inputs reflect AFG’s assumptions about the assumptions market participants would use in pricing the asset or liability. AFG did not have any significant nonrecurring fair value measurements in the first three months of 2026.</w:t>
      </w:r>
    </w:p>
    <w:p>
      <w:pPr>
        <w:spacing w:after="0" w:line="215" w:lineRule="exact"/>
        <w:rPr>
          <w:sz w:val="20"/>
          <w:szCs w:val="20"/>
          <w:color w:val="auto"/>
        </w:rPr>
      </w:pPr>
    </w:p>
    <w:p>
      <w:pPr>
        <w:ind w:right="40"/>
        <w:spacing w:after="0" w:line="248" w:lineRule="auto"/>
        <w:rPr>
          <w:sz w:val="20"/>
          <w:szCs w:val="20"/>
          <w:color w:val="auto"/>
        </w:rPr>
      </w:pPr>
      <w:r>
        <w:rPr>
          <w:rFonts w:ascii="Arial" w:cs="Arial" w:eastAsia="Arial" w:hAnsi="Arial"/>
          <w:sz w:val="20"/>
          <w:szCs w:val="20"/>
          <w:b w:val="1"/>
          <w:bCs w:val="1"/>
          <w:color w:val="003366"/>
        </w:rPr>
        <w:t xml:space="preserve">Investments </w:t>
      </w:r>
      <w:r>
        <w:rPr>
          <w:rFonts w:ascii="Arial" w:cs="Arial" w:eastAsia="Arial" w:hAnsi="Arial"/>
          <w:sz w:val="17"/>
          <w:szCs w:val="17"/>
          <w:color w:val="000000"/>
        </w:rPr>
        <w:t>Fixed maturity securities classified as “available for sale” are reported at fair value with unrealized gains and losses included in</w:t>
      </w:r>
      <w:r>
        <w:rPr>
          <w:rFonts w:ascii="Arial" w:cs="Arial" w:eastAsia="Arial" w:hAnsi="Arial"/>
          <w:sz w:val="20"/>
          <w:szCs w:val="20"/>
          <w:b w:val="1"/>
          <w:bCs w:val="1"/>
          <w:color w:val="003366"/>
        </w:rPr>
        <w:t xml:space="preserve"> </w:t>
      </w:r>
      <w:r>
        <w:rPr>
          <w:rFonts w:ascii="Arial" w:cs="Arial" w:eastAsia="Arial" w:hAnsi="Arial"/>
          <w:sz w:val="17"/>
          <w:szCs w:val="17"/>
          <w:color w:val="000000"/>
        </w:rPr>
        <w:t>accumulated other comprehensive income (“AOCI”) in AFG’s Balance Sheet. Fixed maturity securities classified as “trading” are reported at fair value with changes in unrealized holding gains or losses during the period included in net investment income. Mortgage loans (net of any allowance) are carried primarily at the aggregate unpaid balance.</w:t>
      </w:r>
    </w:p>
    <w:p>
      <w:pPr>
        <w:spacing w:after="0" w:line="216" w:lineRule="exact"/>
        <w:rPr>
          <w:sz w:val="20"/>
          <w:szCs w:val="20"/>
          <w:color w:val="auto"/>
        </w:rPr>
      </w:pPr>
    </w:p>
    <w:p>
      <w:pPr>
        <w:ind w:right="180"/>
        <w:spacing w:after="0" w:line="266" w:lineRule="auto"/>
        <w:rPr>
          <w:sz w:val="20"/>
          <w:szCs w:val="20"/>
          <w:color w:val="auto"/>
        </w:rPr>
      </w:pPr>
      <w:r>
        <w:rPr>
          <w:rFonts w:ascii="Arial" w:cs="Arial" w:eastAsia="Arial" w:hAnsi="Arial"/>
          <w:sz w:val="17"/>
          <w:szCs w:val="17"/>
          <w:color w:val="auto"/>
        </w:rPr>
        <w:t>Realized gains or losses on the disposal of fixed maturity securities are determined on the specific identification basis. Premiums and discounts on fixed maturity securities are amortized using the effective interest method. Structured securities subject to prepayment risk are amortized over a period based on estimated future principal payments, including prepayments. Prepayment assumptions are reviewed periodically and adjusted to reflect actual prepayments and changes in expectations.</w:t>
      </w:r>
    </w:p>
    <w:p>
      <w:pPr>
        <w:spacing w:after="0" w:line="200" w:lineRule="exact"/>
        <w:rPr>
          <w:sz w:val="20"/>
          <w:szCs w:val="20"/>
          <w:color w:val="auto"/>
        </w:rPr>
      </w:pPr>
    </w:p>
    <w:p>
      <w:pPr>
        <w:ind w:right="40"/>
        <w:spacing w:after="0" w:line="284" w:lineRule="auto"/>
        <w:rPr>
          <w:sz w:val="20"/>
          <w:szCs w:val="20"/>
          <w:color w:val="auto"/>
        </w:rPr>
      </w:pPr>
      <w:r>
        <w:rPr>
          <w:rFonts w:ascii="Arial" w:cs="Arial" w:eastAsia="Arial" w:hAnsi="Arial"/>
          <w:sz w:val="17"/>
          <w:szCs w:val="17"/>
          <w:color w:val="auto"/>
        </w:rPr>
        <w:t>Equity securities are reported at fair value with holding gains and losses generally recorded in realized gains (losses) on securities. However, AFG records holding gains and losses on certain securities classified at purchase as “fair value through net investment income” in net investment income.</w:t>
      </w:r>
    </w:p>
    <w:p>
      <w:pPr>
        <w:spacing w:after="0" w:line="199" w:lineRule="exact"/>
        <w:rPr>
          <w:sz w:val="20"/>
          <w:szCs w:val="20"/>
          <w:color w:val="auto"/>
        </w:rPr>
      </w:pPr>
    </w:p>
    <w:p>
      <w:pPr>
        <w:ind w:right="220"/>
        <w:spacing w:after="0" w:line="266" w:lineRule="auto"/>
        <w:rPr>
          <w:sz w:val="20"/>
          <w:szCs w:val="20"/>
          <w:color w:val="auto"/>
        </w:rPr>
      </w:pPr>
      <w:r>
        <w:rPr>
          <w:rFonts w:ascii="Arial" w:cs="Arial" w:eastAsia="Arial" w:hAnsi="Arial"/>
          <w:sz w:val="17"/>
          <w:szCs w:val="17"/>
          <w:color w:val="auto"/>
        </w:rPr>
        <w:t>Limited partnerships and similar investments are generally accounted for using the equity method of accounting. Under the equity method, AFG records its share of the earnings or losses of the investee based on when it is reported by the investee in its financial statements rather than in the period in which the investee declares a dividend. AFG’s share of the</w:t>
      </w:r>
    </w:p>
    <w:p>
      <w:pPr>
        <w:sectPr>
          <w:pgSz w:w="11900" w:h="16838" w:orient="portrait"/>
          <w:cols w:equalWidth="0" w:num="1">
            <w:col w:w="11240"/>
          </w:cols>
          <w:pgMar w:left="320" w:top="115"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278" w:lineRule="exact"/>
        <w:rPr>
          <w:sz w:val="20"/>
          <w:szCs w:val="20"/>
          <w:color w:val="auto"/>
        </w:rPr>
      </w:pPr>
    </w:p>
    <w:p>
      <w:pPr>
        <w:ind w:right="200"/>
        <w:spacing w:after="0" w:line="284" w:lineRule="auto"/>
        <w:rPr>
          <w:sz w:val="20"/>
          <w:szCs w:val="20"/>
          <w:color w:val="auto"/>
        </w:rPr>
      </w:pPr>
      <w:r>
        <w:rPr>
          <w:rFonts w:ascii="Arial" w:cs="Arial" w:eastAsia="Arial" w:hAnsi="Arial"/>
          <w:sz w:val="17"/>
          <w:szCs w:val="17"/>
          <w:color w:val="auto"/>
        </w:rPr>
        <w:t>earnings or losses from equity method investments is generally recorded on a quarter lag due to the timing of the receipt of the investee’s financial statements. AFG’s equity in the earnings (losses) of limited partnerships and similar investments is included in net investment income.</w:t>
      </w:r>
    </w:p>
    <w:p>
      <w:pPr>
        <w:spacing w:after="0" w:line="184" w:lineRule="exact"/>
        <w:rPr>
          <w:sz w:val="20"/>
          <w:szCs w:val="20"/>
          <w:color w:val="auto"/>
        </w:rPr>
      </w:pPr>
    </w:p>
    <w:p>
      <w:pPr>
        <w:ind w:right="20"/>
        <w:spacing w:after="0" w:line="255" w:lineRule="auto"/>
        <w:rPr>
          <w:sz w:val="20"/>
          <w:szCs w:val="20"/>
          <w:color w:val="auto"/>
        </w:rPr>
      </w:pPr>
      <w:r>
        <w:rPr>
          <w:rFonts w:ascii="Arial" w:cs="Arial" w:eastAsia="Arial" w:hAnsi="Arial"/>
          <w:sz w:val="20"/>
          <w:szCs w:val="20"/>
          <w:b w:val="1"/>
          <w:bCs w:val="1"/>
          <w:color w:val="003366"/>
        </w:rPr>
        <w:t xml:space="preserve">Credit Losses on Fixed Maturity Investments </w:t>
      </w:r>
      <w:r>
        <w:rPr>
          <w:rFonts w:ascii="Arial" w:cs="Arial" w:eastAsia="Arial" w:hAnsi="Arial"/>
          <w:sz w:val="17"/>
          <w:szCs w:val="17"/>
          <w:color w:val="000000"/>
        </w:rPr>
        <w:t>When a decline in the value of an available for sale fixed maturity is considered to be</w:t>
      </w:r>
      <w:r>
        <w:rPr>
          <w:rFonts w:ascii="Arial" w:cs="Arial" w:eastAsia="Arial" w:hAnsi="Arial"/>
          <w:sz w:val="20"/>
          <w:szCs w:val="20"/>
          <w:b w:val="1"/>
          <w:bCs w:val="1"/>
          <w:color w:val="003366"/>
        </w:rPr>
        <w:t xml:space="preserve"> </w:t>
      </w:r>
      <w:r>
        <w:rPr>
          <w:rFonts w:ascii="Arial" w:cs="Arial" w:eastAsia="Arial" w:hAnsi="Arial"/>
          <w:sz w:val="17"/>
          <w:szCs w:val="17"/>
          <w:color w:val="000000"/>
        </w:rPr>
        <w:t>other-than-temporary at the balance sheet date, an allowance for credit losses (impairment), including any write-off of accrued interest, is charged to earnings (included in realized gains (losses) on securities). If management can assert that it does not intend to sell the security and it is not more likely than not that it will have to sell it before recovery of its amortized cost basis, then the impairment is separated into two components: (i) the allowance related to credit losses (recorded in earnings) and (ii) the amount related to all other factors (recorded in other comprehensive income). The credit-related portion is measured by comparing a security’s amortized cost (net of any existing allowance) to the present value of its current expected cash flows discounted at its effective yield prior to the charge. The allowance is limited to the difference between a security’s amortized cost basis and its fair value. Subsequent increases or decreases in expected credit losses are recorded immediately in net earnings through realized gains (losses). If management intends to sell an impaired security, or it is more likely than not that it will be required to sell the security before recovery, an impairment is recorded in earnings to reduce the amortized cost of that security to fair value.</w:t>
      </w:r>
    </w:p>
    <w:p>
      <w:pPr>
        <w:spacing w:after="0" w:line="222" w:lineRule="exact"/>
        <w:rPr>
          <w:sz w:val="20"/>
          <w:szCs w:val="20"/>
          <w:color w:val="auto"/>
        </w:rPr>
      </w:pPr>
    </w:p>
    <w:p>
      <w:pPr>
        <w:ind w:right="80"/>
        <w:spacing w:after="0" w:line="248" w:lineRule="auto"/>
        <w:rPr>
          <w:sz w:val="20"/>
          <w:szCs w:val="20"/>
          <w:color w:val="auto"/>
        </w:rPr>
      </w:pPr>
      <w:r>
        <w:rPr>
          <w:rFonts w:ascii="Arial" w:cs="Arial" w:eastAsia="Arial" w:hAnsi="Arial"/>
          <w:sz w:val="20"/>
          <w:szCs w:val="20"/>
          <w:b w:val="1"/>
          <w:bCs w:val="1"/>
          <w:color w:val="003366"/>
        </w:rPr>
        <w:t xml:space="preserve">Credit Losses on Financial Instruments Measured at Amortized Cost </w:t>
      </w:r>
      <w:r>
        <w:rPr>
          <w:rFonts w:ascii="Arial" w:cs="Arial" w:eastAsia="Arial" w:hAnsi="Arial"/>
          <w:sz w:val="17"/>
          <w:szCs w:val="17"/>
          <w:color w:val="000000"/>
        </w:rPr>
        <w:t>Credit-related impairments for financial instruments</w:t>
      </w:r>
      <w:r>
        <w:rPr>
          <w:rFonts w:ascii="Arial" w:cs="Arial" w:eastAsia="Arial" w:hAnsi="Arial"/>
          <w:sz w:val="20"/>
          <w:szCs w:val="20"/>
          <w:b w:val="1"/>
          <w:bCs w:val="1"/>
          <w:color w:val="003366"/>
        </w:rPr>
        <w:t xml:space="preserve"> </w:t>
      </w:r>
      <w:r>
        <w:rPr>
          <w:rFonts w:ascii="Arial" w:cs="Arial" w:eastAsia="Arial" w:hAnsi="Arial"/>
          <w:sz w:val="17"/>
          <w:szCs w:val="17"/>
          <w:color w:val="000000"/>
        </w:rPr>
        <w:t>measured at amortized cost (mortgage loans, premiums receivable and reinsurance recoverables) reflect estimated credit losses expected over the life of an exposure or pool of exposures. The estimate of expected credit losses considers historical information, current information, as well as reasonable and supportable forecasts, including estimates of prepayments. Expected credit losses, and subsequent increases or decreases in such expected losses, are recorded immediately through net earnings as an allowance that is deducted from the amortized cost basis of the financial asset, with the net carrying value of the financial asset presented on the balance sheet at the amount expected to be collected.</w:t>
      </w:r>
    </w:p>
    <w:p>
      <w:pPr>
        <w:spacing w:after="0" w:line="215" w:lineRule="exact"/>
        <w:rPr>
          <w:sz w:val="20"/>
          <w:szCs w:val="20"/>
          <w:color w:val="auto"/>
        </w:rPr>
      </w:pPr>
    </w:p>
    <w:p>
      <w:pPr>
        <w:ind w:right="80"/>
        <w:spacing w:after="0" w:line="248" w:lineRule="auto"/>
        <w:rPr>
          <w:sz w:val="20"/>
          <w:szCs w:val="20"/>
          <w:color w:val="auto"/>
        </w:rPr>
      </w:pPr>
      <w:r>
        <w:rPr>
          <w:rFonts w:ascii="Arial" w:cs="Arial" w:eastAsia="Arial" w:hAnsi="Arial"/>
          <w:sz w:val="20"/>
          <w:szCs w:val="20"/>
          <w:b w:val="1"/>
          <w:bCs w:val="1"/>
          <w:color w:val="003366"/>
        </w:rPr>
        <w:t xml:space="preserve">Derivatives </w:t>
      </w:r>
      <w:r>
        <w:rPr>
          <w:rFonts w:ascii="Arial" w:cs="Arial" w:eastAsia="Arial" w:hAnsi="Arial"/>
          <w:sz w:val="17"/>
          <w:szCs w:val="17"/>
          <w:color w:val="000000"/>
        </w:rPr>
        <w:t>Derivatives included in AFG’s Balance Sheet are recorded at fair value. Changes in fair value of derivatives are included in earnings</w:t>
      </w:r>
      <w:r>
        <w:rPr>
          <w:rFonts w:ascii="Arial" w:cs="Arial" w:eastAsia="Arial" w:hAnsi="Arial"/>
          <w:sz w:val="20"/>
          <w:szCs w:val="20"/>
          <w:b w:val="1"/>
          <w:bCs w:val="1"/>
          <w:color w:val="003366"/>
        </w:rPr>
        <w:t xml:space="preserve"> </w:t>
      </w:r>
      <w:r>
        <w:rPr>
          <w:rFonts w:ascii="Arial" w:cs="Arial" w:eastAsia="Arial" w:hAnsi="Arial"/>
          <w:sz w:val="17"/>
          <w:szCs w:val="17"/>
          <w:color w:val="000000"/>
        </w:rPr>
        <w:t>unless the derivatives are designated and qualify as highly effective cash flow hedges. AFG’s derivatives that do not qualify for hedge accounting under GAAP consist primarily of components of certain fixed maturity securities (convertible fixed maturities and interest-only and principal-only mortgage-backed securities (“MBS”)) and a total return swap related to its deferred compensation obligations to employees.</w:t>
      </w:r>
    </w:p>
    <w:p>
      <w:pPr>
        <w:spacing w:after="0" w:line="216" w:lineRule="exact"/>
        <w:rPr>
          <w:sz w:val="20"/>
          <w:szCs w:val="20"/>
          <w:color w:val="auto"/>
        </w:rPr>
      </w:pPr>
    </w:p>
    <w:p>
      <w:pPr>
        <w:ind w:right="220"/>
        <w:spacing w:after="0" w:line="274" w:lineRule="auto"/>
        <w:rPr>
          <w:sz w:val="20"/>
          <w:szCs w:val="20"/>
          <w:color w:val="auto"/>
        </w:rPr>
      </w:pPr>
      <w:r>
        <w:rPr>
          <w:rFonts w:ascii="Arial" w:cs="Arial" w:eastAsia="Arial" w:hAnsi="Arial"/>
          <w:sz w:val="17"/>
          <w:szCs w:val="17"/>
          <w:color w:val="auto"/>
        </w:rPr>
        <w:t>To qualify for hedge accounting, at the inception of a derivative contract, AFG formally documents the relationship between the terms of the hedge and the hedged items and its risk management objective. This documentation includes defining how hedge effectiveness is evaluated at the inception date and over the life of the derivative.</w:t>
      </w:r>
    </w:p>
    <w:p>
      <w:pPr>
        <w:spacing w:after="0" w:line="195"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Changes in the fair value of derivatives that are designated and qualify as highly effective cash flow hedges are recorded in AOCI and are reclassified into earnings when the variability of the cash flows from the hedged items impacts earnings. When the change in the fair value of a qualifying cash flow hedge is included in earnings, it is included in the same line item in the statement of earnings as the cash flows from the hedged item. AFG uses interest rate swaps that are designated and qualify as highly effective cash flow hedges to mitigate interest rate risk related to certain floating-rate securities.</w:t>
      </w:r>
    </w:p>
    <w:p>
      <w:pPr>
        <w:spacing w:after="0" w:line="205" w:lineRule="exact"/>
        <w:rPr>
          <w:sz w:val="20"/>
          <w:szCs w:val="20"/>
          <w:color w:val="auto"/>
        </w:rPr>
      </w:pPr>
    </w:p>
    <w:p>
      <w:pPr>
        <w:ind w:right="140"/>
        <w:spacing w:after="0" w:line="249" w:lineRule="auto"/>
        <w:rPr>
          <w:sz w:val="20"/>
          <w:szCs w:val="20"/>
          <w:color w:val="auto"/>
        </w:rPr>
      </w:pPr>
      <w:r>
        <w:rPr>
          <w:rFonts w:ascii="Arial" w:cs="Arial" w:eastAsia="Arial" w:hAnsi="Arial"/>
          <w:sz w:val="20"/>
          <w:szCs w:val="20"/>
          <w:b w:val="1"/>
          <w:bCs w:val="1"/>
          <w:color w:val="003366"/>
        </w:rPr>
        <w:t xml:space="preserve">Goodwill </w:t>
      </w:r>
      <w:r>
        <w:rPr>
          <w:rFonts w:ascii="Arial" w:cs="Arial" w:eastAsia="Arial" w:hAnsi="Arial"/>
          <w:sz w:val="17"/>
          <w:szCs w:val="17"/>
          <w:color w:val="000000"/>
        </w:rPr>
        <w:t>Goodwill represents the excess of cost of subsidiaries over AFG’s equity in their underlying net assets at the date of acquisition.</w:t>
      </w:r>
      <w:r>
        <w:rPr>
          <w:rFonts w:ascii="Arial" w:cs="Arial" w:eastAsia="Arial" w:hAnsi="Arial"/>
          <w:sz w:val="20"/>
          <w:szCs w:val="20"/>
          <w:b w:val="1"/>
          <w:bCs w:val="1"/>
          <w:color w:val="003366"/>
        </w:rPr>
        <w:t xml:space="preserve"> </w:t>
      </w:r>
      <w:r>
        <w:rPr>
          <w:rFonts w:ascii="Arial" w:cs="Arial" w:eastAsia="Arial" w:hAnsi="Arial"/>
          <w:sz w:val="17"/>
          <w:szCs w:val="17"/>
          <w:color w:val="000000"/>
        </w:rPr>
        <w:t>Goodwill is not amortized, but is subject to an impairment test at least annually. AFG performs a qualitative analysis to determine whether it is more likely than not that the reporting unit’s fair value exceeds its carrying amount. If it is not more likely, quantitative testing is not required.</w:t>
      </w:r>
    </w:p>
    <w:p>
      <w:pPr>
        <w:spacing w:after="0" w:line="211" w:lineRule="exact"/>
        <w:rPr>
          <w:sz w:val="20"/>
          <w:szCs w:val="20"/>
          <w:color w:val="auto"/>
        </w:rPr>
      </w:pPr>
    </w:p>
    <w:p>
      <w:pPr>
        <w:ind w:right="220"/>
        <w:spacing w:after="0" w:line="248" w:lineRule="auto"/>
        <w:rPr>
          <w:sz w:val="20"/>
          <w:szCs w:val="20"/>
          <w:color w:val="auto"/>
        </w:rPr>
      </w:pPr>
      <w:r>
        <w:rPr>
          <w:rFonts w:ascii="Arial" w:cs="Arial" w:eastAsia="Arial" w:hAnsi="Arial"/>
          <w:sz w:val="20"/>
          <w:szCs w:val="20"/>
          <w:b w:val="1"/>
          <w:bCs w:val="1"/>
          <w:color w:val="003366"/>
        </w:rPr>
        <w:t xml:space="preserve">Reinsurance </w:t>
      </w:r>
      <w:r>
        <w:rPr>
          <w:rFonts w:ascii="Arial" w:cs="Arial" w:eastAsia="Arial" w:hAnsi="Arial"/>
          <w:sz w:val="17"/>
          <w:szCs w:val="17"/>
          <w:color w:val="000000"/>
        </w:rPr>
        <w:t>Amounts recoverable from reinsurers are estimated in a manner consistent with the claim liability associated with the reinsured</w:t>
      </w:r>
      <w:r>
        <w:rPr>
          <w:rFonts w:ascii="Arial" w:cs="Arial" w:eastAsia="Arial" w:hAnsi="Arial"/>
          <w:sz w:val="20"/>
          <w:szCs w:val="20"/>
          <w:b w:val="1"/>
          <w:bCs w:val="1"/>
          <w:color w:val="003366"/>
        </w:rPr>
        <w:t xml:space="preserve"> </w:t>
      </w:r>
      <w:r>
        <w:rPr>
          <w:rFonts w:ascii="Arial" w:cs="Arial" w:eastAsia="Arial" w:hAnsi="Arial"/>
          <w:sz w:val="17"/>
          <w:szCs w:val="17"/>
          <w:color w:val="000000"/>
        </w:rPr>
        <w:t>policies. AFG reports as assets (i) the estimated reinsurance recoverable on paid and unpaid losses, including an estimate for losses incurred but not reported, and (ii) amounts paid or due to reinsurers applicable to the unexpired terms of policies in force. Payable to reinsurers includes ceded premiums due to reinsurers, as well as ceded premiums retained by AFG under contracts to fund ceded losses as they become due. AFG also assumes reinsurance from other companies. Earnings on reinsurance assumed is recognized based on information received from ceding companies.</w:t>
      </w:r>
    </w:p>
    <w:p>
      <w:pPr>
        <w:spacing w:after="0" w:line="215" w:lineRule="exact"/>
        <w:rPr>
          <w:sz w:val="20"/>
          <w:szCs w:val="20"/>
          <w:color w:val="auto"/>
        </w:rPr>
      </w:pPr>
    </w:p>
    <w:p>
      <w:pPr>
        <w:spacing w:after="0" w:line="249" w:lineRule="auto"/>
        <w:rPr>
          <w:sz w:val="20"/>
          <w:szCs w:val="20"/>
          <w:color w:val="auto"/>
        </w:rPr>
      </w:pPr>
      <w:r>
        <w:rPr>
          <w:rFonts w:ascii="Arial" w:cs="Arial" w:eastAsia="Arial" w:hAnsi="Arial"/>
          <w:sz w:val="20"/>
          <w:szCs w:val="20"/>
          <w:b w:val="1"/>
          <w:bCs w:val="1"/>
          <w:color w:val="003366"/>
        </w:rPr>
        <w:t xml:space="preserve">Deferred Policy Acquisition Costs (“DPAC”) </w:t>
      </w:r>
      <w:r>
        <w:rPr>
          <w:rFonts w:ascii="Arial" w:cs="Arial" w:eastAsia="Arial" w:hAnsi="Arial"/>
          <w:sz w:val="17"/>
          <w:szCs w:val="17"/>
          <w:color w:val="000000"/>
        </w:rPr>
        <w:t>Policy acquisition costs (principally commissions, premium taxes and certain underwriting</w:t>
      </w:r>
      <w:r>
        <w:rPr>
          <w:rFonts w:ascii="Arial" w:cs="Arial" w:eastAsia="Arial" w:hAnsi="Arial"/>
          <w:sz w:val="20"/>
          <w:szCs w:val="20"/>
          <w:b w:val="1"/>
          <w:bCs w:val="1"/>
          <w:color w:val="003366"/>
        </w:rPr>
        <w:t xml:space="preserve"> </w:t>
      </w:r>
      <w:r>
        <w:rPr>
          <w:rFonts w:ascii="Arial" w:cs="Arial" w:eastAsia="Arial" w:hAnsi="Arial"/>
          <w:sz w:val="17"/>
          <w:szCs w:val="17"/>
          <w:color w:val="000000"/>
        </w:rPr>
        <w:t>and policy issuance costs) directly related to the successful acquisition or renewal of an insurance contract are deferred. DPAC is limited based upon recoverability without any consideration for anticipated</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9" w:name="page10"/>
    <w:bookmarkEnd w:id="9"/>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278" w:lineRule="exact"/>
        <w:rPr>
          <w:sz w:val="20"/>
          <w:szCs w:val="20"/>
          <w:color w:val="auto"/>
        </w:rPr>
      </w:pPr>
    </w:p>
    <w:p>
      <w:pPr>
        <w:ind w:right="20"/>
        <w:spacing w:after="0" w:line="261" w:lineRule="auto"/>
        <w:rPr>
          <w:sz w:val="20"/>
          <w:szCs w:val="20"/>
          <w:color w:val="auto"/>
        </w:rPr>
      </w:pPr>
      <w:r>
        <w:rPr>
          <w:rFonts w:ascii="Arial" w:cs="Arial" w:eastAsia="Arial" w:hAnsi="Arial"/>
          <w:sz w:val="17"/>
          <w:szCs w:val="17"/>
          <w:color w:val="auto"/>
        </w:rPr>
        <w:t>investment income and is charged against income ratably over the terms of the related policies. A premium deficiency is recognized if the sum of expected claims costs, claims adjustment expenses and unamortized acquisition costs exceed the related unearned premiums. A premium deficiency is first recognized by charging any unamortized acquisition costs to expense to the extent required to eliminate the deficiency. If the premium deficiency is greater than unamortized acquisition costs, a liability is accrued for the excess deficiency and reported with unpaid losses and loss adjustment expenses.</w:t>
      </w:r>
    </w:p>
    <w:p>
      <w:pPr>
        <w:spacing w:after="0" w:line="205" w:lineRule="exact"/>
        <w:rPr>
          <w:sz w:val="20"/>
          <w:szCs w:val="20"/>
          <w:color w:val="auto"/>
        </w:rPr>
      </w:pPr>
    </w:p>
    <w:p>
      <w:pPr>
        <w:ind w:right="120"/>
        <w:spacing w:after="0" w:line="249" w:lineRule="auto"/>
        <w:rPr>
          <w:sz w:val="20"/>
          <w:szCs w:val="20"/>
          <w:color w:val="auto"/>
        </w:rPr>
      </w:pPr>
      <w:r>
        <w:rPr>
          <w:rFonts w:ascii="Arial" w:cs="Arial" w:eastAsia="Arial" w:hAnsi="Arial"/>
          <w:sz w:val="20"/>
          <w:szCs w:val="20"/>
          <w:b w:val="1"/>
          <w:bCs w:val="1"/>
          <w:color w:val="003366"/>
        </w:rPr>
        <w:t xml:space="preserve">Managed Investment Entities </w:t>
      </w:r>
      <w:r>
        <w:rPr>
          <w:rFonts w:ascii="Arial" w:cs="Arial" w:eastAsia="Arial" w:hAnsi="Arial"/>
          <w:sz w:val="17"/>
          <w:szCs w:val="17"/>
          <w:color w:val="000000"/>
        </w:rPr>
        <w:t>A company is considered the primary beneficiary of, and therefore must consolidate, a variable interest entity</w:t>
      </w:r>
      <w:r>
        <w:rPr>
          <w:rFonts w:ascii="Arial" w:cs="Arial" w:eastAsia="Arial" w:hAnsi="Arial"/>
          <w:sz w:val="20"/>
          <w:szCs w:val="20"/>
          <w:b w:val="1"/>
          <w:bCs w:val="1"/>
          <w:color w:val="003366"/>
        </w:rPr>
        <w:t xml:space="preserve"> </w:t>
      </w:r>
      <w:r>
        <w:rPr>
          <w:rFonts w:ascii="Arial" w:cs="Arial" w:eastAsia="Arial" w:hAnsi="Arial"/>
          <w:sz w:val="17"/>
          <w:szCs w:val="17"/>
          <w:color w:val="000000"/>
        </w:rPr>
        <w:t>(“VIE”) based primarily on its ability to direct the activities of the VIE that most significantly impact that entity’s economic performance and the obligation to absorb losses of, or receive benefits from, the entity that could potentially be significant to the VIE.</w:t>
      </w:r>
    </w:p>
    <w:p>
      <w:pPr>
        <w:spacing w:after="0" w:line="212" w:lineRule="exact"/>
        <w:rPr>
          <w:sz w:val="20"/>
          <w:szCs w:val="20"/>
          <w:color w:val="auto"/>
        </w:rPr>
      </w:pPr>
    </w:p>
    <w:p>
      <w:pPr>
        <w:ind w:right="160"/>
        <w:spacing w:after="0" w:line="260" w:lineRule="auto"/>
        <w:rPr>
          <w:sz w:val="20"/>
          <w:szCs w:val="20"/>
          <w:color w:val="auto"/>
        </w:rPr>
      </w:pPr>
      <w:r>
        <w:rPr>
          <w:rFonts w:ascii="Arial" w:cs="Arial" w:eastAsia="Arial" w:hAnsi="Arial"/>
          <w:sz w:val="17"/>
          <w:szCs w:val="17"/>
          <w:color w:val="auto"/>
        </w:rPr>
        <w:t xml:space="preserve">AFG manages, and has investments in, collateralized loan obligations (“CLOs”) that are VIEs (see </w:t>
      </w:r>
      <w:r>
        <w:rPr>
          <w:rFonts w:ascii="Arial" w:cs="Arial" w:eastAsia="Arial" w:hAnsi="Arial"/>
          <w:sz w:val="17"/>
          <w:szCs w:val="17"/>
          <w:i w:val="1"/>
          <w:iCs w:val="1"/>
          <w:color w:val="auto"/>
        </w:rPr>
        <w:t>Note F — “Managed Investment Entities”</w:t>
      </w:r>
      <w:r>
        <w:rPr>
          <w:rFonts w:ascii="Arial" w:cs="Arial" w:eastAsia="Arial" w:hAnsi="Arial"/>
          <w:sz w:val="17"/>
          <w:szCs w:val="17"/>
          <w:color w:val="auto"/>
        </w:rPr>
        <w:t>). AFG has determined that it is the primary beneficiary of these CLOs because (i) its role as asset manager gives it the power to direct the activities that most significantly impact the economic performance of the CLOs and (ii) through its investment in the CLO debt tranches, it has exposure to CLO losses (limited to the amount AFG invested) and the right to receive CLO benefits that could potentially be significant to the CLOs.</w:t>
      </w:r>
    </w:p>
    <w:p>
      <w:pPr>
        <w:spacing w:after="0" w:line="219" w:lineRule="exact"/>
        <w:rPr>
          <w:sz w:val="20"/>
          <w:szCs w:val="20"/>
          <w:color w:val="auto"/>
        </w:rPr>
      </w:pPr>
    </w:p>
    <w:p>
      <w:pPr>
        <w:ind w:right="40"/>
        <w:spacing w:after="0" w:line="260" w:lineRule="auto"/>
        <w:rPr>
          <w:sz w:val="20"/>
          <w:szCs w:val="20"/>
          <w:color w:val="auto"/>
        </w:rPr>
      </w:pPr>
      <w:r>
        <w:rPr>
          <w:rFonts w:ascii="Arial" w:cs="Arial" w:eastAsia="Arial" w:hAnsi="Arial"/>
          <w:sz w:val="17"/>
          <w:szCs w:val="17"/>
          <w:color w:val="auto"/>
        </w:rPr>
        <w:t>Because AFG has no right to use the CLO assets and no obligation to pay the CLO liabilities, the assets and liabilities of the CLOs are shown separately in AFG’s Balance Sheet. AFG has elected the fair value option for reporting on the CLO assets and liabilities to improve the transparency of financial reporting related to the CLOs. The net gain or loss from accounting for the CLO assets and liabilities at fair value is presented separately in AFG’s Statement of Earnings.</w:t>
      </w:r>
    </w:p>
    <w:p>
      <w:pPr>
        <w:spacing w:after="0" w:line="206" w:lineRule="exact"/>
        <w:rPr>
          <w:sz w:val="20"/>
          <w:szCs w:val="20"/>
          <w:color w:val="auto"/>
        </w:rPr>
      </w:pPr>
    </w:p>
    <w:p>
      <w:pPr>
        <w:ind w:right="520"/>
        <w:spacing w:after="0" w:line="266" w:lineRule="auto"/>
        <w:rPr>
          <w:sz w:val="20"/>
          <w:szCs w:val="20"/>
          <w:color w:val="auto"/>
        </w:rPr>
      </w:pPr>
      <w:r>
        <w:rPr>
          <w:rFonts w:ascii="Arial" w:cs="Arial" w:eastAsia="Arial" w:hAnsi="Arial"/>
          <w:sz w:val="17"/>
          <w:szCs w:val="17"/>
          <w:color w:val="auto"/>
        </w:rPr>
        <w:t>The fair values of a CLO’s assets may differ from the separately measured fair values of its liabilities even though the CLO liabilities only have recourse to the CLO assets. AFG has set the carrying value of the CLO liabilities equal to the fair value of the CLO assets (which have more observable fair values) as an alternative to reporting those liabilities at a separately measured fair value. CLO earnings attributable to AFG’s shareholders are measured by the change in the fair value of AFG’s investments in the CLOs and management fees earned.</w:t>
      </w:r>
    </w:p>
    <w:p>
      <w:pPr>
        <w:spacing w:after="0" w:line="200" w:lineRule="exact"/>
        <w:rPr>
          <w:sz w:val="20"/>
          <w:szCs w:val="20"/>
          <w:color w:val="auto"/>
        </w:rPr>
      </w:pPr>
    </w:p>
    <w:p>
      <w:pPr>
        <w:jc w:val="both"/>
        <w:ind w:right="260"/>
        <w:spacing w:after="0" w:line="274" w:lineRule="auto"/>
        <w:rPr>
          <w:sz w:val="20"/>
          <w:szCs w:val="20"/>
          <w:color w:val="auto"/>
        </w:rPr>
      </w:pPr>
      <w:r>
        <w:rPr>
          <w:rFonts w:ascii="Arial" w:cs="Arial" w:eastAsia="Arial" w:hAnsi="Arial"/>
          <w:sz w:val="17"/>
          <w:szCs w:val="17"/>
          <w:color w:val="auto"/>
        </w:rPr>
        <w:t>At March 31, 2026, assets and liabilities of managed investment entities included $47 million in assets and $37 million in liabilities of a temporary warehousing entity that was established to provide AFG the ability to form a new CLO. At closing, all warehoused assets will be transferred to the new CLO and the liabilities will be repaid.</w:t>
      </w:r>
    </w:p>
    <w:p>
      <w:pPr>
        <w:spacing w:after="0" w:line="193" w:lineRule="exact"/>
        <w:rPr>
          <w:sz w:val="20"/>
          <w:szCs w:val="20"/>
          <w:color w:val="auto"/>
        </w:rPr>
      </w:pPr>
    </w:p>
    <w:p>
      <w:pPr>
        <w:ind w:right="20"/>
        <w:spacing w:after="0" w:line="243" w:lineRule="auto"/>
        <w:rPr>
          <w:sz w:val="20"/>
          <w:szCs w:val="20"/>
          <w:color w:val="auto"/>
        </w:rPr>
      </w:pPr>
      <w:r>
        <w:rPr>
          <w:rFonts w:ascii="Arial" w:cs="Arial" w:eastAsia="Arial" w:hAnsi="Arial"/>
          <w:sz w:val="20"/>
          <w:szCs w:val="20"/>
          <w:b w:val="1"/>
          <w:bCs w:val="1"/>
          <w:color w:val="003366"/>
        </w:rPr>
        <w:t xml:space="preserve">Unpaid Losses and Loss Adjustment Expenses </w:t>
      </w:r>
      <w:r>
        <w:rPr>
          <w:rFonts w:ascii="Arial" w:cs="Arial" w:eastAsia="Arial" w:hAnsi="Arial"/>
          <w:sz w:val="17"/>
          <w:szCs w:val="17"/>
          <w:color w:val="000000"/>
        </w:rPr>
        <w:t>The liabilities stated for unpaid claims and for expenses of investigation and adjustment</w:t>
      </w:r>
      <w:r>
        <w:rPr>
          <w:rFonts w:ascii="Arial" w:cs="Arial" w:eastAsia="Arial" w:hAnsi="Arial"/>
          <w:sz w:val="20"/>
          <w:szCs w:val="20"/>
          <w:b w:val="1"/>
          <w:bCs w:val="1"/>
          <w:color w:val="003366"/>
        </w:rPr>
        <w:t xml:space="preserve"> </w:t>
      </w:r>
      <w:r>
        <w:rPr>
          <w:rFonts w:ascii="Arial" w:cs="Arial" w:eastAsia="Arial" w:hAnsi="Arial"/>
          <w:sz w:val="17"/>
          <w:szCs w:val="17"/>
          <w:color w:val="000000"/>
        </w:rPr>
        <w:t>of unpaid claims represent management’s best estimate and are based upon (i) the accumulation of case estimates for losses reported prior to the close of the accounting period on direct business written; (ii) estimates received from ceding reinsurers and insurance pools and associations;</w:t>
      </w:r>
    </w:p>
    <w:p>
      <w:pPr>
        <w:spacing w:after="0" w:line="2" w:lineRule="exact"/>
        <w:rPr>
          <w:sz w:val="20"/>
          <w:szCs w:val="20"/>
          <w:color w:val="auto"/>
        </w:rPr>
      </w:pPr>
    </w:p>
    <w:p>
      <w:pPr>
        <w:ind w:firstLine="8"/>
        <w:spacing w:after="0" w:line="252" w:lineRule="auto"/>
        <w:tabs>
          <w:tab w:leader="none" w:pos="275" w:val="left"/>
        </w:tabs>
        <w:numPr>
          <w:ilvl w:val="0"/>
          <w:numId w:val="5"/>
        </w:numPr>
        <w:rPr>
          <w:rFonts w:ascii="Arial" w:cs="Arial" w:eastAsia="Arial" w:hAnsi="Arial"/>
          <w:sz w:val="17"/>
          <w:szCs w:val="17"/>
          <w:color w:val="auto"/>
        </w:rPr>
      </w:pPr>
      <w:r>
        <w:rPr>
          <w:rFonts w:ascii="Arial" w:cs="Arial" w:eastAsia="Arial" w:hAnsi="Arial"/>
          <w:sz w:val="17"/>
          <w:szCs w:val="17"/>
          <w:color w:val="auto"/>
        </w:rPr>
        <w:t>estimates of unreported losses (including possible development on known claims) based on past experience; (iv) estimates based on experience of expenses for investigating and adjusting claims; and (v) the current state of the law and coverage litigation. Establishing reserves for asbestos, environmental and other mass tort claims involves considerably more judgment than other types of claims due to, among other things, inconsistent court decisions, an increase in bankruptcy filings as a result of asbestos-related liabilities, novel theories of coverage, and judicial interpretations that often expand theories of recovery and broaden the scope of coverage.</w:t>
      </w:r>
    </w:p>
    <w:p>
      <w:pPr>
        <w:spacing w:after="0" w:line="227" w:lineRule="exact"/>
        <w:rPr>
          <w:sz w:val="20"/>
          <w:szCs w:val="20"/>
          <w:color w:val="auto"/>
        </w:rPr>
      </w:pPr>
    </w:p>
    <w:p>
      <w:pPr>
        <w:jc w:val="both"/>
        <w:ind w:right="40"/>
        <w:spacing w:after="0" w:line="266" w:lineRule="auto"/>
        <w:rPr>
          <w:sz w:val="20"/>
          <w:szCs w:val="20"/>
          <w:color w:val="auto"/>
        </w:rPr>
      </w:pPr>
      <w:r>
        <w:rPr>
          <w:rFonts w:ascii="Arial" w:cs="Arial" w:eastAsia="Arial" w:hAnsi="Arial"/>
          <w:sz w:val="17"/>
          <w:szCs w:val="17"/>
          <w:color w:val="auto"/>
        </w:rPr>
        <w:t>Loss reserve liabilities are subject to the impact of changes in claim amounts and frequency and other factors. Changes in estimates of the liabilities for losses and loss adjustment expenses are reflected in the statement of earnings in the period in which determined. Despite the variability inherent in such estimates, management believes that the liabilities for unpaid losses and loss adjustment expenses are adequate and reasonable.</w:t>
      </w:r>
    </w:p>
    <w:p>
      <w:pPr>
        <w:spacing w:after="0" w:line="199" w:lineRule="exact"/>
        <w:rPr>
          <w:sz w:val="20"/>
          <w:szCs w:val="20"/>
          <w:color w:val="auto"/>
        </w:rPr>
      </w:pPr>
    </w:p>
    <w:p>
      <w:pPr>
        <w:jc w:val="both"/>
        <w:ind w:right="300"/>
        <w:spacing w:after="0" w:line="249" w:lineRule="auto"/>
        <w:rPr>
          <w:sz w:val="20"/>
          <w:szCs w:val="20"/>
          <w:color w:val="auto"/>
        </w:rPr>
      </w:pPr>
      <w:r>
        <w:rPr>
          <w:rFonts w:ascii="Arial" w:cs="Arial" w:eastAsia="Arial" w:hAnsi="Arial"/>
          <w:sz w:val="20"/>
          <w:szCs w:val="20"/>
          <w:b w:val="1"/>
          <w:bCs w:val="1"/>
          <w:color w:val="003366"/>
        </w:rPr>
        <w:t xml:space="preserve">Debt Issuance Costs </w:t>
      </w:r>
      <w:r>
        <w:rPr>
          <w:rFonts w:ascii="Arial" w:cs="Arial" w:eastAsia="Arial" w:hAnsi="Arial"/>
          <w:sz w:val="17"/>
          <w:szCs w:val="17"/>
          <w:color w:val="000000"/>
        </w:rPr>
        <w:t>Debt issuance costs related to AFG’s outstanding debt are presented in its Balance Sheet as a direct reduction in the</w:t>
      </w:r>
      <w:r>
        <w:rPr>
          <w:rFonts w:ascii="Arial" w:cs="Arial" w:eastAsia="Arial" w:hAnsi="Arial"/>
          <w:sz w:val="20"/>
          <w:szCs w:val="20"/>
          <w:b w:val="1"/>
          <w:bCs w:val="1"/>
          <w:color w:val="003366"/>
        </w:rPr>
        <w:t xml:space="preserve"> </w:t>
      </w:r>
      <w:r>
        <w:rPr>
          <w:rFonts w:ascii="Arial" w:cs="Arial" w:eastAsia="Arial" w:hAnsi="Arial"/>
          <w:sz w:val="17"/>
          <w:szCs w:val="17"/>
          <w:color w:val="000000"/>
        </w:rPr>
        <w:t>carrying value of long-term debt and are amortized over the life of the related debt using the effective interest method as a component of interest expense. Debt issuance costs related to AFG’s revolving credit facility are included in other assets in AFG’s Balance Sheet.</w:t>
      </w:r>
    </w:p>
    <w:p>
      <w:pPr>
        <w:spacing w:after="0" w:line="211" w:lineRule="exact"/>
        <w:rPr>
          <w:sz w:val="20"/>
          <w:szCs w:val="20"/>
          <w:color w:val="auto"/>
        </w:rPr>
      </w:pPr>
    </w:p>
    <w:p>
      <w:pPr>
        <w:ind w:right="60"/>
        <w:spacing w:after="0" w:line="249" w:lineRule="auto"/>
        <w:rPr>
          <w:sz w:val="20"/>
          <w:szCs w:val="20"/>
          <w:color w:val="auto"/>
        </w:rPr>
      </w:pPr>
      <w:r>
        <w:rPr>
          <w:rFonts w:ascii="Arial" w:cs="Arial" w:eastAsia="Arial" w:hAnsi="Arial"/>
          <w:sz w:val="20"/>
          <w:szCs w:val="20"/>
          <w:b w:val="1"/>
          <w:bCs w:val="1"/>
          <w:color w:val="003366"/>
        </w:rPr>
        <w:t xml:space="preserve">Leases </w:t>
      </w:r>
      <w:r>
        <w:rPr>
          <w:rFonts w:ascii="Arial" w:cs="Arial" w:eastAsia="Arial" w:hAnsi="Arial"/>
          <w:sz w:val="17"/>
          <w:szCs w:val="17"/>
          <w:color w:val="000000"/>
        </w:rPr>
        <w:t>Leases for terms of longer than one year are recognized as assets and liabilities for the rights and obligations created by those leases on</w:t>
      </w:r>
      <w:r>
        <w:rPr>
          <w:rFonts w:ascii="Arial" w:cs="Arial" w:eastAsia="Arial" w:hAnsi="Arial"/>
          <w:sz w:val="20"/>
          <w:szCs w:val="20"/>
          <w:b w:val="1"/>
          <w:bCs w:val="1"/>
          <w:color w:val="003366"/>
        </w:rPr>
        <w:t xml:space="preserve"> </w:t>
      </w:r>
      <w:r>
        <w:rPr>
          <w:rFonts w:ascii="Arial" w:cs="Arial" w:eastAsia="Arial" w:hAnsi="Arial"/>
          <w:sz w:val="17"/>
          <w:szCs w:val="17"/>
          <w:color w:val="000000"/>
        </w:rPr>
        <w:t>the balance sheet based on the present value of contractual cash flows.</w:t>
      </w:r>
    </w:p>
    <w:p>
      <w:pPr>
        <w:spacing w:after="0" w:line="213" w:lineRule="exact"/>
        <w:rPr>
          <w:sz w:val="20"/>
          <w:szCs w:val="20"/>
          <w:color w:val="auto"/>
        </w:rPr>
      </w:pPr>
    </w:p>
    <w:p>
      <w:pPr>
        <w:ind w:right="180"/>
        <w:spacing w:after="0" w:line="284" w:lineRule="auto"/>
        <w:rPr>
          <w:sz w:val="20"/>
          <w:szCs w:val="20"/>
          <w:color w:val="auto"/>
        </w:rPr>
      </w:pPr>
      <w:r>
        <w:rPr>
          <w:rFonts w:ascii="Arial" w:cs="Arial" w:eastAsia="Arial" w:hAnsi="Arial"/>
          <w:sz w:val="17"/>
          <w:szCs w:val="17"/>
          <w:color w:val="auto"/>
        </w:rPr>
        <w:t>At March 31, 2026, AFG has a $213 million lease liability included in other liabilities and a lease right-of-use asset of $193 million included in other assets compared to $216 million and $198 million, respectively, at December 31, 2025.</w:t>
      </w:r>
    </w:p>
    <w:p>
      <w:pPr>
        <w:spacing w:after="0" w:line="200" w:lineRule="exact"/>
        <w:rPr>
          <w:sz w:val="20"/>
          <w:szCs w:val="20"/>
          <w:color w:val="auto"/>
        </w:rPr>
      </w:pPr>
    </w:p>
    <w:p>
      <w:pPr>
        <w:spacing w:after="0" w:line="35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10" w:name="page11"/>
    <w:bookmarkEnd w:id="10"/>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80"/>
        <w:spacing w:after="0" w:line="248" w:lineRule="auto"/>
        <w:rPr>
          <w:sz w:val="20"/>
          <w:szCs w:val="20"/>
          <w:color w:val="auto"/>
        </w:rPr>
      </w:pPr>
      <w:r>
        <w:rPr>
          <w:rFonts w:ascii="Arial" w:cs="Arial" w:eastAsia="Arial" w:hAnsi="Arial"/>
          <w:sz w:val="20"/>
          <w:szCs w:val="20"/>
          <w:b w:val="1"/>
          <w:bCs w:val="1"/>
          <w:color w:val="003366"/>
        </w:rPr>
        <w:t xml:space="preserve">Premium Recognition </w:t>
      </w:r>
      <w:r>
        <w:rPr>
          <w:rFonts w:ascii="Arial" w:cs="Arial" w:eastAsia="Arial" w:hAnsi="Arial"/>
          <w:sz w:val="17"/>
          <w:szCs w:val="17"/>
          <w:color w:val="000000"/>
        </w:rPr>
        <w:t>Property and casualty premiums are earned generally over the terms of the policies on a pro rata basis. Unearned</w:t>
      </w:r>
      <w:r>
        <w:rPr>
          <w:rFonts w:ascii="Arial" w:cs="Arial" w:eastAsia="Arial" w:hAnsi="Arial"/>
          <w:sz w:val="20"/>
          <w:szCs w:val="20"/>
          <w:b w:val="1"/>
          <w:bCs w:val="1"/>
          <w:color w:val="003366"/>
        </w:rPr>
        <w:t xml:space="preserve"> </w:t>
      </w:r>
      <w:r>
        <w:rPr>
          <w:rFonts w:ascii="Arial" w:cs="Arial" w:eastAsia="Arial" w:hAnsi="Arial"/>
          <w:sz w:val="17"/>
          <w:szCs w:val="17"/>
          <w:color w:val="000000"/>
        </w:rPr>
        <w:t>premiums represent that portion of premiums written, which is applicable to the unexpired terms of policies in force. On reinsurance assumed from other insurance companies or written through various underwriting organizations, unearned premiums are based on information received from such companies and organizations.</w:t>
      </w:r>
    </w:p>
    <w:p>
      <w:pPr>
        <w:spacing w:after="0" w:line="214" w:lineRule="exact"/>
        <w:rPr>
          <w:sz w:val="20"/>
          <w:szCs w:val="20"/>
          <w:color w:val="auto"/>
        </w:rPr>
      </w:pPr>
    </w:p>
    <w:p>
      <w:pPr>
        <w:ind w:right="20"/>
        <w:spacing w:after="0" w:line="248" w:lineRule="auto"/>
        <w:rPr>
          <w:sz w:val="20"/>
          <w:szCs w:val="20"/>
          <w:color w:val="auto"/>
        </w:rPr>
      </w:pPr>
      <w:r>
        <w:rPr>
          <w:rFonts w:ascii="Arial" w:cs="Arial" w:eastAsia="Arial" w:hAnsi="Arial"/>
          <w:sz w:val="20"/>
          <w:szCs w:val="20"/>
          <w:b w:val="1"/>
          <w:bCs w:val="1"/>
          <w:color w:val="003366"/>
        </w:rPr>
        <w:t xml:space="preserve">Income Taxes </w:t>
      </w:r>
      <w:r>
        <w:rPr>
          <w:rFonts w:ascii="Arial" w:cs="Arial" w:eastAsia="Arial" w:hAnsi="Arial"/>
          <w:sz w:val="17"/>
          <w:szCs w:val="17"/>
          <w:color w:val="000000"/>
        </w:rPr>
        <w:t>Deferred income taxes are calculated using the liability method. Under this method, deferred income tax assets and liabilities are</w:t>
      </w:r>
      <w:r>
        <w:rPr>
          <w:rFonts w:ascii="Arial" w:cs="Arial" w:eastAsia="Arial" w:hAnsi="Arial"/>
          <w:sz w:val="20"/>
          <w:szCs w:val="20"/>
          <w:b w:val="1"/>
          <w:bCs w:val="1"/>
          <w:color w:val="003366"/>
        </w:rPr>
        <w:t xml:space="preserve"> </w:t>
      </w:r>
      <w:r>
        <w:rPr>
          <w:rFonts w:ascii="Arial" w:cs="Arial" w:eastAsia="Arial" w:hAnsi="Arial"/>
          <w:sz w:val="17"/>
          <w:szCs w:val="17"/>
          <w:color w:val="000000"/>
        </w:rPr>
        <w:t>determined based on differences between financial reporting and tax bases and are measured using enacted tax rates. A valuation allowance is established to reduce total deferred tax assets to an amount that will more likely than not be realized. The effect of a change in tax rates on deferred tax assets and liabilities is recorded in net earnings in the period that includes the enactment date.</w:t>
      </w:r>
    </w:p>
    <w:p>
      <w:pPr>
        <w:spacing w:after="0" w:line="216" w:lineRule="exact"/>
        <w:rPr>
          <w:sz w:val="20"/>
          <w:szCs w:val="20"/>
          <w:color w:val="auto"/>
        </w:rPr>
      </w:pPr>
    </w:p>
    <w:p>
      <w:pPr>
        <w:ind w:right="220"/>
        <w:spacing w:after="0" w:line="301" w:lineRule="auto"/>
        <w:rPr>
          <w:sz w:val="20"/>
          <w:szCs w:val="20"/>
          <w:color w:val="auto"/>
        </w:rPr>
      </w:pPr>
      <w:r>
        <w:rPr>
          <w:rFonts w:ascii="Arial" w:cs="Arial" w:eastAsia="Arial" w:hAnsi="Arial"/>
          <w:sz w:val="17"/>
          <w:szCs w:val="17"/>
          <w:color w:val="auto"/>
        </w:rPr>
        <w:t>AFG recognizes the tax benefits of uncertain tax positions only when the position is more likely than not to be sustained under examination by the appropriate taxing authority. Interest and penalties on AFG’s reserve for uncertain tax positions are recognized as a component of tax expense.</w:t>
      </w:r>
    </w:p>
    <w:p>
      <w:pPr>
        <w:spacing w:after="0" w:line="170" w:lineRule="exact"/>
        <w:rPr>
          <w:sz w:val="20"/>
          <w:szCs w:val="20"/>
          <w:color w:val="auto"/>
        </w:rPr>
      </w:pPr>
    </w:p>
    <w:p>
      <w:pPr>
        <w:ind w:right="400"/>
        <w:spacing w:after="0" w:line="237" w:lineRule="auto"/>
        <w:rPr>
          <w:sz w:val="20"/>
          <w:szCs w:val="20"/>
          <w:color w:val="auto"/>
        </w:rPr>
      </w:pPr>
      <w:r>
        <w:rPr>
          <w:rFonts w:ascii="Arial" w:cs="Arial" w:eastAsia="Arial" w:hAnsi="Arial"/>
          <w:sz w:val="20"/>
          <w:szCs w:val="20"/>
          <w:b w:val="1"/>
          <w:bCs w:val="1"/>
          <w:color w:val="003366"/>
        </w:rPr>
        <w:t xml:space="preserve">Stock-Based Compensation </w:t>
      </w:r>
      <w:r>
        <w:rPr>
          <w:rFonts w:ascii="Arial" w:cs="Arial" w:eastAsia="Arial" w:hAnsi="Arial"/>
          <w:sz w:val="17"/>
          <w:szCs w:val="17"/>
          <w:color w:val="000000"/>
        </w:rPr>
        <w:t>All share-based grants are recognized as compensation expense on a straight-line basis over their vesting</w:t>
      </w:r>
      <w:r>
        <w:rPr>
          <w:rFonts w:ascii="Arial" w:cs="Arial" w:eastAsia="Arial" w:hAnsi="Arial"/>
          <w:sz w:val="20"/>
          <w:szCs w:val="20"/>
          <w:b w:val="1"/>
          <w:bCs w:val="1"/>
          <w:color w:val="003366"/>
        </w:rPr>
        <w:t xml:space="preserve"> </w:t>
      </w:r>
      <w:r>
        <w:rPr>
          <w:rFonts w:ascii="Arial" w:cs="Arial" w:eastAsia="Arial" w:hAnsi="Arial"/>
          <w:sz w:val="17"/>
          <w:szCs w:val="17"/>
          <w:color w:val="000000"/>
        </w:rPr>
        <w:t>periods based on their calculated fair value at the date of grant.</w:t>
      </w:r>
    </w:p>
    <w:p>
      <w:pPr>
        <w:spacing w:after="0" w:line="222" w:lineRule="exact"/>
        <w:rPr>
          <w:sz w:val="20"/>
          <w:szCs w:val="20"/>
          <w:color w:val="auto"/>
        </w:rPr>
      </w:pPr>
    </w:p>
    <w:p>
      <w:pPr>
        <w:ind w:right="20"/>
        <w:spacing w:after="0" w:line="301" w:lineRule="auto"/>
        <w:rPr>
          <w:sz w:val="20"/>
          <w:szCs w:val="20"/>
          <w:color w:val="auto"/>
        </w:rPr>
      </w:pPr>
      <w:r>
        <w:rPr>
          <w:rFonts w:ascii="Arial" w:cs="Arial" w:eastAsia="Arial" w:hAnsi="Arial"/>
          <w:sz w:val="17"/>
          <w:szCs w:val="17"/>
          <w:color w:val="auto"/>
        </w:rPr>
        <w:t>AFG records excess tax benefits or deficiencies for share-based payments through income tax expense in the statement of earnings. AFG accounts for forfeitures of awards when they occur.</w:t>
      </w:r>
    </w:p>
    <w:p>
      <w:pPr>
        <w:spacing w:after="0" w:line="170" w:lineRule="exact"/>
        <w:rPr>
          <w:sz w:val="20"/>
          <w:szCs w:val="20"/>
          <w:color w:val="auto"/>
        </w:rPr>
      </w:pPr>
    </w:p>
    <w:p>
      <w:pPr>
        <w:jc w:val="both"/>
        <w:ind w:right="360"/>
        <w:spacing w:after="0" w:line="248" w:lineRule="auto"/>
        <w:rPr>
          <w:sz w:val="20"/>
          <w:szCs w:val="20"/>
          <w:color w:val="auto"/>
        </w:rPr>
      </w:pPr>
      <w:r>
        <w:rPr>
          <w:rFonts w:ascii="Arial" w:cs="Arial" w:eastAsia="Arial" w:hAnsi="Arial"/>
          <w:sz w:val="20"/>
          <w:szCs w:val="20"/>
          <w:b w:val="1"/>
          <w:bCs w:val="1"/>
          <w:color w:val="003366"/>
        </w:rPr>
        <w:t xml:space="preserve">Benefit Plans </w:t>
      </w:r>
      <w:r>
        <w:rPr>
          <w:rFonts w:ascii="Arial" w:cs="Arial" w:eastAsia="Arial" w:hAnsi="Arial"/>
          <w:sz w:val="17"/>
          <w:szCs w:val="17"/>
          <w:color w:val="000000"/>
        </w:rPr>
        <w:t>AFG provides retirement benefits to qualified employees of participating companies through the AFG 401(k) Retirement and</w:t>
      </w:r>
      <w:r>
        <w:rPr>
          <w:rFonts w:ascii="Arial" w:cs="Arial" w:eastAsia="Arial" w:hAnsi="Arial"/>
          <w:sz w:val="20"/>
          <w:szCs w:val="20"/>
          <w:b w:val="1"/>
          <w:bCs w:val="1"/>
          <w:color w:val="003366"/>
        </w:rPr>
        <w:t xml:space="preserve"> </w:t>
      </w:r>
      <w:r>
        <w:rPr>
          <w:rFonts w:ascii="Arial" w:cs="Arial" w:eastAsia="Arial" w:hAnsi="Arial"/>
          <w:sz w:val="17"/>
          <w:szCs w:val="17"/>
          <w:color w:val="000000"/>
        </w:rPr>
        <w:t>Savings Plan, a defined contribution plan. AFG makes all contributions to the retirement fund portion of the plan and matches a percentage of employee contributions to the savings fund. Company contributions are expensed in the year for which they are declared. AFG and many of its subsidiaries provide health care and life insurance benefits to eligible retirees. AFG also provides postemployment benefits to former or inactive employees (primarily those on disability) who were not deemed retired under other company plans. The projected future cost of providing these benefits is expensed over the period employees earn such benefits.</w:t>
      </w:r>
    </w:p>
    <w:p>
      <w:pPr>
        <w:spacing w:after="0" w:line="215" w:lineRule="exact"/>
        <w:rPr>
          <w:sz w:val="20"/>
          <w:szCs w:val="20"/>
          <w:color w:val="auto"/>
        </w:rPr>
      </w:pPr>
    </w:p>
    <w:p>
      <w:pPr>
        <w:jc w:val="both"/>
        <w:ind w:right="80"/>
        <w:spacing w:after="0" w:line="249" w:lineRule="auto"/>
        <w:rPr>
          <w:sz w:val="20"/>
          <w:szCs w:val="20"/>
          <w:color w:val="auto"/>
        </w:rPr>
      </w:pPr>
      <w:r>
        <w:rPr>
          <w:rFonts w:ascii="Arial" w:cs="Arial" w:eastAsia="Arial" w:hAnsi="Arial"/>
          <w:sz w:val="20"/>
          <w:szCs w:val="20"/>
          <w:b w:val="1"/>
          <w:bCs w:val="1"/>
          <w:color w:val="003366"/>
        </w:rPr>
        <w:t xml:space="preserve">Earnings Per Share </w:t>
      </w:r>
      <w:r>
        <w:rPr>
          <w:rFonts w:ascii="Arial" w:cs="Arial" w:eastAsia="Arial" w:hAnsi="Arial"/>
          <w:sz w:val="17"/>
          <w:szCs w:val="17"/>
          <w:color w:val="000000"/>
        </w:rPr>
        <w:t>Although basic earnings per share only considers shares of Common Stock outstanding during the period, the calculation</w:t>
      </w:r>
      <w:r>
        <w:rPr>
          <w:rFonts w:ascii="Arial" w:cs="Arial" w:eastAsia="Arial" w:hAnsi="Arial"/>
          <w:sz w:val="20"/>
          <w:szCs w:val="20"/>
          <w:b w:val="1"/>
          <w:bCs w:val="1"/>
          <w:color w:val="003366"/>
        </w:rPr>
        <w:t xml:space="preserve"> </w:t>
      </w:r>
      <w:r>
        <w:rPr>
          <w:rFonts w:ascii="Arial" w:cs="Arial" w:eastAsia="Arial" w:hAnsi="Arial"/>
          <w:sz w:val="17"/>
          <w:szCs w:val="17"/>
          <w:color w:val="000000"/>
        </w:rPr>
        <w:t>of diluted earnings per share includes the following adjustments to weighted average common shares related to AFG’s stock-based compensation plan: first three months of 2026 — none and 2025 — less than 0.1 million.</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There were no anti-dilutive potential common shares for the first three months of 2026 or 2025.</w:t>
      </w:r>
    </w:p>
    <w:p>
      <w:pPr>
        <w:spacing w:after="0" w:line="262" w:lineRule="exact"/>
        <w:rPr>
          <w:sz w:val="20"/>
          <w:szCs w:val="20"/>
          <w:color w:val="auto"/>
        </w:rPr>
      </w:pPr>
    </w:p>
    <w:p>
      <w:pPr>
        <w:spacing w:after="0" w:line="248" w:lineRule="auto"/>
        <w:rPr>
          <w:sz w:val="20"/>
          <w:szCs w:val="20"/>
          <w:color w:val="auto"/>
        </w:rPr>
      </w:pPr>
      <w:r>
        <w:rPr>
          <w:rFonts w:ascii="Arial" w:cs="Arial" w:eastAsia="Arial" w:hAnsi="Arial"/>
          <w:sz w:val="20"/>
          <w:szCs w:val="20"/>
          <w:b w:val="1"/>
          <w:bCs w:val="1"/>
          <w:color w:val="003366"/>
        </w:rPr>
        <w:t xml:space="preserve">Statement of Cash Flows </w:t>
      </w:r>
      <w:r>
        <w:rPr>
          <w:rFonts w:ascii="Arial" w:cs="Arial" w:eastAsia="Arial" w:hAnsi="Arial"/>
          <w:sz w:val="17"/>
          <w:szCs w:val="17"/>
          <w:color w:val="000000"/>
        </w:rPr>
        <w:t>For cash flow purposes, “investing activities” are defined as making and collecting loans and acquiring and</w:t>
      </w:r>
      <w:r>
        <w:rPr>
          <w:rFonts w:ascii="Arial" w:cs="Arial" w:eastAsia="Arial" w:hAnsi="Arial"/>
          <w:sz w:val="20"/>
          <w:szCs w:val="20"/>
          <w:b w:val="1"/>
          <w:bCs w:val="1"/>
          <w:color w:val="003366"/>
        </w:rPr>
        <w:t xml:space="preserve"> </w:t>
      </w:r>
      <w:r>
        <w:rPr>
          <w:rFonts w:ascii="Arial" w:cs="Arial" w:eastAsia="Arial" w:hAnsi="Arial"/>
          <w:sz w:val="17"/>
          <w:szCs w:val="17"/>
          <w:color w:val="000000"/>
        </w:rPr>
        <w:t>disposing of debt or equity instruments, property and equipment and businesses. “Financing activities” include obtaining resources from owners and providing them with a return on their investments, borrowing money and repaying amounts borrowed. All other activities are considered “operating.” Short-term investments having original maturities of three months or less when purchased are considered to be cash equivalents for purposes of the financial statements.</w:t>
      </w:r>
    </w:p>
    <w:p>
      <w:pPr>
        <w:spacing w:after="0" w:line="204" w:lineRule="exact"/>
        <w:rPr>
          <w:sz w:val="20"/>
          <w:szCs w:val="20"/>
          <w:color w:val="auto"/>
        </w:rPr>
      </w:pPr>
    </w:p>
    <w:p>
      <w:pPr>
        <w:ind w:left="620" w:hanging="612"/>
        <w:spacing w:after="0"/>
        <w:tabs>
          <w:tab w:leader="none" w:pos="620" w:val="left"/>
        </w:tabs>
        <w:numPr>
          <w:ilvl w:val="0"/>
          <w:numId w:val="6"/>
        </w:numPr>
        <w:rPr>
          <w:rFonts w:ascii="Arial" w:cs="Arial" w:eastAsia="Arial" w:hAnsi="Arial"/>
          <w:sz w:val="29"/>
          <w:szCs w:val="29"/>
          <w:b w:val="1"/>
          <w:bCs w:val="1"/>
          <w:color w:val="003366"/>
        </w:rPr>
      </w:pPr>
      <w:r>
        <w:rPr>
          <w:rFonts w:ascii="Arial" w:cs="Arial" w:eastAsia="Arial" w:hAnsi="Arial"/>
          <w:sz w:val="29"/>
          <w:szCs w:val="29"/>
          <w:b w:val="1"/>
          <w:bCs w:val="1"/>
          <w:color w:val="003366"/>
        </w:rPr>
        <w:t>Segments of Operations</w:t>
      </w: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color w:val="auto"/>
        </w:rPr>
        <w:t>AFG manages its business as two segments: Property and casualty insurance and Other, which includes holding company assets and costs.</w:t>
      </w:r>
    </w:p>
    <w:p>
      <w:pPr>
        <w:spacing w:after="0" w:line="264"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AFG reports its property and casualty insurance business in the following Specialty sub-segments: (i) Property and transportation, which includes physical damage and liability coverage for buses and trucks and other specialty transportation niches, inland and ocean marine, agricultural-related products and other commercial property coverages, (ii) Specialty casualty, which includes primarily excess and surplus, executive and professional liability, general liability, umbrella and excess liability, specialty coverages in targeted markets, customized programs for small to mid-sized businesses and workers’ compensation insurance, and (iii) Specialty financial, which includes risk management insurance programs for lending and leasing institutions (including equipment leasing and collateral and lender-placed mortgage property insurance), fidelity and surety products and trade credit insurance. AFG’s reportable segments and their</w:t>
      </w:r>
    </w:p>
    <w:p>
      <w:pPr>
        <w:spacing w:after="0" w:line="200" w:lineRule="exact"/>
        <w:rPr>
          <w:sz w:val="20"/>
          <w:szCs w:val="20"/>
          <w:color w:val="auto"/>
        </w:rPr>
      </w:pPr>
    </w:p>
    <w:p>
      <w:pPr>
        <w:spacing w:after="0" w:line="37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6" w:right="379" w:bottom="1440" w:gutter="0" w:footer="0" w:header="0"/>
        </w:sectPr>
      </w:pPr>
    </w:p>
    <w:bookmarkStart w:id="11" w:name="page12"/>
    <w:bookmarkEnd w:id="11"/>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278" w:lineRule="exact"/>
        <w:rPr>
          <w:sz w:val="20"/>
          <w:szCs w:val="20"/>
          <w:color w:val="auto"/>
        </w:rPr>
      </w:pPr>
    </w:p>
    <w:p>
      <w:pPr>
        <w:ind w:right="620"/>
        <w:spacing w:after="0" w:line="284" w:lineRule="auto"/>
        <w:rPr>
          <w:sz w:val="20"/>
          <w:szCs w:val="20"/>
          <w:color w:val="auto"/>
        </w:rPr>
      </w:pPr>
      <w:r>
        <w:rPr>
          <w:rFonts w:ascii="Arial" w:cs="Arial" w:eastAsia="Arial" w:hAnsi="Arial"/>
          <w:sz w:val="17"/>
          <w:szCs w:val="17"/>
          <w:color w:val="auto"/>
        </w:rPr>
        <w:t>components were determined based primarily upon similar economic characteristics, products and services. The impacts of all intercompany transactions between segments have been eliminated.</w:t>
      </w:r>
    </w:p>
    <w:p>
      <w:pPr>
        <w:spacing w:after="0" w:line="185" w:lineRule="exact"/>
        <w:rPr>
          <w:sz w:val="20"/>
          <w:szCs w:val="20"/>
          <w:color w:val="auto"/>
        </w:rPr>
      </w:pPr>
    </w:p>
    <w:p>
      <w:pPr>
        <w:ind w:right="40"/>
        <w:spacing w:after="0" w:line="301" w:lineRule="auto"/>
        <w:rPr>
          <w:sz w:val="20"/>
          <w:szCs w:val="20"/>
          <w:color w:val="auto"/>
        </w:rPr>
      </w:pPr>
      <w:r>
        <w:rPr>
          <w:rFonts w:ascii="Arial" w:cs="Arial" w:eastAsia="Arial" w:hAnsi="Arial"/>
          <w:sz w:val="17"/>
          <w:szCs w:val="17"/>
          <w:color w:val="auto"/>
        </w:rPr>
        <w:t>AFG’s Chief Operating Decision Makers (“CODMs”) are its Co-CEOs. The CODMs evaluate the performance of the Property and casualty insurance segment based on return on equity and underwriting profit. The CODMs use this measure to allocate resources and make capital decisions.</w:t>
      </w:r>
    </w:p>
    <w:p>
      <w:pPr>
        <w:spacing w:after="0" w:line="171" w:lineRule="exact"/>
        <w:rPr>
          <w:sz w:val="20"/>
          <w:szCs w:val="20"/>
          <w:color w:val="auto"/>
        </w:rPr>
      </w:pPr>
    </w:p>
    <w:p>
      <w:pPr>
        <w:ind w:right="200"/>
        <w:spacing w:after="0" w:line="284" w:lineRule="auto"/>
        <w:rPr>
          <w:sz w:val="20"/>
          <w:szCs w:val="20"/>
          <w:color w:val="auto"/>
        </w:rPr>
      </w:pPr>
      <w:r>
        <w:rPr>
          <w:rFonts w:ascii="Arial" w:cs="Arial" w:eastAsia="Arial" w:hAnsi="Arial"/>
          <w:sz w:val="17"/>
          <w:szCs w:val="17"/>
          <w:color w:val="auto"/>
        </w:rPr>
        <w:t>Sales of property and casualty insurance outside of the United States represented 5% and 4% of AFG’s revenues in the first three months of 2026 and 2025, respectively.</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(in millions) show AFG’s assets, revenues and earnings before income taxes by segment and sub-segment.</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gridSpan w:val="2"/>
          </w:tcPr>
          <w:p>
            <w:pPr>
              <w:ind w:left="160"/>
              <w:spacing w:after="0"/>
              <w:rPr>
                <w:sz w:val="20"/>
                <w:szCs w:val="20"/>
                <w:color w:val="auto"/>
              </w:rPr>
            </w:pPr>
            <w:r>
              <w:rPr>
                <w:rFonts w:ascii="Arial" w:cs="Arial" w:eastAsia="Arial" w:hAnsi="Arial"/>
                <w:sz w:val="15"/>
                <w:szCs w:val="15"/>
                <w:color w:val="auto"/>
              </w:rPr>
              <w:t>March 31,</w:t>
            </w:r>
          </w:p>
        </w:tc>
        <w:tc>
          <w:tcPr>
            <w:tcW w:w="200" w:type="dxa"/>
            <w:vAlign w:val="bottom"/>
          </w:tcPr>
          <w:p>
            <w:pPr>
              <w:spacing w:after="0"/>
              <w:rPr>
                <w:sz w:val="14"/>
                <w:szCs w:val="14"/>
                <w:color w:val="auto"/>
              </w:rPr>
            </w:pPr>
          </w:p>
        </w:tc>
        <w:tc>
          <w:tcPr>
            <w:tcW w:w="1340" w:type="dxa"/>
            <w:vAlign w:val="bottom"/>
          </w:tcPr>
          <w:p>
            <w:pPr>
              <w:jc w:val="right"/>
              <w:ind w:right="201"/>
              <w:spacing w:after="0"/>
              <w:rPr>
                <w:sz w:val="20"/>
                <w:szCs w:val="20"/>
                <w:color w:val="auto"/>
              </w:rPr>
            </w:pPr>
            <w:r>
              <w:rPr>
                <w:rFonts w:ascii="Arial" w:cs="Arial" w:eastAsia="Arial" w:hAnsi="Arial"/>
                <w:sz w:val="15"/>
                <w:szCs w:val="15"/>
                <w:color w:val="auto"/>
              </w:rPr>
              <w:t>December 31,</w:t>
            </w:r>
          </w:p>
        </w:tc>
      </w:tr>
      <w:tr>
        <w:trPr>
          <w:trHeight w:val="209"/>
        </w:trPr>
        <w:tc>
          <w:tcPr>
            <w:tcW w:w="80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21"/>
              <w:spacing w:after="0"/>
              <w:rPr>
                <w:sz w:val="20"/>
                <w:szCs w:val="20"/>
                <w:color w:val="auto"/>
              </w:rPr>
            </w:pPr>
            <w:r>
              <w:rPr>
                <w:rFonts w:ascii="Arial" w:cs="Arial" w:eastAsia="Arial" w:hAnsi="Arial"/>
                <w:sz w:val="15"/>
                <w:szCs w:val="15"/>
                <w:color w:val="auto"/>
              </w:rPr>
              <w:t>2026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21"/>
              <w:spacing w:after="0"/>
              <w:rPr>
                <w:sz w:val="20"/>
                <w:szCs w:val="20"/>
                <w:color w:val="auto"/>
              </w:rPr>
            </w:pPr>
            <w:r>
              <w:rPr>
                <w:rFonts w:ascii="Arial" w:cs="Arial" w:eastAsia="Arial" w:hAnsi="Arial"/>
                <w:sz w:val="15"/>
                <w:szCs w:val="15"/>
                <w:color w:val="auto"/>
              </w:rPr>
              <w:t>2025</w:t>
            </w:r>
          </w:p>
        </w:tc>
      </w:tr>
      <w:tr>
        <w:trPr>
          <w:trHeight w:val="203"/>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15"/>
        </w:trPr>
        <w:tc>
          <w:tcPr>
            <w:tcW w:w="8060" w:type="dxa"/>
            <w:vAlign w:val="bottom"/>
          </w:tcPr>
          <w:p>
            <w:pPr>
              <w:ind w:left="20"/>
              <w:spacing w:after="0"/>
              <w:rPr>
                <w:sz w:val="20"/>
                <w:szCs w:val="20"/>
                <w:color w:val="auto"/>
              </w:rPr>
            </w:pPr>
            <w:r>
              <w:rPr>
                <w:rFonts w:ascii="Arial" w:cs="Arial" w:eastAsia="Arial" w:hAnsi="Arial"/>
                <w:sz w:val="16"/>
                <w:szCs w:val="16"/>
                <w:color w:val="auto"/>
              </w:rPr>
              <w:t>Property and casualty insurance (*)</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27,527</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27,654</w:t>
            </w:r>
          </w:p>
        </w:tc>
      </w:tr>
      <w:tr>
        <w:trPr>
          <w:trHeight w:val="216"/>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4,826</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4,988</w:t>
            </w:r>
          </w:p>
        </w:tc>
      </w:tr>
      <w:tr>
        <w:trPr>
          <w:trHeight w:val="210"/>
        </w:trPr>
        <w:tc>
          <w:tcPr>
            <w:tcW w:w="8060" w:type="dxa"/>
            <w:vAlign w:val="bottom"/>
          </w:tcPr>
          <w:p>
            <w:pPr>
              <w:ind w:left="240"/>
              <w:spacing w:after="0"/>
              <w:rPr>
                <w:sz w:val="20"/>
                <w:szCs w:val="20"/>
                <w:color w:val="auto"/>
              </w:rPr>
            </w:pPr>
            <w:r>
              <w:rPr>
                <w:rFonts w:ascii="Arial" w:cs="Arial" w:eastAsia="Arial" w:hAnsi="Arial"/>
                <w:sz w:val="16"/>
                <w:szCs w:val="16"/>
                <w:color w:val="auto"/>
              </w:rPr>
              <w:t>Total assets</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32,353</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32,642</w:t>
            </w:r>
          </w:p>
        </w:tc>
      </w:tr>
      <w:tr>
        <w:trPr>
          <w:trHeight w:val="20"/>
        </w:trPr>
        <w:tc>
          <w:tcPr>
            <w:tcW w:w="8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ind w:left="400" w:hanging="392"/>
        <w:spacing w:after="0"/>
        <w:tabs>
          <w:tab w:leader="none" w:pos="400" w:val="left"/>
        </w:tabs>
        <w:numPr>
          <w:ilvl w:val="0"/>
          <w:numId w:val="7"/>
        </w:numPr>
        <w:rPr>
          <w:rFonts w:ascii="Arial" w:cs="Arial" w:eastAsia="Arial" w:hAnsi="Arial"/>
          <w:sz w:val="17"/>
          <w:szCs w:val="17"/>
          <w:color w:val="auto"/>
        </w:rPr>
      </w:pPr>
      <w:r>
        <w:rPr>
          <w:rFonts w:ascii="Arial" w:cs="Arial" w:eastAsia="Arial" w:hAnsi="Arial"/>
          <w:sz w:val="17"/>
          <w:szCs w:val="17"/>
          <w:color w:val="auto"/>
        </w:rPr>
        <w:t>Not allocable to sub-segments.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2" w:name="page13"/>
    <w:bookmarkEnd w:id="12"/>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060" w:type="dxa"/>
            <w:vAlign w:val="bottom"/>
          </w:tcPr>
          <w:p>
            <w:pPr>
              <w:spacing w:after="0"/>
              <w:rPr>
                <w:sz w:val="17"/>
                <w:szCs w:val="17"/>
                <w:color w:val="auto"/>
              </w:rPr>
            </w:pPr>
          </w:p>
        </w:tc>
        <w:tc>
          <w:tcPr>
            <w:tcW w:w="2680" w:type="dxa"/>
            <w:vAlign w:val="bottom"/>
            <w:tcBorders>
              <w:bottom w:val="single" w:sz="8" w:color="auto"/>
            </w:tcBorders>
            <w:gridSpan w:val="4"/>
          </w:tcPr>
          <w:p>
            <w:pPr>
              <w:jc w:val="right"/>
              <w:spacing w:after="0"/>
              <w:rPr>
                <w:sz w:val="20"/>
                <w:szCs w:val="20"/>
                <w:color w:val="auto"/>
              </w:rPr>
            </w:pPr>
            <w:r>
              <w:rPr>
                <w:rFonts w:ascii="Arial" w:cs="Arial" w:eastAsia="Arial" w:hAnsi="Arial"/>
                <w:sz w:val="15"/>
                <w:szCs w:val="15"/>
                <w:color w:val="auto"/>
              </w:rPr>
              <w:t>Three months ended March 31,</w:t>
            </w:r>
          </w:p>
        </w:tc>
        <w:tc>
          <w:tcPr>
            <w:tcW w:w="500" w:type="dxa"/>
            <w:vAlign w:val="bottom"/>
            <w:tcBorders>
              <w:bottom w:val="single" w:sz="8" w:color="auto"/>
            </w:tcBorders>
          </w:tcPr>
          <w:p>
            <w:pPr>
              <w:spacing w:after="0"/>
              <w:rPr>
                <w:sz w:val="17"/>
                <w:szCs w:val="17"/>
                <w:color w:val="auto"/>
              </w:rPr>
            </w:pPr>
          </w:p>
        </w:tc>
      </w:tr>
      <w:tr>
        <w:trPr>
          <w:trHeight w:val="198"/>
        </w:trPr>
        <w:tc>
          <w:tcPr>
            <w:tcW w:w="806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2026</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5"/>
                <w:szCs w:val="15"/>
                <w:color w:val="auto"/>
              </w:rPr>
              <w:t>2025</w:t>
            </w:r>
          </w:p>
        </w:tc>
        <w:tc>
          <w:tcPr>
            <w:tcW w:w="500" w:type="dxa"/>
            <w:vAlign w:val="bottom"/>
            <w:tcBorders>
              <w:bottom w:val="single" w:sz="8" w:color="auto"/>
            </w:tcBorders>
          </w:tcPr>
          <w:p>
            <w:pPr>
              <w:spacing w:after="0"/>
              <w:rPr>
                <w:sz w:val="17"/>
                <w:szCs w:val="17"/>
                <w:color w:val="auto"/>
              </w:rPr>
            </w:pPr>
          </w:p>
        </w:tc>
      </w:tr>
      <w:tr>
        <w:trPr>
          <w:trHeight w:val="197"/>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Revenues</w:t>
            </w:r>
          </w:p>
        </w:tc>
        <w:tc>
          <w:tcPr>
            <w:tcW w:w="10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r>
      <w:tr>
        <w:trPr>
          <w:trHeight w:val="215"/>
        </w:trPr>
        <w:tc>
          <w:tcPr>
            <w:tcW w:w="8060" w:type="dxa"/>
            <w:vAlign w:val="bottom"/>
          </w:tcPr>
          <w:p>
            <w:pPr>
              <w:ind w:left="20"/>
              <w:spacing w:after="0"/>
              <w:rPr>
                <w:sz w:val="20"/>
                <w:szCs w:val="20"/>
                <w:color w:val="auto"/>
              </w:rPr>
            </w:pPr>
            <w:r>
              <w:rPr>
                <w:rFonts w:ascii="Arial" w:cs="Arial" w:eastAsia="Arial" w:hAnsi="Arial"/>
                <w:sz w:val="16"/>
                <w:szCs w:val="16"/>
                <w:color w:val="auto"/>
              </w:rPr>
              <w:t>Property and casualty insurance:</w:t>
            </w: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17"/>
        </w:trPr>
        <w:tc>
          <w:tcPr>
            <w:tcW w:w="8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Net earned premiums:</w:t>
            </w: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r>
      <w:tr>
        <w:trPr>
          <w:trHeight w:val="215"/>
        </w:trPr>
        <w:tc>
          <w:tcPr>
            <w:tcW w:w="8060" w:type="dxa"/>
            <w:vAlign w:val="bottom"/>
          </w:tcPr>
          <w:p>
            <w:pPr>
              <w:ind w:left="320"/>
              <w:spacing w:after="0"/>
              <w:rPr>
                <w:sz w:val="20"/>
                <w:szCs w:val="20"/>
                <w:color w:val="auto"/>
              </w:rPr>
            </w:pPr>
            <w:r>
              <w:rPr>
                <w:rFonts w:ascii="Arial" w:cs="Arial" w:eastAsia="Arial" w:hAnsi="Arial"/>
                <w:sz w:val="16"/>
                <w:szCs w:val="16"/>
                <w:color w:val="auto"/>
              </w:rPr>
              <w:t>Specialty</w:t>
            </w: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17"/>
        </w:trPr>
        <w:tc>
          <w:tcPr>
            <w:tcW w:w="80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Property and transportation</w:t>
            </w:r>
          </w:p>
        </w:tc>
        <w:tc>
          <w:tcPr>
            <w:tcW w:w="1000" w:type="dxa"/>
            <w:vAlign w:val="bottom"/>
            <w:shd w:val="clear" w:color="auto" w:fill="CCEEFF"/>
          </w:tcPr>
          <w:p>
            <w:pPr>
              <w:jc w:val="right"/>
              <w:ind w:right="801"/>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526</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60"/>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w:t>
            </w:r>
          </w:p>
        </w:tc>
      </w:tr>
      <w:tr>
        <w:trPr>
          <w:trHeight w:val="215"/>
        </w:trPr>
        <w:tc>
          <w:tcPr>
            <w:tcW w:w="8060" w:type="dxa"/>
            <w:vAlign w:val="bottom"/>
          </w:tcPr>
          <w:p>
            <w:pPr>
              <w:ind w:left="540"/>
              <w:spacing w:after="0"/>
              <w:rPr>
                <w:sz w:val="20"/>
                <w:szCs w:val="20"/>
                <w:color w:val="auto"/>
              </w:rPr>
            </w:pPr>
            <w:r>
              <w:rPr>
                <w:rFonts w:ascii="Arial" w:cs="Arial" w:eastAsia="Arial" w:hAnsi="Arial"/>
                <w:sz w:val="16"/>
                <w:szCs w:val="16"/>
                <w:color w:val="auto"/>
              </w:rPr>
              <w:t>Specialty casualty</w:t>
            </w:r>
          </w:p>
        </w:tc>
        <w:tc>
          <w:tcPr>
            <w:tcW w:w="10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799</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794</w:t>
            </w:r>
          </w:p>
        </w:tc>
      </w:tr>
      <w:tr>
        <w:trPr>
          <w:trHeight w:val="217"/>
        </w:trPr>
        <w:tc>
          <w:tcPr>
            <w:tcW w:w="80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Specialty financial</w:t>
            </w:r>
          </w:p>
        </w:tc>
        <w:tc>
          <w:tcPr>
            <w:tcW w:w="10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284</w:t>
            </w:r>
          </w:p>
        </w:tc>
        <w:tc>
          <w:tcPr>
            <w:tcW w:w="10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286</w:t>
            </w:r>
          </w:p>
        </w:tc>
      </w:tr>
      <w:tr>
        <w:trPr>
          <w:trHeight w:val="209"/>
        </w:trPr>
        <w:tc>
          <w:tcPr>
            <w:tcW w:w="8060" w:type="dxa"/>
            <w:vAlign w:val="bottom"/>
          </w:tcPr>
          <w:p>
            <w:pPr>
              <w:ind w:left="760"/>
              <w:spacing w:after="0"/>
              <w:rPr>
                <w:sz w:val="20"/>
                <w:szCs w:val="20"/>
                <w:color w:val="auto"/>
              </w:rPr>
            </w:pPr>
            <w:r>
              <w:rPr>
                <w:rFonts w:ascii="Arial" w:cs="Arial" w:eastAsia="Arial" w:hAnsi="Arial"/>
                <w:sz w:val="16"/>
                <w:szCs w:val="16"/>
                <w:color w:val="auto"/>
              </w:rPr>
              <w:t>Total net earned premiums</w:t>
            </w:r>
          </w:p>
        </w:tc>
        <w:tc>
          <w:tcPr>
            <w:tcW w:w="10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1,609</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9"/>
              </w:rPr>
              <w:t>1,580</w:t>
            </w:r>
          </w:p>
        </w:tc>
      </w:tr>
      <w:tr>
        <w:trPr>
          <w:trHeight w:val="217"/>
        </w:trPr>
        <w:tc>
          <w:tcPr>
            <w:tcW w:w="8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Net investment income</w:t>
            </w: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w:t>
            </w:r>
          </w:p>
        </w:tc>
      </w:tr>
      <w:tr>
        <w:trPr>
          <w:trHeight w:val="215"/>
        </w:trPr>
        <w:tc>
          <w:tcPr>
            <w:tcW w:w="806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Other income</w:t>
            </w:r>
          </w:p>
        </w:tc>
        <w:tc>
          <w:tcPr>
            <w:tcW w:w="10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r>
      <w:tr>
        <w:trPr>
          <w:trHeight w:val="210"/>
        </w:trPr>
        <w:tc>
          <w:tcPr>
            <w:tcW w:w="80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property and casualty insurance</w:t>
            </w: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1,781</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1,753</w:t>
            </w:r>
          </w:p>
        </w:tc>
      </w:tr>
      <w:tr>
        <w:trPr>
          <w:trHeight w:val="215"/>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10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w:t>
            </w: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r>
      <w:tr>
        <w:trPr>
          <w:trHeight w:val="210"/>
        </w:trPr>
        <w:tc>
          <w:tcPr>
            <w:tcW w:w="80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revenues before realized gains (losses)</w:t>
            </w: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1,872</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1,853</w:t>
            </w:r>
          </w:p>
        </w:tc>
      </w:tr>
      <w:tr>
        <w:trPr>
          <w:trHeight w:val="215"/>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Realized gains (losses) on securities</w:t>
            </w:r>
          </w:p>
        </w:tc>
        <w:tc>
          <w:tcPr>
            <w:tcW w:w="10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r>
      <w:tr>
        <w:trPr>
          <w:trHeight w:val="235"/>
        </w:trPr>
        <w:tc>
          <w:tcPr>
            <w:tcW w:w="80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Total revenues</w:t>
            </w:r>
          </w:p>
        </w:tc>
        <w:tc>
          <w:tcPr>
            <w:tcW w:w="1000" w:type="dxa"/>
            <w:vAlign w:val="bottom"/>
            <w:tcBorders>
              <w:bottom w:val="single" w:sz="8" w:color="auto"/>
            </w:tcBorders>
            <w:shd w:val="clear" w:color="auto" w:fill="CCEEFF"/>
          </w:tcPr>
          <w:p>
            <w:pPr>
              <w:jc w:val="right"/>
              <w:ind w:right="801"/>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1,854</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860"/>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1,856</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0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216"/>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Earnings Before Income Taxes</w:t>
            </w: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r>
      <w:tr>
        <w:trPr>
          <w:trHeight w:val="215"/>
        </w:trPr>
        <w:tc>
          <w:tcPr>
            <w:tcW w:w="8060" w:type="dxa"/>
            <w:vAlign w:val="bottom"/>
          </w:tcPr>
          <w:p>
            <w:pPr>
              <w:ind w:left="20"/>
              <w:spacing w:after="0"/>
              <w:rPr>
                <w:sz w:val="20"/>
                <w:szCs w:val="20"/>
                <w:color w:val="auto"/>
              </w:rPr>
            </w:pPr>
            <w:r>
              <w:rPr>
                <w:rFonts w:ascii="Arial" w:cs="Arial" w:eastAsia="Arial" w:hAnsi="Arial"/>
                <w:sz w:val="16"/>
                <w:szCs w:val="16"/>
                <w:color w:val="auto"/>
              </w:rPr>
              <w:t>Property and casualty insurance:</w:t>
            </w: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17"/>
        </w:trPr>
        <w:tc>
          <w:tcPr>
            <w:tcW w:w="8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Underwriting:</w:t>
            </w: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r>
      <w:tr>
        <w:trPr>
          <w:trHeight w:val="215"/>
        </w:trPr>
        <w:tc>
          <w:tcPr>
            <w:tcW w:w="8060" w:type="dxa"/>
            <w:vAlign w:val="bottom"/>
          </w:tcPr>
          <w:p>
            <w:pPr>
              <w:ind w:left="320"/>
              <w:spacing w:after="0"/>
              <w:rPr>
                <w:sz w:val="20"/>
                <w:szCs w:val="20"/>
                <w:color w:val="auto"/>
              </w:rPr>
            </w:pPr>
            <w:r>
              <w:rPr>
                <w:rFonts w:ascii="Arial" w:cs="Arial" w:eastAsia="Arial" w:hAnsi="Arial"/>
                <w:sz w:val="16"/>
                <w:szCs w:val="16"/>
                <w:color w:val="auto"/>
              </w:rPr>
              <w:t>Specialty</w:t>
            </w: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17"/>
        </w:trPr>
        <w:tc>
          <w:tcPr>
            <w:tcW w:w="80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Property and transportation</w:t>
            </w:r>
          </w:p>
        </w:tc>
        <w:tc>
          <w:tcPr>
            <w:tcW w:w="1000" w:type="dxa"/>
            <w:vAlign w:val="bottom"/>
            <w:shd w:val="clear" w:color="auto" w:fill="CCEEFF"/>
          </w:tcPr>
          <w:p>
            <w:pPr>
              <w:jc w:val="right"/>
              <w:ind w:right="801"/>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60"/>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r>
      <w:tr>
        <w:trPr>
          <w:trHeight w:val="215"/>
        </w:trPr>
        <w:tc>
          <w:tcPr>
            <w:tcW w:w="8060" w:type="dxa"/>
            <w:vAlign w:val="bottom"/>
          </w:tcPr>
          <w:p>
            <w:pPr>
              <w:ind w:left="540"/>
              <w:spacing w:after="0"/>
              <w:rPr>
                <w:sz w:val="20"/>
                <w:szCs w:val="20"/>
                <w:color w:val="auto"/>
              </w:rPr>
            </w:pPr>
            <w:r>
              <w:rPr>
                <w:rFonts w:ascii="Arial" w:cs="Arial" w:eastAsia="Arial" w:hAnsi="Arial"/>
                <w:sz w:val="16"/>
                <w:szCs w:val="16"/>
                <w:color w:val="auto"/>
              </w:rPr>
              <w:t>Specialty casualty</w:t>
            </w:r>
          </w:p>
        </w:tc>
        <w:tc>
          <w:tcPr>
            <w:tcW w:w="10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17"/>
        </w:trPr>
        <w:tc>
          <w:tcPr>
            <w:tcW w:w="80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Specialty financial</w:t>
            </w:r>
          </w:p>
        </w:tc>
        <w:tc>
          <w:tcPr>
            <w:tcW w:w="10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0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w:t>
            </w:r>
          </w:p>
        </w:tc>
      </w:tr>
      <w:tr>
        <w:trPr>
          <w:trHeight w:val="209"/>
        </w:trPr>
        <w:tc>
          <w:tcPr>
            <w:tcW w:w="8060" w:type="dxa"/>
            <w:vAlign w:val="bottom"/>
          </w:tcPr>
          <w:p>
            <w:pPr>
              <w:ind w:left="680"/>
              <w:spacing w:after="0"/>
              <w:rPr>
                <w:sz w:val="20"/>
                <w:szCs w:val="20"/>
                <w:color w:val="auto"/>
              </w:rPr>
            </w:pPr>
            <w:r>
              <w:rPr>
                <w:rFonts w:ascii="Arial" w:cs="Arial" w:eastAsia="Arial" w:hAnsi="Arial"/>
                <w:sz w:val="16"/>
                <w:szCs w:val="16"/>
                <w:color w:val="auto"/>
              </w:rPr>
              <w:t>Total underwriting (a)</w:t>
            </w:r>
          </w:p>
        </w:tc>
        <w:tc>
          <w:tcPr>
            <w:tcW w:w="10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156</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94</w:t>
            </w:r>
          </w:p>
        </w:tc>
      </w:tr>
      <w:tr>
        <w:trPr>
          <w:trHeight w:val="217"/>
        </w:trPr>
        <w:tc>
          <w:tcPr>
            <w:tcW w:w="8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Investment and other income, net</w:t>
            </w:r>
          </w:p>
        </w:tc>
        <w:tc>
          <w:tcPr>
            <w:tcW w:w="10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w:t>
            </w:r>
          </w:p>
        </w:tc>
        <w:tc>
          <w:tcPr>
            <w:tcW w:w="10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w:t>
            </w:r>
          </w:p>
        </w:tc>
      </w:tr>
      <w:tr>
        <w:trPr>
          <w:trHeight w:val="209"/>
        </w:trPr>
        <w:tc>
          <w:tcPr>
            <w:tcW w:w="8060" w:type="dxa"/>
            <w:vAlign w:val="bottom"/>
          </w:tcPr>
          <w:p>
            <w:pPr>
              <w:ind w:left="460"/>
              <w:spacing w:after="0"/>
              <w:rPr>
                <w:sz w:val="20"/>
                <w:szCs w:val="20"/>
                <w:color w:val="auto"/>
              </w:rPr>
            </w:pPr>
            <w:r>
              <w:rPr>
                <w:rFonts w:ascii="Arial" w:cs="Arial" w:eastAsia="Arial" w:hAnsi="Arial"/>
                <w:sz w:val="16"/>
                <w:szCs w:val="16"/>
                <w:color w:val="auto"/>
              </w:rPr>
              <w:t>Total property and casualty insurance</w:t>
            </w:r>
          </w:p>
        </w:tc>
        <w:tc>
          <w:tcPr>
            <w:tcW w:w="10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309</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246</w:t>
            </w:r>
          </w:p>
        </w:tc>
      </w:tr>
      <w:tr>
        <w:trPr>
          <w:trHeight w:val="217"/>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(b)</w:t>
            </w:r>
          </w:p>
        </w:tc>
        <w:tc>
          <w:tcPr>
            <w:tcW w:w="10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0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w:t>
            </w:r>
          </w:p>
        </w:tc>
      </w:tr>
      <w:tr>
        <w:trPr>
          <w:trHeight w:val="209"/>
        </w:trPr>
        <w:tc>
          <w:tcPr>
            <w:tcW w:w="8060" w:type="dxa"/>
            <w:vAlign w:val="bottom"/>
          </w:tcPr>
          <w:p>
            <w:pPr>
              <w:ind w:left="460"/>
              <w:spacing w:after="0"/>
              <w:rPr>
                <w:sz w:val="20"/>
                <w:szCs w:val="20"/>
                <w:color w:val="auto"/>
              </w:rPr>
            </w:pPr>
            <w:r>
              <w:rPr>
                <w:rFonts w:ascii="Arial" w:cs="Arial" w:eastAsia="Arial" w:hAnsi="Arial"/>
                <w:sz w:val="16"/>
                <w:szCs w:val="16"/>
                <w:color w:val="auto"/>
              </w:rPr>
              <w:t>Total earnings before realized gains (losses) and income taxes</w:t>
            </w:r>
          </w:p>
        </w:tc>
        <w:tc>
          <w:tcPr>
            <w:tcW w:w="10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257</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194</w:t>
            </w:r>
          </w:p>
        </w:tc>
      </w:tr>
      <w:tr>
        <w:trPr>
          <w:trHeight w:val="217"/>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Realized gains (losses) on securities</w:t>
            </w:r>
          </w:p>
        </w:tc>
        <w:tc>
          <w:tcPr>
            <w:tcW w:w="10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10"/>
        </w:trPr>
        <w:tc>
          <w:tcPr>
            <w:tcW w:w="8060" w:type="dxa"/>
            <w:vAlign w:val="bottom"/>
          </w:tcPr>
          <w:p>
            <w:pPr>
              <w:ind w:left="460"/>
              <w:spacing w:after="0"/>
              <w:rPr>
                <w:sz w:val="20"/>
                <w:szCs w:val="20"/>
                <w:color w:val="auto"/>
              </w:rPr>
            </w:pPr>
            <w:r>
              <w:rPr>
                <w:rFonts w:ascii="Arial" w:cs="Arial" w:eastAsia="Arial" w:hAnsi="Arial"/>
                <w:sz w:val="16"/>
                <w:szCs w:val="16"/>
                <w:color w:val="auto"/>
              </w:rPr>
              <w:t>Total earnings before income taxes</w:t>
            </w:r>
          </w:p>
        </w:tc>
        <w:tc>
          <w:tcPr>
            <w:tcW w:w="1000" w:type="dxa"/>
            <w:vAlign w:val="bottom"/>
            <w:tcBorders>
              <w:bottom w:val="single" w:sz="8" w:color="auto"/>
            </w:tcBorders>
          </w:tcPr>
          <w:p>
            <w:pPr>
              <w:jc w:val="right"/>
              <w:ind w:right="801"/>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239</w:t>
            </w:r>
          </w:p>
        </w:tc>
        <w:tc>
          <w:tcPr>
            <w:tcW w:w="100" w:type="dxa"/>
            <w:vAlign w:val="bottom"/>
          </w:tcPr>
          <w:p>
            <w:pPr>
              <w:spacing w:after="0"/>
              <w:rPr>
                <w:sz w:val="18"/>
                <w:szCs w:val="18"/>
                <w:color w:val="auto"/>
              </w:rPr>
            </w:pPr>
          </w:p>
        </w:tc>
        <w:tc>
          <w:tcPr>
            <w:tcW w:w="1040" w:type="dxa"/>
            <w:vAlign w:val="bottom"/>
            <w:tcBorders>
              <w:bottom w:val="single" w:sz="8" w:color="auto"/>
            </w:tcBorders>
          </w:tcPr>
          <w:p>
            <w:pPr>
              <w:jc w:val="right"/>
              <w:ind w:right="860"/>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w:t>
            </w:r>
          </w:p>
        </w:tc>
      </w:tr>
      <w:tr>
        <w:trPr>
          <w:trHeight w:val="20"/>
        </w:trPr>
        <w:tc>
          <w:tcPr>
            <w:tcW w:w="80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ind w:left="420" w:right="80" w:hanging="412"/>
        <w:spacing w:after="0" w:line="284" w:lineRule="auto"/>
        <w:tabs>
          <w:tab w:leader="none" w:pos="413" w:val="left"/>
        </w:tabs>
        <w:numPr>
          <w:ilvl w:val="0"/>
          <w:numId w:val="8"/>
        </w:numPr>
        <w:rPr>
          <w:rFonts w:ascii="Arial" w:cs="Arial" w:eastAsia="Arial" w:hAnsi="Arial"/>
          <w:sz w:val="17"/>
          <w:szCs w:val="17"/>
          <w:color w:val="auto"/>
        </w:rPr>
      </w:pPr>
      <w:r>
        <w:rPr>
          <w:rFonts w:ascii="Arial" w:cs="Arial" w:eastAsia="Arial" w:hAnsi="Arial"/>
          <w:sz w:val="17"/>
          <w:szCs w:val="17"/>
          <w:color w:val="auto"/>
        </w:rPr>
        <w:t>Significant segment expenses, which are losses and loss adjustment expenses and commissions and other underwriting expenses, are shown in the table below by sub-segment.</w:t>
      </w:r>
    </w:p>
    <w:p>
      <w:pPr>
        <w:spacing w:after="0" w:line="9" w:lineRule="exact"/>
        <w:rPr>
          <w:rFonts w:ascii="Arial" w:cs="Arial" w:eastAsia="Arial" w:hAnsi="Arial"/>
          <w:sz w:val="17"/>
          <w:szCs w:val="17"/>
          <w:color w:val="auto"/>
        </w:rPr>
      </w:pPr>
    </w:p>
    <w:p>
      <w:pPr>
        <w:ind w:left="400" w:hanging="392"/>
        <w:spacing w:after="0"/>
        <w:tabs>
          <w:tab w:leader="none" w:pos="40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Includes interest charges on borrowed money and other holding company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3" w:name="page14"/>
    <w:bookmarkEnd w:id="13"/>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278" w:lineRule="exact"/>
        <w:rPr>
          <w:sz w:val="20"/>
          <w:szCs w:val="20"/>
          <w:color w:val="auto"/>
        </w:rPr>
      </w:pPr>
    </w:p>
    <w:p>
      <w:pPr>
        <w:ind w:right="300"/>
        <w:spacing w:after="0" w:line="284" w:lineRule="auto"/>
        <w:rPr>
          <w:sz w:val="20"/>
          <w:szCs w:val="20"/>
          <w:color w:val="auto"/>
        </w:rPr>
      </w:pPr>
      <w:r>
        <w:rPr>
          <w:rFonts w:ascii="Arial" w:cs="Arial" w:eastAsia="Arial" w:hAnsi="Arial"/>
          <w:sz w:val="17"/>
          <w:szCs w:val="17"/>
          <w:color w:val="auto"/>
        </w:rPr>
        <w:t>The following table shows the components of underwriting profit, including significant segment expenses, for the Property and casualty insurance segment (in millions):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060" w:type="dxa"/>
            <w:vAlign w:val="bottom"/>
          </w:tcPr>
          <w:p>
            <w:pPr>
              <w:spacing w:after="0"/>
              <w:rPr>
                <w:sz w:val="17"/>
                <w:szCs w:val="17"/>
                <w:color w:val="auto"/>
              </w:rPr>
            </w:pPr>
          </w:p>
        </w:tc>
        <w:tc>
          <w:tcPr>
            <w:tcW w:w="2680" w:type="dxa"/>
            <w:vAlign w:val="bottom"/>
            <w:tcBorders>
              <w:bottom w:val="single" w:sz="8" w:color="auto"/>
            </w:tcBorders>
            <w:gridSpan w:val="4"/>
          </w:tcPr>
          <w:p>
            <w:pPr>
              <w:jc w:val="right"/>
              <w:spacing w:after="0"/>
              <w:rPr>
                <w:sz w:val="20"/>
                <w:szCs w:val="20"/>
                <w:color w:val="auto"/>
              </w:rPr>
            </w:pPr>
            <w:r>
              <w:rPr>
                <w:rFonts w:ascii="Arial" w:cs="Arial" w:eastAsia="Arial" w:hAnsi="Arial"/>
                <w:sz w:val="15"/>
                <w:szCs w:val="15"/>
                <w:color w:val="auto"/>
              </w:rPr>
              <w:t>Three months ended March 31,</w:t>
            </w:r>
          </w:p>
        </w:tc>
        <w:tc>
          <w:tcPr>
            <w:tcW w:w="500" w:type="dxa"/>
            <w:vAlign w:val="bottom"/>
            <w:tcBorders>
              <w:bottom w:val="single" w:sz="8" w:color="auto"/>
            </w:tcBorders>
          </w:tcPr>
          <w:p>
            <w:pPr>
              <w:spacing w:after="0"/>
              <w:rPr>
                <w:sz w:val="17"/>
                <w:szCs w:val="17"/>
                <w:color w:val="auto"/>
              </w:rPr>
            </w:pPr>
          </w:p>
        </w:tc>
      </w:tr>
      <w:tr>
        <w:trPr>
          <w:trHeight w:val="198"/>
        </w:trPr>
        <w:tc>
          <w:tcPr>
            <w:tcW w:w="806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2026</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5"/>
                <w:szCs w:val="15"/>
                <w:color w:val="auto"/>
              </w:rPr>
              <w:t>2025</w:t>
            </w:r>
          </w:p>
        </w:tc>
        <w:tc>
          <w:tcPr>
            <w:tcW w:w="500" w:type="dxa"/>
            <w:vAlign w:val="bottom"/>
            <w:tcBorders>
              <w:bottom w:val="single" w:sz="8" w:color="auto"/>
            </w:tcBorders>
          </w:tcPr>
          <w:p>
            <w:pPr>
              <w:spacing w:after="0"/>
              <w:rPr>
                <w:sz w:val="17"/>
                <w:szCs w:val="17"/>
                <w:color w:val="auto"/>
              </w:rPr>
            </w:pPr>
          </w:p>
        </w:tc>
      </w:tr>
      <w:tr>
        <w:trPr>
          <w:trHeight w:val="197"/>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Property and casualty insurance:</w:t>
            </w:r>
          </w:p>
        </w:tc>
        <w:tc>
          <w:tcPr>
            <w:tcW w:w="10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r>
      <w:tr>
        <w:trPr>
          <w:trHeight w:val="216"/>
        </w:trPr>
        <w:tc>
          <w:tcPr>
            <w:tcW w:w="8060" w:type="dxa"/>
            <w:vAlign w:val="bottom"/>
          </w:tcPr>
          <w:p>
            <w:pPr>
              <w:ind w:left="20"/>
              <w:spacing w:after="0"/>
              <w:rPr>
                <w:sz w:val="20"/>
                <w:szCs w:val="20"/>
                <w:color w:val="auto"/>
              </w:rPr>
            </w:pPr>
            <w:r>
              <w:rPr>
                <w:rFonts w:ascii="Arial" w:cs="Arial" w:eastAsia="Arial" w:hAnsi="Arial"/>
                <w:sz w:val="16"/>
                <w:szCs w:val="16"/>
                <w:b w:val="1"/>
                <w:bCs w:val="1"/>
                <w:color w:val="auto"/>
              </w:rPr>
              <w:t>Specialty:</w:t>
            </w: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16"/>
        </w:trPr>
        <w:tc>
          <w:tcPr>
            <w:tcW w:w="8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Property and transportation:</w:t>
            </w: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r>
      <w:tr>
        <w:trPr>
          <w:trHeight w:val="215"/>
        </w:trPr>
        <w:tc>
          <w:tcPr>
            <w:tcW w:w="8060" w:type="dxa"/>
            <w:vAlign w:val="bottom"/>
          </w:tcPr>
          <w:p>
            <w:pPr>
              <w:ind w:left="240"/>
              <w:spacing w:after="0"/>
              <w:rPr>
                <w:sz w:val="20"/>
                <w:szCs w:val="20"/>
                <w:color w:val="auto"/>
              </w:rPr>
            </w:pPr>
            <w:r>
              <w:rPr>
                <w:rFonts w:ascii="Arial" w:cs="Arial" w:eastAsia="Arial" w:hAnsi="Arial"/>
                <w:sz w:val="16"/>
                <w:szCs w:val="16"/>
                <w:color w:val="auto"/>
              </w:rPr>
              <w:t>Net earned premiums</w:t>
            </w:r>
          </w:p>
        </w:tc>
        <w:tc>
          <w:tcPr>
            <w:tcW w:w="1000" w:type="dxa"/>
            <w:vAlign w:val="bottom"/>
          </w:tcPr>
          <w:p>
            <w:pPr>
              <w:jc w:val="right"/>
              <w:ind w:right="800"/>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526</w:t>
            </w:r>
          </w:p>
        </w:tc>
        <w:tc>
          <w:tcPr>
            <w:tcW w:w="100" w:type="dxa"/>
            <w:vAlign w:val="bottom"/>
          </w:tcPr>
          <w:p>
            <w:pPr>
              <w:spacing w:after="0"/>
              <w:rPr>
                <w:sz w:val="18"/>
                <w:szCs w:val="18"/>
                <w:color w:val="auto"/>
              </w:rPr>
            </w:pPr>
          </w:p>
        </w:tc>
        <w:tc>
          <w:tcPr>
            <w:tcW w:w="1040" w:type="dxa"/>
            <w:vAlign w:val="bottom"/>
          </w:tcPr>
          <w:p>
            <w:pPr>
              <w:jc w:val="right"/>
              <w:ind w:right="860"/>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500</w:t>
            </w:r>
          </w:p>
        </w:tc>
      </w:tr>
      <w:tr>
        <w:trPr>
          <w:trHeight w:val="217"/>
        </w:trPr>
        <w:tc>
          <w:tcPr>
            <w:tcW w:w="8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Losses and loss adjustment expenses</w:t>
            </w: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w:t>
            </w:r>
          </w:p>
        </w:tc>
      </w:tr>
      <w:tr>
        <w:trPr>
          <w:trHeight w:val="215"/>
        </w:trPr>
        <w:tc>
          <w:tcPr>
            <w:tcW w:w="806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Commissions and other underwriting expenses</w:t>
            </w:r>
          </w:p>
        </w:tc>
        <w:tc>
          <w:tcPr>
            <w:tcW w:w="10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w:t>
            </w: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w:t>
            </w:r>
          </w:p>
        </w:tc>
      </w:tr>
      <w:tr>
        <w:trPr>
          <w:trHeight w:val="235"/>
        </w:trPr>
        <w:tc>
          <w:tcPr>
            <w:tcW w:w="80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Underwriting profit</w:t>
            </w:r>
          </w:p>
        </w:tc>
        <w:tc>
          <w:tcPr>
            <w:tcW w:w="1000" w:type="dxa"/>
            <w:vAlign w:val="bottom"/>
            <w:tcBorders>
              <w:bottom w:val="single" w:sz="8" w:color="auto"/>
            </w:tcBorders>
            <w:shd w:val="clear" w:color="auto" w:fill="CCEEFF"/>
          </w:tcPr>
          <w:p>
            <w:pPr>
              <w:jc w:val="right"/>
              <w:ind w:right="80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860"/>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0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216"/>
        </w:trPr>
        <w:tc>
          <w:tcPr>
            <w:tcW w:w="8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Specialty casualty:</w:t>
            </w: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r>
      <w:tr>
        <w:trPr>
          <w:trHeight w:val="215"/>
        </w:trPr>
        <w:tc>
          <w:tcPr>
            <w:tcW w:w="8060" w:type="dxa"/>
            <w:vAlign w:val="bottom"/>
          </w:tcPr>
          <w:p>
            <w:pPr>
              <w:ind w:left="240"/>
              <w:spacing w:after="0"/>
              <w:rPr>
                <w:sz w:val="20"/>
                <w:szCs w:val="20"/>
                <w:color w:val="auto"/>
              </w:rPr>
            </w:pPr>
            <w:r>
              <w:rPr>
                <w:rFonts w:ascii="Arial" w:cs="Arial" w:eastAsia="Arial" w:hAnsi="Arial"/>
                <w:sz w:val="16"/>
                <w:szCs w:val="16"/>
                <w:color w:val="auto"/>
              </w:rPr>
              <w:t>Net earned premiums</w:t>
            </w:r>
          </w:p>
        </w:tc>
        <w:tc>
          <w:tcPr>
            <w:tcW w:w="1000" w:type="dxa"/>
            <w:vAlign w:val="bottom"/>
          </w:tcPr>
          <w:p>
            <w:pPr>
              <w:jc w:val="right"/>
              <w:ind w:right="800"/>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799</w:t>
            </w:r>
          </w:p>
        </w:tc>
        <w:tc>
          <w:tcPr>
            <w:tcW w:w="100" w:type="dxa"/>
            <w:vAlign w:val="bottom"/>
          </w:tcPr>
          <w:p>
            <w:pPr>
              <w:spacing w:after="0"/>
              <w:rPr>
                <w:sz w:val="18"/>
                <w:szCs w:val="18"/>
                <w:color w:val="auto"/>
              </w:rPr>
            </w:pPr>
          </w:p>
        </w:tc>
        <w:tc>
          <w:tcPr>
            <w:tcW w:w="1040" w:type="dxa"/>
            <w:vAlign w:val="bottom"/>
          </w:tcPr>
          <w:p>
            <w:pPr>
              <w:jc w:val="right"/>
              <w:ind w:right="860"/>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794</w:t>
            </w:r>
          </w:p>
        </w:tc>
      </w:tr>
      <w:tr>
        <w:trPr>
          <w:trHeight w:val="217"/>
        </w:trPr>
        <w:tc>
          <w:tcPr>
            <w:tcW w:w="8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Losses and loss adjustment expenses</w:t>
            </w: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517</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536</w:t>
            </w:r>
          </w:p>
        </w:tc>
      </w:tr>
      <w:tr>
        <w:trPr>
          <w:trHeight w:val="215"/>
        </w:trPr>
        <w:tc>
          <w:tcPr>
            <w:tcW w:w="806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Commissions and other underwriting expenses</w:t>
            </w:r>
          </w:p>
        </w:tc>
        <w:tc>
          <w:tcPr>
            <w:tcW w:w="10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w:t>
            </w: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w:t>
            </w:r>
          </w:p>
        </w:tc>
      </w:tr>
      <w:tr>
        <w:trPr>
          <w:trHeight w:val="235"/>
        </w:trPr>
        <w:tc>
          <w:tcPr>
            <w:tcW w:w="80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Underwriting profit</w:t>
            </w:r>
          </w:p>
        </w:tc>
        <w:tc>
          <w:tcPr>
            <w:tcW w:w="1000" w:type="dxa"/>
            <w:vAlign w:val="bottom"/>
            <w:tcBorders>
              <w:bottom w:val="single" w:sz="8" w:color="auto"/>
            </w:tcBorders>
            <w:shd w:val="clear" w:color="auto" w:fill="CCEEFF"/>
          </w:tcPr>
          <w:p>
            <w:pPr>
              <w:jc w:val="right"/>
              <w:ind w:right="80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860"/>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0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216"/>
        </w:trPr>
        <w:tc>
          <w:tcPr>
            <w:tcW w:w="8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Specialty financial:</w:t>
            </w: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r>
      <w:tr>
        <w:trPr>
          <w:trHeight w:val="215"/>
        </w:trPr>
        <w:tc>
          <w:tcPr>
            <w:tcW w:w="8060" w:type="dxa"/>
            <w:vAlign w:val="bottom"/>
          </w:tcPr>
          <w:p>
            <w:pPr>
              <w:ind w:left="240"/>
              <w:spacing w:after="0"/>
              <w:rPr>
                <w:sz w:val="20"/>
                <w:szCs w:val="20"/>
                <w:color w:val="auto"/>
              </w:rPr>
            </w:pPr>
            <w:r>
              <w:rPr>
                <w:rFonts w:ascii="Arial" w:cs="Arial" w:eastAsia="Arial" w:hAnsi="Arial"/>
                <w:sz w:val="16"/>
                <w:szCs w:val="16"/>
                <w:color w:val="auto"/>
              </w:rPr>
              <w:t>Net earned premiums</w:t>
            </w:r>
          </w:p>
        </w:tc>
        <w:tc>
          <w:tcPr>
            <w:tcW w:w="1000" w:type="dxa"/>
            <w:vAlign w:val="bottom"/>
          </w:tcPr>
          <w:p>
            <w:pPr>
              <w:jc w:val="right"/>
              <w:ind w:right="800"/>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284</w:t>
            </w:r>
          </w:p>
        </w:tc>
        <w:tc>
          <w:tcPr>
            <w:tcW w:w="100" w:type="dxa"/>
            <w:vAlign w:val="bottom"/>
          </w:tcPr>
          <w:p>
            <w:pPr>
              <w:spacing w:after="0"/>
              <w:rPr>
                <w:sz w:val="18"/>
                <w:szCs w:val="18"/>
                <w:color w:val="auto"/>
              </w:rPr>
            </w:pPr>
          </w:p>
        </w:tc>
        <w:tc>
          <w:tcPr>
            <w:tcW w:w="1040" w:type="dxa"/>
            <w:vAlign w:val="bottom"/>
          </w:tcPr>
          <w:p>
            <w:pPr>
              <w:jc w:val="right"/>
              <w:ind w:right="860"/>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286</w:t>
            </w:r>
          </w:p>
        </w:tc>
      </w:tr>
      <w:tr>
        <w:trPr>
          <w:trHeight w:val="217"/>
        </w:trPr>
        <w:tc>
          <w:tcPr>
            <w:tcW w:w="8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Losses and loss adjustment expenses</w:t>
            </w: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w:t>
            </w:r>
          </w:p>
        </w:tc>
      </w:tr>
      <w:tr>
        <w:trPr>
          <w:trHeight w:val="215"/>
        </w:trPr>
        <w:tc>
          <w:tcPr>
            <w:tcW w:w="806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Commissions and other underwriting expenses</w:t>
            </w:r>
          </w:p>
        </w:tc>
        <w:tc>
          <w:tcPr>
            <w:tcW w:w="10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w:t>
            </w: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w:t>
            </w:r>
          </w:p>
        </w:tc>
      </w:tr>
      <w:tr>
        <w:trPr>
          <w:trHeight w:val="235"/>
        </w:trPr>
        <w:tc>
          <w:tcPr>
            <w:tcW w:w="80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Underwriting profit</w:t>
            </w:r>
          </w:p>
        </w:tc>
        <w:tc>
          <w:tcPr>
            <w:tcW w:w="1000" w:type="dxa"/>
            <w:vAlign w:val="bottom"/>
            <w:tcBorders>
              <w:bottom w:val="single" w:sz="8" w:color="auto"/>
            </w:tcBorders>
            <w:shd w:val="clear" w:color="auto" w:fill="CCEEFF"/>
          </w:tcPr>
          <w:p>
            <w:pPr>
              <w:jc w:val="right"/>
              <w:ind w:right="80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860"/>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0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216"/>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property and casualty insurance segment:</w:t>
            </w: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r>
      <w:tr>
        <w:trPr>
          <w:trHeight w:val="215"/>
        </w:trPr>
        <w:tc>
          <w:tcPr>
            <w:tcW w:w="8060" w:type="dxa"/>
            <w:vAlign w:val="bottom"/>
          </w:tcPr>
          <w:p>
            <w:pPr>
              <w:ind w:left="140"/>
              <w:spacing w:after="0"/>
              <w:rPr>
                <w:sz w:val="20"/>
                <w:szCs w:val="20"/>
                <w:color w:val="auto"/>
              </w:rPr>
            </w:pPr>
            <w:r>
              <w:rPr>
                <w:rFonts w:ascii="Arial" w:cs="Arial" w:eastAsia="Arial" w:hAnsi="Arial"/>
                <w:sz w:val="16"/>
                <w:szCs w:val="16"/>
                <w:color w:val="auto"/>
              </w:rPr>
              <w:t>Net earned premiums</w:t>
            </w:r>
          </w:p>
        </w:tc>
        <w:tc>
          <w:tcPr>
            <w:tcW w:w="1000" w:type="dxa"/>
            <w:vAlign w:val="bottom"/>
          </w:tcPr>
          <w:p>
            <w:pPr>
              <w:jc w:val="right"/>
              <w:ind w:right="800"/>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1,609</w:t>
            </w:r>
          </w:p>
        </w:tc>
        <w:tc>
          <w:tcPr>
            <w:tcW w:w="100" w:type="dxa"/>
            <w:vAlign w:val="bottom"/>
          </w:tcPr>
          <w:p>
            <w:pPr>
              <w:spacing w:after="0"/>
              <w:rPr>
                <w:sz w:val="18"/>
                <w:szCs w:val="18"/>
                <w:color w:val="auto"/>
              </w:rPr>
            </w:pPr>
          </w:p>
        </w:tc>
        <w:tc>
          <w:tcPr>
            <w:tcW w:w="1040" w:type="dxa"/>
            <w:vAlign w:val="bottom"/>
          </w:tcPr>
          <w:p>
            <w:pPr>
              <w:jc w:val="right"/>
              <w:ind w:right="860"/>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w w:val="99"/>
              </w:rPr>
              <w:t>1,580</w:t>
            </w:r>
          </w:p>
        </w:tc>
      </w:tr>
      <w:tr>
        <w:trPr>
          <w:trHeight w:val="217"/>
        </w:trPr>
        <w:tc>
          <w:tcPr>
            <w:tcW w:w="8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Losses and loss adjustment expenses</w:t>
            </w: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906</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965</w:t>
            </w:r>
          </w:p>
        </w:tc>
      </w:tr>
      <w:tr>
        <w:trPr>
          <w:trHeight w:val="215"/>
        </w:trPr>
        <w:tc>
          <w:tcPr>
            <w:tcW w:w="80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Commissions and other underwriting expenses</w:t>
            </w:r>
          </w:p>
        </w:tc>
        <w:tc>
          <w:tcPr>
            <w:tcW w:w="10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547</w:t>
            </w: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521</w:t>
            </w:r>
          </w:p>
        </w:tc>
      </w:tr>
      <w:tr>
        <w:trPr>
          <w:trHeight w:val="235"/>
        </w:trPr>
        <w:tc>
          <w:tcPr>
            <w:tcW w:w="80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Underwriting profit</w:t>
            </w:r>
          </w:p>
        </w:tc>
        <w:tc>
          <w:tcPr>
            <w:tcW w:w="1000" w:type="dxa"/>
            <w:vAlign w:val="bottom"/>
            <w:tcBorders>
              <w:bottom w:val="single" w:sz="8" w:color="auto"/>
            </w:tcBorders>
            <w:shd w:val="clear" w:color="auto" w:fill="CCEEFF"/>
          </w:tcPr>
          <w:p>
            <w:pPr>
              <w:jc w:val="right"/>
              <w:ind w:right="80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860"/>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4" w:name="page15"/>
    <w:bookmarkEnd w:id="14"/>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266" w:lineRule="exact"/>
        <w:rPr>
          <w:sz w:val="20"/>
          <w:szCs w:val="20"/>
          <w:color w:val="auto"/>
        </w:rPr>
      </w:pPr>
    </w:p>
    <w:p>
      <w:pPr>
        <w:ind w:left="620" w:hanging="612"/>
        <w:spacing w:after="0"/>
        <w:tabs>
          <w:tab w:leader="none" w:pos="620" w:val="left"/>
        </w:tabs>
        <w:numPr>
          <w:ilvl w:val="0"/>
          <w:numId w:val="9"/>
        </w:numPr>
        <w:rPr>
          <w:rFonts w:ascii="Arial" w:cs="Arial" w:eastAsia="Arial" w:hAnsi="Arial"/>
          <w:sz w:val="29"/>
          <w:szCs w:val="29"/>
          <w:b w:val="1"/>
          <w:bCs w:val="1"/>
          <w:color w:val="003366"/>
        </w:rPr>
      </w:pPr>
      <w:r>
        <w:rPr>
          <w:rFonts w:ascii="Arial" w:cs="Arial" w:eastAsia="Arial" w:hAnsi="Arial"/>
          <w:sz w:val="29"/>
          <w:szCs w:val="29"/>
          <w:b w:val="1"/>
          <w:bCs w:val="1"/>
          <w:color w:val="003366"/>
        </w:rPr>
        <w:t>Fair Value Measurements</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color w:val="auto"/>
        </w:rPr>
        <w:t>Accounting standards for measuring fair value are based on inputs used in estimating fair value. The three levels of the hierarchy are as follows:</w:t>
      </w:r>
    </w:p>
    <w:p>
      <w:pPr>
        <w:spacing w:after="0" w:line="250"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Level 1 — Quoted prices for identical assets or liabilities in active markets (markets in which transactions occur with sufficient frequency and volume to provide pricing information on an ongoing basis). AFG’s Level 1 financial instruments consist primarily of publicly traded equity securities, highly liquid government bonds for which quoted market prices in active markets are available and short-term investments of managed investment entities.</w:t>
      </w:r>
    </w:p>
    <w:p>
      <w:pPr>
        <w:spacing w:after="0" w:line="201"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Level 2 — Quoted prices for similar instruments in active markets; quoted prices for identical or similar assets or liabilities in inactive markets (markets in which there are few transactions, the prices are not current, price quotations vary substantially over time or among market makers, or in which little information is released publicly); and valuations based on other significant inputs that are observable in active markets. AFG’s Level 2 financial instruments consist primarily of fixed maturity securities and investments of managed investment entities priced using observable inputs. Level 2 inputs include benchmark yields, reported trades, corroborated broker/dealer quotes, issuer spreads and benchmark securities. When non-binding broker quotes can be corroborated by comparison to similar securities priced using observable inputs, they are classified as Level 2.</w:t>
      </w:r>
    </w:p>
    <w:p>
      <w:pPr>
        <w:spacing w:after="0" w:line="206"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Level 3 — Valuations derived from market valuation techniques generally consistent with those used to estimate the fair values of Level 2 financial instruments in which one or more significant inputs are unobservable or when the market for a security exhibits significantly less liquidity relative to markets supporting Level 2 fair value measurements. The unobservable inputs may include management’s own assumptions about the assumptions market participants would use based on the best information available at the valuation date. Financial instruments whose fair value is estimated based on non-binding broker quotes or internally developed using significant inputs not based on, or corroborated by, observable market information are classified as Level 3.</w:t>
      </w:r>
    </w:p>
    <w:p>
      <w:pPr>
        <w:spacing w:after="0" w:line="219" w:lineRule="exact"/>
        <w:rPr>
          <w:sz w:val="20"/>
          <w:szCs w:val="20"/>
          <w:color w:val="auto"/>
        </w:rPr>
      </w:pPr>
    </w:p>
    <w:p>
      <w:pPr>
        <w:ind w:right="200"/>
        <w:spacing w:after="0" w:line="257" w:lineRule="auto"/>
        <w:rPr>
          <w:sz w:val="20"/>
          <w:szCs w:val="20"/>
          <w:color w:val="auto"/>
        </w:rPr>
      </w:pPr>
      <w:r>
        <w:rPr>
          <w:rFonts w:ascii="Arial" w:cs="Arial" w:eastAsia="Arial" w:hAnsi="Arial"/>
          <w:sz w:val="17"/>
          <w:szCs w:val="17"/>
          <w:color w:val="auto"/>
        </w:rPr>
        <w:t xml:space="preserve">As discussed in </w:t>
      </w:r>
      <w:r>
        <w:rPr>
          <w:rFonts w:ascii="Arial" w:cs="Arial" w:eastAsia="Arial" w:hAnsi="Arial"/>
          <w:sz w:val="17"/>
          <w:szCs w:val="17"/>
          <w:i w:val="1"/>
          <w:iCs w:val="1"/>
          <w:color w:val="auto"/>
        </w:rPr>
        <w:t>Note A — “Accounting Policies — Managed Investment Entities,”</w:t>
      </w:r>
      <w:r>
        <w:rPr>
          <w:rFonts w:ascii="Arial" w:cs="Arial" w:eastAsia="Arial" w:hAnsi="Arial"/>
          <w:sz w:val="17"/>
          <w:szCs w:val="17"/>
          <w:color w:val="auto"/>
        </w:rPr>
        <w:t xml:space="preserve"> AFG has set the carrying value of its CLO liabilities equal to the fair value of the CLO assets (which have more observable fair values) as an alternative to reporting those liabilities at separately measured fair values. As a result, the CLO liabilities are categorized within the fair value hierarchy on the same basis (proportionally) as the related CLO assets. Since the portion of the CLO liabilities allocated to Level 3 is derived from the fair value of the CLO assets, these amounts are excluded from the progression of Level 3 financial instruments.</w:t>
      </w:r>
    </w:p>
    <w:p>
      <w:pPr>
        <w:spacing w:after="0" w:line="222" w:lineRule="exact"/>
        <w:rPr>
          <w:sz w:val="20"/>
          <w:szCs w:val="20"/>
          <w:color w:val="auto"/>
        </w:rPr>
      </w:pPr>
    </w:p>
    <w:p>
      <w:pPr>
        <w:ind w:right="40"/>
        <w:spacing w:after="0" w:line="254" w:lineRule="auto"/>
        <w:rPr>
          <w:sz w:val="20"/>
          <w:szCs w:val="20"/>
          <w:color w:val="auto"/>
        </w:rPr>
      </w:pPr>
      <w:r>
        <w:rPr>
          <w:rFonts w:ascii="Arial" w:cs="Arial" w:eastAsia="Arial" w:hAnsi="Arial"/>
          <w:sz w:val="17"/>
          <w:szCs w:val="17"/>
          <w:color w:val="auto"/>
        </w:rPr>
        <w:t>AFG’s management is responsible for the valuation process and uses data from outside sources (including nationally recognized pricing services and broker/dealers) in establishing fair value. AFG’s internal investment group includes approximately 25 investment professionals whose primary responsibility is to manage AFG’s investment portfolio. These professionals monitor individual investments as well as overall industries and are active in the financial markets on a daily basis. The group is led by AFG’s chief investment officer, who reports directly to one of AFG’s Co-CEOs. Valuation techniques utilized by pricing services and prices obtained from external sources are reviewed by AFG’s internal investment professionals who are familiar with the securities being priced and the markets in which they trade to ensure the fair value determination is representative of an exit price. To validate the appropriateness of the prices obtained, these investment managers consider widely published indices (as benchmarks), recent trades, changes in interest rates, general economic conditions and the credit quality of the specific issuers. In addition, AFG communicates directly with the pricing services regarding the methods and assumptions used in pricing, including verifying, on a test basis, the inputs used by the service to value specific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6" w:right="379" w:bottom="1440" w:gutter="0" w:footer="0" w:header="0"/>
        </w:sectPr>
      </w:pPr>
    </w:p>
    <w:bookmarkStart w:id="15" w:name="page16"/>
    <w:bookmarkEnd w:id="15"/>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color w:val="auto"/>
        </w:rPr>
        <w:t>Assets and liabilities measured and carried at fair value in the financial statements are summarized below (in millions):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Level 1</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ind w:left="120"/>
              <w:spacing w:after="0"/>
              <w:rPr>
                <w:sz w:val="20"/>
                <w:szCs w:val="20"/>
                <w:color w:val="auto"/>
              </w:rPr>
            </w:pPr>
            <w:r>
              <w:rPr>
                <w:rFonts w:ascii="Arial" w:cs="Arial" w:eastAsia="Arial" w:hAnsi="Arial"/>
                <w:sz w:val="15"/>
                <w:szCs w:val="15"/>
                <w:color w:val="auto"/>
              </w:rPr>
              <w:t>Level 2</w:t>
            </w:r>
          </w:p>
        </w:tc>
        <w:tc>
          <w:tcPr>
            <w:tcW w:w="240" w:type="dxa"/>
            <w:vAlign w:val="bottom"/>
          </w:tcPr>
          <w:p>
            <w:pPr>
              <w:spacing w:after="0"/>
              <w:rPr>
                <w:sz w:val="17"/>
                <w:szCs w:val="17"/>
                <w:color w:val="auto"/>
              </w:rPr>
            </w:pPr>
          </w:p>
        </w:tc>
        <w:tc>
          <w:tcPr>
            <w:tcW w:w="1060" w:type="dxa"/>
            <w:vAlign w:val="bottom"/>
            <w:gridSpan w:val="2"/>
          </w:tcPr>
          <w:p>
            <w:pPr>
              <w:ind w:left="120"/>
              <w:spacing w:after="0"/>
              <w:rPr>
                <w:sz w:val="20"/>
                <w:szCs w:val="20"/>
                <w:color w:val="auto"/>
              </w:rPr>
            </w:pPr>
            <w:r>
              <w:rPr>
                <w:rFonts w:ascii="Arial" w:cs="Arial" w:eastAsia="Arial" w:hAnsi="Arial"/>
                <w:sz w:val="15"/>
                <w:szCs w:val="15"/>
                <w:color w:val="auto"/>
              </w:rPr>
              <w:t>Level 3</w:t>
            </w:r>
          </w:p>
        </w:tc>
        <w:tc>
          <w:tcPr>
            <w:tcW w:w="280" w:type="dxa"/>
            <w:vAlign w:val="bottom"/>
          </w:tcPr>
          <w:p>
            <w:pPr>
              <w:spacing w:after="0"/>
              <w:rPr>
                <w:sz w:val="17"/>
                <w:szCs w:val="17"/>
                <w:color w:val="auto"/>
              </w:rPr>
            </w:pPr>
          </w:p>
        </w:tc>
        <w:tc>
          <w:tcPr>
            <w:tcW w:w="920" w:type="dxa"/>
            <w:vAlign w:val="bottom"/>
          </w:tcPr>
          <w:p>
            <w:pPr>
              <w:jc w:val="right"/>
              <w:ind w:right="359"/>
              <w:spacing w:after="0"/>
              <w:rPr>
                <w:sz w:val="20"/>
                <w:szCs w:val="20"/>
                <w:color w:val="auto"/>
              </w:rPr>
            </w:pPr>
            <w:r>
              <w:rPr>
                <w:rFonts w:ascii="Arial" w:cs="Arial" w:eastAsia="Arial" w:hAnsi="Arial"/>
                <w:sz w:val="15"/>
                <w:szCs w:val="15"/>
                <w:color w:val="auto"/>
              </w:rPr>
              <w:t>Total</w:t>
            </w:r>
          </w:p>
        </w:tc>
      </w:tr>
      <w:tr>
        <w:trPr>
          <w:trHeight w:val="179"/>
        </w:trPr>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160" w:type="dxa"/>
            <w:vAlign w:val="bottom"/>
            <w:tcBorders>
              <w:top w:val="single" w:sz="8" w:color="CCEEFF"/>
              <w:bottom w:val="single" w:sz="8" w:color="auto"/>
            </w:tcBorders>
            <w:shd w:val="clear" w:color="auto" w:fill="CCEEFF"/>
          </w:tcPr>
          <w:p>
            <w:pPr>
              <w:spacing w:after="0" w:line="158" w:lineRule="exact"/>
              <w:rPr>
                <w:sz w:val="20"/>
                <w:szCs w:val="20"/>
                <w:color w:val="auto"/>
              </w:rPr>
            </w:pPr>
            <w:r>
              <w:rPr>
                <w:rFonts w:ascii="Arial" w:cs="Arial" w:eastAsia="Arial" w:hAnsi="Arial"/>
                <w:sz w:val="16"/>
                <w:szCs w:val="16"/>
                <w:b w:val="1"/>
                <w:bCs w:val="1"/>
                <w:color w:val="auto"/>
              </w:rPr>
              <w:t>March 31, 2026</w:t>
            </w:r>
          </w:p>
        </w:tc>
        <w:tc>
          <w:tcPr>
            <w:tcW w:w="498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840" w:type="dxa"/>
            <w:vAlign w:val="bottom"/>
            <w:tcBorders>
              <w:top w:val="single" w:sz="8" w:color="auto"/>
              <w:bottom w:val="single" w:sz="8" w:color="CCEEFF"/>
            </w:tcBorders>
            <w:shd w:val="clear" w:color="auto" w:fill="CCEEFF"/>
          </w:tcPr>
          <w:p>
            <w:pPr>
              <w:spacing w:after="0"/>
              <w:rPr>
                <w:sz w:val="15"/>
                <w:szCs w:val="15"/>
                <w:color w:val="auto"/>
              </w:rPr>
            </w:pPr>
          </w:p>
        </w:tc>
        <w:tc>
          <w:tcPr>
            <w:tcW w:w="36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CCEEFF"/>
            </w:tcBorders>
            <w:shd w:val="clear" w:color="auto" w:fill="CCEEFF"/>
          </w:tcPr>
          <w:p>
            <w:pPr>
              <w:spacing w:after="0"/>
              <w:rPr>
                <w:sz w:val="15"/>
                <w:szCs w:val="15"/>
                <w:color w:val="auto"/>
              </w:rPr>
            </w:pPr>
          </w:p>
        </w:tc>
        <w:tc>
          <w:tcPr>
            <w:tcW w:w="96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CCEEFF"/>
            </w:tcBorders>
            <w:shd w:val="clear" w:color="auto" w:fill="CCEEFF"/>
          </w:tcPr>
          <w:p>
            <w:pPr>
              <w:spacing w:after="0"/>
              <w:rPr>
                <w:sz w:val="15"/>
                <w:szCs w:val="15"/>
                <w:color w:val="auto"/>
              </w:rPr>
            </w:pPr>
          </w:p>
        </w:tc>
        <w:tc>
          <w:tcPr>
            <w:tcW w:w="96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CCEEFF"/>
            </w:tcBorders>
            <w:shd w:val="clear" w:color="auto" w:fill="CCEEFF"/>
          </w:tcPr>
          <w:p>
            <w:pPr>
              <w:spacing w:after="0"/>
              <w:rPr>
                <w:sz w:val="15"/>
                <w:szCs w:val="15"/>
                <w:color w:val="auto"/>
              </w:rPr>
            </w:pPr>
          </w:p>
        </w:tc>
        <w:tc>
          <w:tcPr>
            <w:tcW w:w="920" w:type="dxa"/>
            <w:vAlign w:val="bottom"/>
            <w:tcBorders>
              <w:top w:val="single" w:sz="8" w:color="auto"/>
              <w:bottom w:val="single" w:sz="8" w:color="CCEEFF"/>
            </w:tcBorders>
            <w:shd w:val="clear" w:color="auto" w:fill="CCEEFF"/>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6140" w:type="dxa"/>
            <w:vAlign w:val="bottom"/>
            <w:gridSpan w:val="3"/>
          </w:tcPr>
          <w:p>
            <w:pPr>
              <w:spacing w:after="0"/>
              <w:rPr>
                <w:sz w:val="20"/>
                <w:szCs w:val="20"/>
                <w:color w:val="auto"/>
              </w:rPr>
            </w:pPr>
            <w:r>
              <w:rPr>
                <w:rFonts w:ascii="Arial" w:cs="Arial" w:eastAsia="Arial" w:hAnsi="Arial"/>
                <w:sz w:val="16"/>
                <w:szCs w:val="16"/>
                <w:b w:val="1"/>
                <w:bCs w:val="1"/>
                <w:color w:val="auto"/>
              </w:rPr>
              <w:t>Assets:</w:t>
            </w: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61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Available for sale (“AFS”) fixed maturities:</w:t>
            </w:r>
          </w:p>
        </w:tc>
        <w:tc>
          <w:tcPr>
            <w:tcW w:w="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6140" w:type="dxa"/>
            <w:vAlign w:val="bottom"/>
            <w:gridSpan w:val="3"/>
          </w:tcPr>
          <w:p>
            <w:pPr>
              <w:ind w:left="340"/>
              <w:spacing w:after="0"/>
              <w:rPr>
                <w:sz w:val="20"/>
                <w:szCs w:val="20"/>
                <w:color w:val="auto"/>
              </w:rPr>
            </w:pPr>
            <w:r>
              <w:rPr>
                <w:rFonts w:ascii="Arial" w:cs="Arial" w:eastAsia="Arial" w:hAnsi="Arial"/>
                <w:sz w:val="16"/>
                <w:szCs w:val="16"/>
                <w:color w:val="auto"/>
              </w:rPr>
              <w:t>U.S. government and government agencies</w:t>
            </w:r>
          </w:p>
        </w:tc>
        <w:tc>
          <w:tcPr>
            <w:tcW w:w="840" w:type="dxa"/>
            <w:vAlign w:val="bottom"/>
          </w:tcPr>
          <w:p>
            <w:pPr>
              <w:jc w:val="right"/>
              <w:ind w:right="660"/>
              <w:spacing w:after="0"/>
              <w:rPr>
                <w:sz w:val="20"/>
                <w:szCs w:val="20"/>
                <w:color w:val="auto"/>
              </w:rPr>
            </w:pPr>
            <w:r>
              <w:rPr>
                <w:rFonts w:ascii="Arial" w:cs="Arial" w:eastAsia="Arial" w:hAnsi="Arial"/>
                <w:sz w:val="16"/>
                <w:szCs w:val="16"/>
                <w:color w:val="auto"/>
                <w:w w:val="89"/>
              </w:rPr>
              <w:t>$</w:t>
            </w:r>
          </w:p>
        </w:tc>
        <w:tc>
          <w:tcPr>
            <w:tcW w:w="360" w:type="dxa"/>
            <w:vAlign w:val="bottom"/>
          </w:tcPr>
          <w:p>
            <w:pPr>
              <w:jc w:val="right"/>
              <w:spacing w:after="0"/>
              <w:rPr>
                <w:sz w:val="20"/>
                <w:szCs w:val="20"/>
                <w:color w:val="auto"/>
              </w:rPr>
            </w:pPr>
            <w:r>
              <w:rPr>
                <w:rFonts w:ascii="Arial" w:cs="Arial" w:eastAsia="Arial" w:hAnsi="Arial"/>
                <w:sz w:val="16"/>
                <w:szCs w:val="16"/>
                <w:color w:val="auto"/>
                <w:w w:val="97"/>
              </w:rPr>
              <w:t>146</w:t>
            </w:r>
          </w:p>
        </w:tc>
        <w:tc>
          <w:tcPr>
            <w:tcW w:w="8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150</w:t>
            </w:r>
          </w:p>
        </w:tc>
      </w:tr>
      <w:tr>
        <w:trPr>
          <w:trHeight w:val="217"/>
        </w:trPr>
        <w:tc>
          <w:tcPr>
            <w:tcW w:w="20" w:type="dxa"/>
            <w:vAlign w:val="bottom"/>
            <w:shd w:val="clear" w:color="auto" w:fill="CCEEFF"/>
          </w:tcPr>
          <w:p>
            <w:pPr>
              <w:spacing w:after="0"/>
              <w:rPr>
                <w:sz w:val="18"/>
                <w:szCs w:val="18"/>
                <w:color w:val="auto"/>
              </w:rPr>
            </w:pPr>
          </w:p>
        </w:tc>
        <w:tc>
          <w:tcPr>
            <w:tcW w:w="614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States, municipalities and political subdivisions</w:t>
            </w:r>
          </w:p>
        </w:tc>
        <w:tc>
          <w:tcPr>
            <w:tcW w:w="8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791</w:t>
            </w:r>
          </w:p>
        </w:tc>
      </w:tr>
      <w:tr>
        <w:trPr>
          <w:trHeight w:val="215"/>
        </w:trPr>
        <w:tc>
          <w:tcPr>
            <w:tcW w:w="20" w:type="dxa"/>
            <w:vAlign w:val="bottom"/>
          </w:tcPr>
          <w:p>
            <w:pPr>
              <w:spacing w:after="0"/>
              <w:rPr>
                <w:sz w:val="18"/>
                <w:szCs w:val="18"/>
                <w:color w:val="auto"/>
              </w:rPr>
            </w:pPr>
          </w:p>
        </w:tc>
        <w:tc>
          <w:tcPr>
            <w:tcW w:w="6140" w:type="dxa"/>
            <w:vAlign w:val="bottom"/>
            <w:gridSpan w:val="3"/>
          </w:tcPr>
          <w:p>
            <w:pPr>
              <w:ind w:left="340"/>
              <w:spacing w:after="0"/>
              <w:rPr>
                <w:sz w:val="20"/>
                <w:szCs w:val="20"/>
                <w:color w:val="auto"/>
              </w:rPr>
            </w:pPr>
            <w:r>
              <w:rPr>
                <w:rFonts w:ascii="Arial" w:cs="Arial" w:eastAsia="Arial" w:hAnsi="Arial"/>
                <w:sz w:val="16"/>
                <w:szCs w:val="16"/>
                <w:color w:val="auto"/>
              </w:rPr>
              <w:t>Foreign government</w:t>
            </w:r>
          </w:p>
        </w:tc>
        <w:tc>
          <w:tcPr>
            <w:tcW w:w="84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237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237</w:t>
            </w:r>
          </w:p>
        </w:tc>
      </w:tr>
      <w:tr>
        <w:trPr>
          <w:trHeight w:val="217"/>
        </w:trPr>
        <w:tc>
          <w:tcPr>
            <w:tcW w:w="20" w:type="dxa"/>
            <w:vAlign w:val="bottom"/>
            <w:shd w:val="clear" w:color="auto" w:fill="CCEEFF"/>
          </w:tcPr>
          <w:p>
            <w:pPr>
              <w:spacing w:after="0"/>
              <w:rPr>
                <w:sz w:val="18"/>
                <w:szCs w:val="18"/>
                <w:color w:val="auto"/>
              </w:rPr>
            </w:pPr>
          </w:p>
        </w:tc>
        <w:tc>
          <w:tcPr>
            <w:tcW w:w="614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Residential MBS</w:t>
            </w:r>
          </w:p>
        </w:tc>
        <w:tc>
          <w:tcPr>
            <w:tcW w:w="8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3,160</w:t>
            </w:r>
          </w:p>
        </w:tc>
      </w:tr>
      <w:tr>
        <w:trPr>
          <w:trHeight w:val="215"/>
        </w:trPr>
        <w:tc>
          <w:tcPr>
            <w:tcW w:w="20" w:type="dxa"/>
            <w:vAlign w:val="bottom"/>
          </w:tcPr>
          <w:p>
            <w:pPr>
              <w:spacing w:after="0"/>
              <w:rPr>
                <w:sz w:val="18"/>
                <w:szCs w:val="18"/>
                <w:color w:val="auto"/>
              </w:rPr>
            </w:pPr>
          </w:p>
        </w:tc>
        <w:tc>
          <w:tcPr>
            <w:tcW w:w="6140" w:type="dxa"/>
            <w:vAlign w:val="bottom"/>
            <w:gridSpan w:val="3"/>
          </w:tcPr>
          <w:p>
            <w:pPr>
              <w:ind w:left="340"/>
              <w:spacing w:after="0"/>
              <w:rPr>
                <w:sz w:val="20"/>
                <w:szCs w:val="20"/>
                <w:color w:val="auto"/>
              </w:rPr>
            </w:pPr>
            <w:r>
              <w:rPr>
                <w:rFonts w:ascii="Arial" w:cs="Arial" w:eastAsia="Arial" w:hAnsi="Arial"/>
                <w:sz w:val="16"/>
                <w:szCs w:val="16"/>
                <w:color w:val="auto"/>
              </w:rPr>
              <w:t>Collateralized loan obligations</w:t>
            </w:r>
          </w:p>
        </w:tc>
        <w:tc>
          <w:tcPr>
            <w:tcW w:w="84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1,180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1,180</w:t>
            </w:r>
          </w:p>
        </w:tc>
      </w:tr>
      <w:tr>
        <w:trPr>
          <w:trHeight w:val="217"/>
        </w:trPr>
        <w:tc>
          <w:tcPr>
            <w:tcW w:w="20" w:type="dxa"/>
            <w:vAlign w:val="bottom"/>
            <w:shd w:val="clear" w:color="auto" w:fill="CCEEFF"/>
          </w:tcPr>
          <w:p>
            <w:pPr>
              <w:spacing w:after="0"/>
              <w:rPr>
                <w:sz w:val="18"/>
                <w:szCs w:val="18"/>
                <w:color w:val="auto"/>
              </w:rPr>
            </w:pPr>
          </w:p>
        </w:tc>
        <w:tc>
          <w:tcPr>
            <w:tcW w:w="614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Other asset-backed securities</w:t>
            </w:r>
          </w:p>
        </w:tc>
        <w:tc>
          <w:tcPr>
            <w:tcW w:w="8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2,575</w:t>
            </w:r>
          </w:p>
        </w:tc>
      </w:tr>
      <w:tr>
        <w:trPr>
          <w:trHeight w:val="215"/>
        </w:trPr>
        <w:tc>
          <w:tcPr>
            <w:tcW w:w="20" w:type="dxa"/>
            <w:vAlign w:val="bottom"/>
            <w:tcBorders>
              <w:bottom w:val="single" w:sz="8" w:color="CCEEFF"/>
            </w:tcBorders>
          </w:tcPr>
          <w:p>
            <w:pPr>
              <w:spacing w:after="0"/>
              <w:rPr>
                <w:sz w:val="18"/>
                <w:szCs w:val="18"/>
                <w:color w:val="auto"/>
              </w:rPr>
            </w:pPr>
          </w:p>
        </w:tc>
        <w:tc>
          <w:tcPr>
            <w:tcW w:w="6140" w:type="dxa"/>
            <w:vAlign w:val="bottom"/>
            <w:tcBorders>
              <w:bottom w:val="single" w:sz="8" w:color="CCEEFF"/>
            </w:tcBorders>
            <w:gridSpan w:val="3"/>
          </w:tcPr>
          <w:p>
            <w:pPr>
              <w:ind w:left="340"/>
              <w:spacing w:after="0"/>
              <w:rPr>
                <w:sz w:val="20"/>
                <w:szCs w:val="20"/>
                <w:color w:val="auto"/>
              </w:rPr>
            </w:pPr>
            <w:r>
              <w:rPr>
                <w:rFonts w:ascii="Arial" w:cs="Arial" w:eastAsia="Arial" w:hAnsi="Arial"/>
                <w:sz w:val="16"/>
                <w:szCs w:val="16"/>
                <w:color w:val="auto"/>
              </w:rPr>
              <w:t>Corporate and other</w:t>
            </w:r>
          </w:p>
        </w:tc>
        <w:tc>
          <w:tcPr>
            <w:tcW w:w="8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2,923</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3,304</w:t>
            </w:r>
          </w:p>
        </w:tc>
      </w:tr>
      <w:tr>
        <w:trPr>
          <w:trHeight w:val="210"/>
        </w:trPr>
        <w:tc>
          <w:tcPr>
            <w:tcW w:w="20" w:type="dxa"/>
            <w:vAlign w:val="bottom"/>
            <w:shd w:val="clear" w:color="auto" w:fill="CCEEFF"/>
          </w:tcPr>
          <w:p>
            <w:pPr>
              <w:spacing w:after="0"/>
              <w:rPr>
                <w:sz w:val="18"/>
                <w:szCs w:val="18"/>
                <w:color w:val="auto"/>
              </w:rPr>
            </w:pPr>
          </w:p>
        </w:tc>
        <w:tc>
          <w:tcPr>
            <w:tcW w:w="6140" w:type="dxa"/>
            <w:vAlign w:val="bottom"/>
            <w:gridSpan w:val="3"/>
            <w:shd w:val="clear" w:color="auto" w:fill="CCEEFF"/>
          </w:tcPr>
          <w:p>
            <w:pPr>
              <w:ind w:left="820"/>
              <w:spacing w:after="0"/>
              <w:rPr>
                <w:sz w:val="20"/>
                <w:szCs w:val="20"/>
                <w:color w:val="auto"/>
              </w:rPr>
            </w:pPr>
            <w:r>
              <w:rPr>
                <w:rFonts w:ascii="Arial" w:cs="Arial" w:eastAsia="Arial" w:hAnsi="Arial"/>
                <w:sz w:val="16"/>
                <w:szCs w:val="16"/>
                <w:color w:val="auto"/>
              </w:rPr>
              <w:t>Total AFS fixed maturities</w:t>
            </w:r>
          </w:p>
        </w:tc>
        <w:tc>
          <w:tcPr>
            <w:tcW w:w="8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147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10,505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11,397</w:t>
            </w:r>
          </w:p>
        </w:tc>
      </w:tr>
      <w:tr>
        <w:trPr>
          <w:trHeight w:val="215"/>
        </w:trPr>
        <w:tc>
          <w:tcPr>
            <w:tcW w:w="20" w:type="dxa"/>
            <w:vAlign w:val="bottom"/>
          </w:tcPr>
          <w:p>
            <w:pPr>
              <w:spacing w:after="0"/>
              <w:rPr>
                <w:sz w:val="18"/>
                <w:szCs w:val="18"/>
                <w:color w:val="auto"/>
              </w:rPr>
            </w:pPr>
          </w:p>
        </w:tc>
        <w:tc>
          <w:tcPr>
            <w:tcW w:w="6140" w:type="dxa"/>
            <w:vAlign w:val="bottom"/>
            <w:gridSpan w:val="3"/>
          </w:tcPr>
          <w:p>
            <w:pPr>
              <w:spacing w:after="0"/>
              <w:rPr>
                <w:sz w:val="20"/>
                <w:szCs w:val="20"/>
                <w:color w:val="auto"/>
              </w:rPr>
            </w:pPr>
            <w:r>
              <w:rPr>
                <w:rFonts w:ascii="Arial" w:cs="Arial" w:eastAsia="Arial" w:hAnsi="Arial"/>
                <w:sz w:val="16"/>
                <w:szCs w:val="16"/>
                <w:color w:val="auto"/>
              </w:rPr>
              <w:t>Trading fixed maturities</w:t>
            </w:r>
          </w:p>
        </w:tc>
        <w:tc>
          <w:tcPr>
            <w:tcW w:w="84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80</w:t>
            </w:r>
          </w:p>
        </w:tc>
      </w:tr>
      <w:tr>
        <w:trPr>
          <w:trHeight w:val="217"/>
        </w:trPr>
        <w:tc>
          <w:tcPr>
            <w:tcW w:w="20" w:type="dxa"/>
            <w:vAlign w:val="bottom"/>
            <w:shd w:val="clear" w:color="auto" w:fill="CCEEFF"/>
          </w:tcPr>
          <w:p>
            <w:pPr>
              <w:spacing w:after="0"/>
              <w:rPr>
                <w:sz w:val="18"/>
                <w:szCs w:val="18"/>
                <w:color w:val="auto"/>
              </w:rPr>
            </w:pPr>
          </w:p>
        </w:tc>
        <w:tc>
          <w:tcPr>
            <w:tcW w:w="61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Equity securities</w:t>
            </w:r>
          </w:p>
        </w:tc>
        <w:tc>
          <w:tcPr>
            <w:tcW w:w="8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461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753</w:t>
            </w:r>
          </w:p>
        </w:tc>
      </w:tr>
      <w:tr>
        <w:trPr>
          <w:trHeight w:val="215"/>
        </w:trPr>
        <w:tc>
          <w:tcPr>
            <w:tcW w:w="20" w:type="dxa"/>
            <w:vAlign w:val="bottom"/>
          </w:tcPr>
          <w:p>
            <w:pPr>
              <w:spacing w:after="0"/>
              <w:rPr>
                <w:sz w:val="18"/>
                <w:szCs w:val="18"/>
                <w:color w:val="auto"/>
              </w:rPr>
            </w:pPr>
          </w:p>
        </w:tc>
        <w:tc>
          <w:tcPr>
            <w:tcW w:w="6140" w:type="dxa"/>
            <w:vAlign w:val="bottom"/>
            <w:gridSpan w:val="3"/>
          </w:tcPr>
          <w:p>
            <w:pPr>
              <w:spacing w:after="0"/>
              <w:rPr>
                <w:sz w:val="20"/>
                <w:szCs w:val="20"/>
                <w:color w:val="auto"/>
              </w:rPr>
            </w:pPr>
            <w:r>
              <w:rPr>
                <w:rFonts w:ascii="Arial" w:cs="Arial" w:eastAsia="Arial" w:hAnsi="Arial"/>
                <w:sz w:val="16"/>
                <w:szCs w:val="16"/>
                <w:color w:val="auto"/>
              </w:rPr>
              <w:t>Assets of managed investment entities (“MIE”)</w:t>
            </w:r>
          </w:p>
        </w:tc>
        <w:tc>
          <w:tcPr>
            <w:tcW w:w="8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w w:val="97"/>
              </w:rPr>
              <w:t>168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3,804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3,987</w:t>
            </w:r>
          </w:p>
        </w:tc>
      </w:tr>
      <w:tr>
        <w:trPr>
          <w:trHeight w:val="216"/>
        </w:trPr>
        <w:tc>
          <w:tcPr>
            <w:tcW w:w="20" w:type="dxa"/>
            <w:vAlign w:val="bottom"/>
            <w:shd w:val="clear" w:color="auto" w:fill="CCEEFF"/>
          </w:tcPr>
          <w:p>
            <w:pPr>
              <w:spacing w:after="0"/>
              <w:rPr>
                <w:sz w:val="18"/>
                <w:szCs w:val="18"/>
                <w:color w:val="auto"/>
              </w:rPr>
            </w:pPr>
          </w:p>
        </w:tc>
        <w:tc>
          <w:tcPr>
            <w:tcW w:w="61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Other assets — derivatives</w:t>
            </w:r>
          </w:p>
        </w:tc>
        <w:tc>
          <w:tcPr>
            <w:tcW w:w="8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10"/>
        </w:trPr>
        <w:tc>
          <w:tcPr>
            <w:tcW w:w="20" w:type="dxa"/>
            <w:vAlign w:val="bottom"/>
          </w:tcPr>
          <w:p>
            <w:pPr>
              <w:spacing w:after="0"/>
              <w:rPr>
                <w:sz w:val="18"/>
                <w:szCs w:val="18"/>
                <w:color w:val="auto"/>
              </w:rPr>
            </w:pPr>
          </w:p>
        </w:tc>
        <w:tc>
          <w:tcPr>
            <w:tcW w:w="6140" w:type="dxa"/>
            <w:vAlign w:val="bottom"/>
            <w:gridSpan w:val="3"/>
          </w:tcPr>
          <w:p>
            <w:pPr>
              <w:ind w:left="340"/>
              <w:spacing w:after="0"/>
              <w:rPr>
                <w:sz w:val="20"/>
                <w:szCs w:val="20"/>
                <w:color w:val="auto"/>
              </w:rPr>
            </w:pPr>
            <w:r>
              <w:rPr>
                <w:rFonts w:ascii="Arial" w:cs="Arial" w:eastAsia="Arial" w:hAnsi="Arial"/>
                <w:sz w:val="16"/>
                <w:szCs w:val="16"/>
                <w:color w:val="auto"/>
              </w:rPr>
              <w:t>Total assets accounted for at fair value</w:t>
            </w:r>
          </w:p>
        </w:tc>
        <w:tc>
          <w:tcPr>
            <w:tcW w:w="840" w:type="dxa"/>
            <w:vAlign w:val="bottom"/>
            <w:tcBorders>
              <w:top w:val="single" w:sz="8" w:color="auto"/>
              <w:bottom w:val="single" w:sz="8" w:color="auto"/>
            </w:tcBorders>
          </w:tcPr>
          <w:p>
            <w:pPr>
              <w:jc w:val="right"/>
              <w:ind w:right="660"/>
              <w:spacing w:after="0"/>
              <w:rPr>
                <w:sz w:val="20"/>
                <w:szCs w:val="20"/>
                <w:color w:val="auto"/>
              </w:rPr>
            </w:pPr>
            <w:r>
              <w:rPr>
                <w:rFonts w:ascii="Arial" w:cs="Arial" w:eastAsia="Arial" w:hAnsi="Arial"/>
                <w:sz w:val="16"/>
                <w:szCs w:val="16"/>
                <w:color w:val="auto"/>
                <w:w w:val="8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7"/>
              </w:rPr>
              <w:t>776</w:t>
            </w: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14,427</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1,015</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16,218</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46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614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Liabilities:</w:t>
            </w:r>
          </w:p>
        </w:tc>
        <w:tc>
          <w:tcPr>
            <w:tcW w:w="8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215"/>
        </w:trPr>
        <w:tc>
          <w:tcPr>
            <w:tcW w:w="20" w:type="dxa"/>
            <w:vAlign w:val="bottom"/>
          </w:tcPr>
          <w:p>
            <w:pPr>
              <w:spacing w:after="0"/>
              <w:rPr>
                <w:sz w:val="18"/>
                <w:szCs w:val="18"/>
                <w:color w:val="auto"/>
              </w:rPr>
            </w:pPr>
          </w:p>
        </w:tc>
        <w:tc>
          <w:tcPr>
            <w:tcW w:w="6140" w:type="dxa"/>
            <w:vAlign w:val="bottom"/>
            <w:gridSpan w:val="3"/>
          </w:tcPr>
          <w:p>
            <w:pPr>
              <w:spacing w:after="0"/>
              <w:rPr>
                <w:sz w:val="20"/>
                <w:szCs w:val="20"/>
                <w:color w:val="auto"/>
              </w:rPr>
            </w:pPr>
            <w:r>
              <w:rPr>
                <w:rFonts w:ascii="Arial" w:cs="Arial" w:eastAsia="Arial" w:hAnsi="Arial"/>
                <w:sz w:val="16"/>
                <w:szCs w:val="16"/>
                <w:color w:val="auto"/>
              </w:rPr>
              <w:t>Contingent consideration — acquisitions</w:t>
            </w:r>
          </w:p>
        </w:tc>
        <w:tc>
          <w:tcPr>
            <w:tcW w:w="840" w:type="dxa"/>
            <w:vAlign w:val="bottom"/>
          </w:tcPr>
          <w:p>
            <w:pPr>
              <w:jc w:val="right"/>
              <w:ind w:right="660"/>
              <w:spacing w:after="0"/>
              <w:rPr>
                <w:sz w:val="20"/>
                <w:szCs w:val="20"/>
                <w:color w:val="auto"/>
              </w:rPr>
            </w:pPr>
            <w:r>
              <w:rPr>
                <w:rFonts w:ascii="Arial" w:cs="Arial" w:eastAsia="Arial" w:hAnsi="Arial"/>
                <w:sz w:val="16"/>
                <w:szCs w:val="16"/>
                <w:color w:val="auto"/>
                <w:w w:val="89"/>
              </w:rPr>
              <w:t>$</w:t>
            </w:r>
          </w:p>
        </w:tc>
        <w:tc>
          <w:tcPr>
            <w:tcW w:w="4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17"/>
        </w:trPr>
        <w:tc>
          <w:tcPr>
            <w:tcW w:w="20" w:type="dxa"/>
            <w:vAlign w:val="bottom"/>
            <w:shd w:val="clear" w:color="auto" w:fill="CCEEFF"/>
          </w:tcPr>
          <w:p>
            <w:pPr>
              <w:spacing w:after="0"/>
              <w:rPr>
                <w:sz w:val="18"/>
                <w:szCs w:val="18"/>
                <w:color w:val="auto"/>
              </w:rPr>
            </w:pPr>
          </w:p>
        </w:tc>
        <w:tc>
          <w:tcPr>
            <w:tcW w:w="61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Liabilities of managed investment entities</w:t>
            </w:r>
          </w:p>
        </w:tc>
        <w:tc>
          <w:tcPr>
            <w:tcW w:w="8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163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3,676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3,854</w:t>
            </w:r>
          </w:p>
        </w:tc>
      </w:tr>
      <w:tr>
        <w:trPr>
          <w:trHeight w:val="215"/>
        </w:trPr>
        <w:tc>
          <w:tcPr>
            <w:tcW w:w="20" w:type="dxa"/>
            <w:vAlign w:val="bottom"/>
          </w:tcPr>
          <w:p>
            <w:pPr>
              <w:spacing w:after="0"/>
              <w:rPr>
                <w:sz w:val="18"/>
                <w:szCs w:val="18"/>
                <w:color w:val="auto"/>
              </w:rPr>
            </w:pPr>
          </w:p>
        </w:tc>
        <w:tc>
          <w:tcPr>
            <w:tcW w:w="6140" w:type="dxa"/>
            <w:vAlign w:val="bottom"/>
            <w:gridSpan w:val="3"/>
          </w:tcPr>
          <w:p>
            <w:pPr>
              <w:spacing w:after="0"/>
              <w:rPr>
                <w:sz w:val="20"/>
                <w:szCs w:val="20"/>
                <w:color w:val="auto"/>
              </w:rPr>
            </w:pPr>
            <w:r>
              <w:rPr>
                <w:rFonts w:ascii="Arial" w:cs="Arial" w:eastAsia="Arial" w:hAnsi="Arial"/>
                <w:sz w:val="16"/>
                <w:szCs w:val="16"/>
                <w:color w:val="auto"/>
              </w:rPr>
              <w:t>Other liabilities — derivatives</w:t>
            </w:r>
          </w:p>
        </w:tc>
        <w:tc>
          <w:tcPr>
            <w:tcW w:w="84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35"/>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6140" w:type="dxa"/>
            <w:vAlign w:val="bottom"/>
            <w:tcBorders>
              <w:top w:val="single" w:sz="8" w:color="CCEEFF"/>
              <w:bottom w:val="single" w:sz="8" w:color="CCEEFF"/>
            </w:tcBorders>
            <w:gridSpan w:val="3"/>
            <w:shd w:val="clear" w:color="auto" w:fill="CCEEFF"/>
          </w:tcPr>
          <w:p>
            <w:pPr>
              <w:ind w:left="340"/>
              <w:spacing w:after="0"/>
              <w:rPr>
                <w:sz w:val="20"/>
                <w:szCs w:val="20"/>
                <w:color w:val="auto"/>
              </w:rPr>
            </w:pPr>
            <w:r>
              <w:rPr>
                <w:rFonts w:ascii="Arial" w:cs="Arial" w:eastAsia="Arial" w:hAnsi="Arial"/>
                <w:sz w:val="16"/>
                <w:szCs w:val="16"/>
                <w:color w:val="auto"/>
              </w:rPr>
              <w:t>Total liabilities accounted for at fair value</w:t>
            </w:r>
          </w:p>
        </w:tc>
        <w:tc>
          <w:tcPr>
            <w:tcW w:w="840" w:type="dxa"/>
            <w:vAlign w:val="bottom"/>
            <w:tcBorders>
              <w:top w:val="single" w:sz="8" w:color="auto"/>
              <w:bottom w:val="single" w:sz="8" w:color="auto"/>
            </w:tcBorders>
            <w:shd w:val="clear" w:color="auto" w:fill="CCEEFF"/>
          </w:tcPr>
          <w:p>
            <w:pPr>
              <w:jc w:val="right"/>
              <w:ind w:right="660"/>
              <w:spacing w:after="0"/>
              <w:rPr>
                <w:sz w:val="20"/>
                <w:szCs w:val="20"/>
                <w:color w:val="auto"/>
              </w:rPr>
            </w:pPr>
            <w:r>
              <w:rPr>
                <w:rFonts w:ascii="Arial" w:cs="Arial" w:eastAsia="Arial" w:hAnsi="Arial"/>
                <w:sz w:val="16"/>
                <w:szCs w:val="16"/>
                <w:color w:val="auto"/>
                <w:w w:val="89"/>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7"/>
              </w:rPr>
              <w:t>163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3,687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3,868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46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96"/>
        </w:trPr>
        <w:tc>
          <w:tcPr>
            <w:tcW w:w="20" w:type="dxa"/>
            <w:vAlign w:val="bottom"/>
            <w:shd w:val="clear" w:color="auto" w:fill="CCEEFF"/>
          </w:tcPr>
          <w:p>
            <w:pPr>
              <w:spacing w:after="0"/>
              <w:rPr>
                <w:sz w:val="17"/>
                <w:szCs w:val="17"/>
                <w:color w:val="auto"/>
              </w:rPr>
            </w:pPr>
          </w:p>
        </w:tc>
        <w:tc>
          <w:tcPr>
            <w:tcW w:w="6140" w:type="dxa"/>
            <w:vAlign w:val="bottom"/>
            <w:gridSpan w:val="3"/>
            <w:shd w:val="clear" w:color="auto" w:fill="CCEEFF"/>
          </w:tcPr>
          <w:p>
            <w:pPr>
              <w:spacing w:after="0" w:line="175" w:lineRule="exact"/>
              <w:rPr>
                <w:sz w:val="20"/>
                <w:szCs w:val="20"/>
                <w:color w:val="auto"/>
              </w:rPr>
            </w:pPr>
            <w:r>
              <w:rPr>
                <w:rFonts w:ascii="Arial" w:cs="Arial" w:eastAsia="Arial" w:hAnsi="Arial"/>
                <w:sz w:val="16"/>
                <w:szCs w:val="16"/>
                <w:b w:val="1"/>
                <w:bCs w:val="1"/>
                <w:color w:val="auto"/>
              </w:rPr>
              <w:t>December 31, 2025</w:t>
            </w:r>
          </w:p>
        </w:tc>
        <w:tc>
          <w:tcPr>
            <w:tcW w:w="8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16"/>
        </w:trPr>
        <w:tc>
          <w:tcPr>
            <w:tcW w:w="20" w:type="dxa"/>
            <w:vAlign w:val="bottom"/>
            <w:tcBorders>
              <w:top w:val="single" w:sz="8" w:color="CCEEFF"/>
            </w:tcBorders>
          </w:tcPr>
          <w:p>
            <w:pPr>
              <w:spacing w:after="0"/>
              <w:rPr>
                <w:sz w:val="18"/>
                <w:szCs w:val="18"/>
                <w:color w:val="auto"/>
              </w:rPr>
            </w:pPr>
          </w:p>
        </w:tc>
        <w:tc>
          <w:tcPr>
            <w:tcW w:w="1460" w:type="dxa"/>
            <w:vAlign w:val="bottom"/>
            <w:tcBorders>
              <w:top w:val="single" w:sz="8" w:color="auto"/>
            </w:tcBorders>
            <w:gridSpan w:val="2"/>
          </w:tcPr>
          <w:p>
            <w:pPr>
              <w:spacing w:after="0"/>
              <w:rPr>
                <w:sz w:val="20"/>
                <w:szCs w:val="20"/>
                <w:color w:val="auto"/>
              </w:rPr>
            </w:pPr>
            <w:r>
              <w:rPr>
                <w:rFonts w:ascii="Arial" w:cs="Arial" w:eastAsia="Arial" w:hAnsi="Arial"/>
                <w:sz w:val="16"/>
                <w:szCs w:val="16"/>
                <w:b w:val="1"/>
                <w:bCs w:val="1"/>
                <w:color w:val="auto"/>
              </w:rPr>
              <w:t>Assets:</w:t>
            </w:r>
          </w:p>
        </w:tc>
        <w:tc>
          <w:tcPr>
            <w:tcW w:w="468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61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Available for sale fixed maturities:</w:t>
            </w:r>
          </w:p>
        </w:tc>
        <w:tc>
          <w:tcPr>
            <w:tcW w:w="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6140" w:type="dxa"/>
            <w:vAlign w:val="bottom"/>
            <w:gridSpan w:val="3"/>
          </w:tcPr>
          <w:p>
            <w:pPr>
              <w:ind w:left="340"/>
              <w:spacing w:after="0"/>
              <w:rPr>
                <w:sz w:val="20"/>
                <w:szCs w:val="20"/>
                <w:color w:val="auto"/>
              </w:rPr>
            </w:pPr>
            <w:r>
              <w:rPr>
                <w:rFonts w:ascii="Arial" w:cs="Arial" w:eastAsia="Arial" w:hAnsi="Arial"/>
                <w:sz w:val="16"/>
                <w:szCs w:val="16"/>
                <w:color w:val="auto"/>
              </w:rPr>
              <w:t>U.S. government and government agencies</w:t>
            </w:r>
          </w:p>
        </w:tc>
        <w:tc>
          <w:tcPr>
            <w:tcW w:w="840" w:type="dxa"/>
            <w:vAlign w:val="bottom"/>
          </w:tcPr>
          <w:p>
            <w:pPr>
              <w:jc w:val="right"/>
              <w:ind w:right="660"/>
              <w:spacing w:after="0"/>
              <w:rPr>
                <w:sz w:val="20"/>
                <w:szCs w:val="20"/>
                <w:color w:val="auto"/>
              </w:rPr>
            </w:pPr>
            <w:r>
              <w:rPr>
                <w:rFonts w:ascii="Arial" w:cs="Arial" w:eastAsia="Arial" w:hAnsi="Arial"/>
                <w:sz w:val="16"/>
                <w:szCs w:val="16"/>
                <w:color w:val="auto"/>
                <w:w w:val="89"/>
              </w:rPr>
              <w:t>$</w:t>
            </w:r>
          </w:p>
        </w:tc>
        <w:tc>
          <w:tcPr>
            <w:tcW w:w="360" w:type="dxa"/>
            <w:vAlign w:val="bottom"/>
          </w:tcPr>
          <w:p>
            <w:pPr>
              <w:jc w:val="right"/>
              <w:spacing w:after="0"/>
              <w:rPr>
                <w:sz w:val="20"/>
                <w:szCs w:val="20"/>
                <w:color w:val="auto"/>
              </w:rPr>
            </w:pPr>
            <w:r>
              <w:rPr>
                <w:rFonts w:ascii="Arial" w:cs="Arial" w:eastAsia="Arial" w:hAnsi="Arial"/>
                <w:sz w:val="16"/>
                <w:szCs w:val="16"/>
                <w:color w:val="auto"/>
                <w:w w:val="97"/>
              </w:rPr>
              <w:t>157</w:t>
            </w:r>
          </w:p>
        </w:tc>
        <w:tc>
          <w:tcPr>
            <w:tcW w:w="8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161</w:t>
            </w:r>
          </w:p>
        </w:tc>
      </w:tr>
      <w:tr>
        <w:trPr>
          <w:trHeight w:val="217"/>
        </w:trPr>
        <w:tc>
          <w:tcPr>
            <w:tcW w:w="20" w:type="dxa"/>
            <w:vAlign w:val="bottom"/>
            <w:shd w:val="clear" w:color="auto" w:fill="CCEEFF"/>
          </w:tcPr>
          <w:p>
            <w:pPr>
              <w:spacing w:after="0"/>
              <w:rPr>
                <w:sz w:val="18"/>
                <w:szCs w:val="18"/>
                <w:color w:val="auto"/>
              </w:rPr>
            </w:pPr>
          </w:p>
        </w:tc>
        <w:tc>
          <w:tcPr>
            <w:tcW w:w="614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States, municipalities and political subdivisions</w:t>
            </w:r>
          </w:p>
        </w:tc>
        <w:tc>
          <w:tcPr>
            <w:tcW w:w="8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835</w:t>
            </w:r>
          </w:p>
        </w:tc>
      </w:tr>
      <w:tr>
        <w:trPr>
          <w:trHeight w:val="215"/>
        </w:trPr>
        <w:tc>
          <w:tcPr>
            <w:tcW w:w="20" w:type="dxa"/>
            <w:vAlign w:val="bottom"/>
          </w:tcPr>
          <w:p>
            <w:pPr>
              <w:spacing w:after="0"/>
              <w:rPr>
                <w:sz w:val="18"/>
                <w:szCs w:val="18"/>
                <w:color w:val="auto"/>
              </w:rPr>
            </w:pPr>
          </w:p>
        </w:tc>
        <w:tc>
          <w:tcPr>
            <w:tcW w:w="6140" w:type="dxa"/>
            <w:vAlign w:val="bottom"/>
            <w:gridSpan w:val="3"/>
          </w:tcPr>
          <w:p>
            <w:pPr>
              <w:ind w:left="340"/>
              <w:spacing w:after="0"/>
              <w:rPr>
                <w:sz w:val="20"/>
                <w:szCs w:val="20"/>
                <w:color w:val="auto"/>
              </w:rPr>
            </w:pPr>
            <w:r>
              <w:rPr>
                <w:rFonts w:ascii="Arial" w:cs="Arial" w:eastAsia="Arial" w:hAnsi="Arial"/>
                <w:sz w:val="16"/>
                <w:szCs w:val="16"/>
                <w:color w:val="auto"/>
              </w:rPr>
              <w:t>Foreign government</w:t>
            </w:r>
          </w:p>
        </w:tc>
        <w:tc>
          <w:tcPr>
            <w:tcW w:w="84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238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238</w:t>
            </w:r>
          </w:p>
        </w:tc>
      </w:tr>
      <w:tr>
        <w:trPr>
          <w:trHeight w:val="217"/>
        </w:trPr>
        <w:tc>
          <w:tcPr>
            <w:tcW w:w="20" w:type="dxa"/>
            <w:vAlign w:val="bottom"/>
            <w:shd w:val="clear" w:color="auto" w:fill="CCEEFF"/>
          </w:tcPr>
          <w:p>
            <w:pPr>
              <w:spacing w:after="0"/>
              <w:rPr>
                <w:sz w:val="18"/>
                <w:szCs w:val="18"/>
                <w:color w:val="auto"/>
              </w:rPr>
            </w:pPr>
          </w:p>
        </w:tc>
        <w:tc>
          <w:tcPr>
            <w:tcW w:w="614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Residential MBS</w:t>
            </w:r>
          </w:p>
        </w:tc>
        <w:tc>
          <w:tcPr>
            <w:tcW w:w="8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2,747</w:t>
            </w:r>
          </w:p>
        </w:tc>
      </w:tr>
      <w:tr>
        <w:trPr>
          <w:trHeight w:val="215"/>
        </w:trPr>
        <w:tc>
          <w:tcPr>
            <w:tcW w:w="20" w:type="dxa"/>
            <w:vAlign w:val="bottom"/>
          </w:tcPr>
          <w:p>
            <w:pPr>
              <w:spacing w:after="0"/>
              <w:rPr>
                <w:sz w:val="18"/>
                <w:szCs w:val="18"/>
                <w:color w:val="auto"/>
              </w:rPr>
            </w:pPr>
          </w:p>
        </w:tc>
        <w:tc>
          <w:tcPr>
            <w:tcW w:w="6140" w:type="dxa"/>
            <w:vAlign w:val="bottom"/>
            <w:gridSpan w:val="3"/>
          </w:tcPr>
          <w:p>
            <w:pPr>
              <w:ind w:left="340"/>
              <w:spacing w:after="0"/>
              <w:rPr>
                <w:sz w:val="20"/>
                <w:szCs w:val="20"/>
                <w:color w:val="auto"/>
              </w:rPr>
            </w:pPr>
            <w:r>
              <w:rPr>
                <w:rFonts w:ascii="Arial" w:cs="Arial" w:eastAsia="Arial" w:hAnsi="Arial"/>
                <w:sz w:val="16"/>
                <w:szCs w:val="16"/>
                <w:color w:val="auto"/>
              </w:rPr>
              <w:t>Collateralized loan obligations</w:t>
            </w:r>
          </w:p>
        </w:tc>
        <w:tc>
          <w:tcPr>
            <w:tcW w:w="84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1,160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1,160</w:t>
            </w:r>
          </w:p>
        </w:tc>
      </w:tr>
      <w:tr>
        <w:trPr>
          <w:trHeight w:val="217"/>
        </w:trPr>
        <w:tc>
          <w:tcPr>
            <w:tcW w:w="20" w:type="dxa"/>
            <w:vAlign w:val="bottom"/>
            <w:shd w:val="clear" w:color="auto" w:fill="CCEEFF"/>
          </w:tcPr>
          <w:p>
            <w:pPr>
              <w:spacing w:after="0"/>
              <w:rPr>
                <w:sz w:val="18"/>
                <w:szCs w:val="18"/>
                <w:color w:val="auto"/>
              </w:rPr>
            </w:pPr>
          </w:p>
        </w:tc>
        <w:tc>
          <w:tcPr>
            <w:tcW w:w="614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Other asset-backed securities</w:t>
            </w:r>
          </w:p>
        </w:tc>
        <w:tc>
          <w:tcPr>
            <w:tcW w:w="8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2,525</w:t>
            </w:r>
          </w:p>
        </w:tc>
      </w:tr>
      <w:tr>
        <w:trPr>
          <w:trHeight w:val="215"/>
        </w:trPr>
        <w:tc>
          <w:tcPr>
            <w:tcW w:w="20" w:type="dxa"/>
            <w:vAlign w:val="bottom"/>
            <w:tcBorders>
              <w:bottom w:val="single" w:sz="8" w:color="CCEEFF"/>
            </w:tcBorders>
          </w:tcPr>
          <w:p>
            <w:pPr>
              <w:spacing w:after="0"/>
              <w:rPr>
                <w:sz w:val="18"/>
                <w:szCs w:val="18"/>
                <w:color w:val="auto"/>
              </w:rPr>
            </w:pPr>
          </w:p>
        </w:tc>
        <w:tc>
          <w:tcPr>
            <w:tcW w:w="6140" w:type="dxa"/>
            <w:vAlign w:val="bottom"/>
            <w:tcBorders>
              <w:bottom w:val="single" w:sz="8" w:color="CCEEFF"/>
            </w:tcBorders>
            <w:gridSpan w:val="3"/>
          </w:tcPr>
          <w:p>
            <w:pPr>
              <w:ind w:left="340"/>
              <w:spacing w:after="0"/>
              <w:rPr>
                <w:sz w:val="20"/>
                <w:szCs w:val="20"/>
                <w:color w:val="auto"/>
              </w:rPr>
            </w:pPr>
            <w:r>
              <w:rPr>
                <w:rFonts w:ascii="Arial" w:cs="Arial" w:eastAsia="Arial" w:hAnsi="Arial"/>
                <w:sz w:val="16"/>
                <w:szCs w:val="16"/>
                <w:color w:val="auto"/>
              </w:rPr>
              <w:t>Corporate and other</w:t>
            </w:r>
          </w:p>
        </w:tc>
        <w:tc>
          <w:tcPr>
            <w:tcW w:w="8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2,990</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3,386</w:t>
            </w:r>
          </w:p>
        </w:tc>
      </w:tr>
      <w:tr>
        <w:trPr>
          <w:trHeight w:val="210"/>
        </w:trPr>
        <w:tc>
          <w:tcPr>
            <w:tcW w:w="20" w:type="dxa"/>
            <w:vAlign w:val="bottom"/>
            <w:shd w:val="clear" w:color="auto" w:fill="CCEEFF"/>
          </w:tcPr>
          <w:p>
            <w:pPr>
              <w:spacing w:after="0"/>
              <w:rPr>
                <w:sz w:val="18"/>
                <w:szCs w:val="18"/>
                <w:color w:val="auto"/>
              </w:rPr>
            </w:pPr>
          </w:p>
        </w:tc>
        <w:tc>
          <w:tcPr>
            <w:tcW w:w="6140" w:type="dxa"/>
            <w:vAlign w:val="bottom"/>
            <w:gridSpan w:val="3"/>
            <w:shd w:val="clear" w:color="auto" w:fill="CCEEFF"/>
          </w:tcPr>
          <w:p>
            <w:pPr>
              <w:ind w:left="820"/>
              <w:spacing w:after="0"/>
              <w:rPr>
                <w:sz w:val="20"/>
                <w:szCs w:val="20"/>
                <w:color w:val="auto"/>
              </w:rPr>
            </w:pPr>
            <w:r>
              <w:rPr>
                <w:rFonts w:ascii="Arial" w:cs="Arial" w:eastAsia="Arial" w:hAnsi="Arial"/>
                <w:sz w:val="16"/>
                <w:szCs w:val="16"/>
                <w:color w:val="auto"/>
              </w:rPr>
              <w:t>Total AFS fixed maturities</w:t>
            </w:r>
          </w:p>
        </w:tc>
        <w:tc>
          <w:tcPr>
            <w:tcW w:w="8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158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10,182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11,052</w:t>
            </w:r>
          </w:p>
        </w:tc>
      </w:tr>
      <w:tr>
        <w:trPr>
          <w:trHeight w:val="215"/>
        </w:trPr>
        <w:tc>
          <w:tcPr>
            <w:tcW w:w="20" w:type="dxa"/>
            <w:vAlign w:val="bottom"/>
          </w:tcPr>
          <w:p>
            <w:pPr>
              <w:spacing w:after="0"/>
              <w:rPr>
                <w:sz w:val="18"/>
                <w:szCs w:val="18"/>
                <w:color w:val="auto"/>
              </w:rPr>
            </w:pPr>
          </w:p>
        </w:tc>
        <w:tc>
          <w:tcPr>
            <w:tcW w:w="6140" w:type="dxa"/>
            <w:vAlign w:val="bottom"/>
            <w:gridSpan w:val="3"/>
          </w:tcPr>
          <w:p>
            <w:pPr>
              <w:spacing w:after="0"/>
              <w:rPr>
                <w:sz w:val="20"/>
                <w:szCs w:val="20"/>
                <w:color w:val="auto"/>
              </w:rPr>
            </w:pPr>
            <w:r>
              <w:rPr>
                <w:rFonts w:ascii="Arial" w:cs="Arial" w:eastAsia="Arial" w:hAnsi="Arial"/>
                <w:sz w:val="16"/>
                <w:szCs w:val="16"/>
                <w:color w:val="auto"/>
              </w:rPr>
              <w:t>Trading fixed maturities</w:t>
            </w:r>
          </w:p>
        </w:tc>
        <w:tc>
          <w:tcPr>
            <w:tcW w:w="84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91</w:t>
            </w:r>
          </w:p>
        </w:tc>
      </w:tr>
      <w:tr>
        <w:trPr>
          <w:trHeight w:val="217"/>
        </w:trPr>
        <w:tc>
          <w:tcPr>
            <w:tcW w:w="20" w:type="dxa"/>
            <w:vAlign w:val="bottom"/>
            <w:shd w:val="clear" w:color="auto" w:fill="CCEEFF"/>
          </w:tcPr>
          <w:p>
            <w:pPr>
              <w:spacing w:after="0"/>
              <w:rPr>
                <w:sz w:val="18"/>
                <w:szCs w:val="18"/>
                <w:color w:val="auto"/>
              </w:rPr>
            </w:pPr>
          </w:p>
        </w:tc>
        <w:tc>
          <w:tcPr>
            <w:tcW w:w="61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Equity securities</w:t>
            </w:r>
          </w:p>
        </w:tc>
        <w:tc>
          <w:tcPr>
            <w:tcW w:w="8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478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785</w:t>
            </w:r>
          </w:p>
        </w:tc>
      </w:tr>
      <w:tr>
        <w:trPr>
          <w:trHeight w:val="215"/>
        </w:trPr>
        <w:tc>
          <w:tcPr>
            <w:tcW w:w="20" w:type="dxa"/>
            <w:vAlign w:val="bottom"/>
          </w:tcPr>
          <w:p>
            <w:pPr>
              <w:spacing w:after="0"/>
              <w:rPr>
                <w:sz w:val="18"/>
                <w:szCs w:val="18"/>
                <w:color w:val="auto"/>
              </w:rPr>
            </w:pPr>
          </w:p>
        </w:tc>
        <w:tc>
          <w:tcPr>
            <w:tcW w:w="6140" w:type="dxa"/>
            <w:vAlign w:val="bottom"/>
            <w:gridSpan w:val="3"/>
          </w:tcPr>
          <w:p>
            <w:pPr>
              <w:spacing w:after="0"/>
              <w:rPr>
                <w:sz w:val="20"/>
                <w:szCs w:val="20"/>
                <w:color w:val="auto"/>
              </w:rPr>
            </w:pPr>
            <w:r>
              <w:rPr>
                <w:rFonts w:ascii="Arial" w:cs="Arial" w:eastAsia="Arial" w:hAnsi="Arial"/>
                <w:sz w:val="16"/>
                <w:szCs w:val="16"/>
                <w:color w:val="auto"/>
              </w:rPr>
              <w:t>Assets of managed investment entities</w:t>
            </w:r>
          </w:p>
        </w:tc>
        <w:tc>
          <w:tcPr>
            <w:tcW w:w="8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w w:val="97"/>
              </w:rPr>
              <w:t>310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3,725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4,050</w:t>
            </w:r>
          </w:p>
        </w:tc>
      </w:tr>
      <w:tr>
        <w:trPr>
          <w:trHeight w:val="216"/>
        </w:trPr>
        <w:tc>
          <w:tcPr>
            <w:tcW w:w="20" w:type="dxa"/>
            <w:vAlign w:val="bottom"/>
            <w:shd w:val="clear" w:color="auto" w:fill="CCEEFF"/>
          </w:tcPr>
          <w:p>
            <w:pPr>
              <w:spacing w:after="0"/>
              <w:rPr>
                <w:sz w:val="18"/>
                <w:szCs w:val="18"/>
                <w:color w:val="auto"/>
              </w:rPr>
            </w:pPr>
          </w:p>
        </w:tc>
        <w:tc>
          <w:tcPr>
            <w:tcW w:w="61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Other assets — derivatives</w:t>
            </w:r>
          </w:p>
        </w:tc>
        <w:tc>
          <w:tcPr>
            <w:tcW w:w="8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10"/>
        </w:trPr>
        <w:tc>
          <w:tcPr>
            <w:tcW w:w="20" w:type="dxa"/>
            <w:vAlign w:val="bottom"/>
          </w:tcPr>
          <w:p>
            <w:pPr>
              <w:spacing w:after="0"/>
              <w:rPr>
                <w:sz w:val="18"/>
                <w:szCs w:val="18"/>
                <w:color w:val="auto"/>
              </w:rPr>
            </w:pPr>
          </w:p>
        </w:tc>
        <w:tc>
          <w:tcPr>
            <w:tcW w:w="6140" w:type="dxa"/>
            <w:vAlign w:val="bottom"/>
            <w:gridSpan w:val="3"/>
          </w:tcPr>
          <w:p>
            <w:pPr>
              <w:ind w:left="340"/>
              <w:spacing w:after="0"/>
              <w:rPr>
                <w:sz w:val="20"/>
                <w:szCs w:val="20"/>
                <w:color w:val="auto"/>
              </w:rPr>
            </w:pPr>
            <w:r>
              <w:rPr>
                <w:rFonts w:ascii="Arial" w:cs="Arial" w:eastAsia="Arial" w:hAnsi="Arial"/>
                <w:sz w:val="16"/>
                <w:szCs w:val="16"/>
                <w:color w:val="auto"/>
              </w:rPr>
              <w:t>Total assets accounted for at fair value</w:t>
            </w:r>
          </w:p>
        </w:tc>
        <w:tc>
          <w:tcPr>
            <w:tcW w:w="840" w:type="dxa"/>
            <w:vAlign w:val="bottom"/>
            <w:tcBorders>
              <w:top w:val="single" w:sz="8" w:color="auto"/>
              <w:bottom w:val="single" w:sz="8" w:color="auto"/>
            </w:tcBorders>
          </w:tcPr>
          <w:p>
            <w:pPr>
              <w:jc w:val="right"/>
              <w:ind w:right="660"/>
              <w:spacing w:after="0"/>
              <w:rPr>
                <w:sz w:val="20"/>
                <w:szCs w:val="20"/>
                <w:color w:val="auto"/>
              </w:rPr>
            </w:pPr>
            <w:r>
              <w:rPr>
                <w:rFonts w:ascii="Arial" w:cs="Arial" w:eastAsia="Arial" w:hAnsi="Arial"/>
                <w:sz w:val="16"/>
                <w:szCs w:val="16"/>
                <w:color w:val="auto"/>
                <w:w w:val="8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7"/>
              </w:rPr>
              <w:t>946</w:t>
            </w: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14,025</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1,008</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15,979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46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614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Liabilities:</w:t>
            </w:r>
          </w:p>
        </w:tc>
        <w:tc>
          <w:tcPr>
            <w:tcW w:w="8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215"/>
        </w:trPr>
        <w:tc>
          <w:tcPr>
            <w:tcW w:w="20" w:type="dxa"/>
            <w:vAlign w:val="bottom"/>
          </w:tcPr>
          <w:p>
            <w:pPr>
              <w:spacing w:after="0"/>
              <w:rPr>
                <w:sz w:val="18"/>
                <w:szCs w:val="18"/>
                <w:color w:val="auto"/>
              </w:rPr>
            </w:pPr>
          </w:p>
        </w:tc>
        <w:tc>
          <w:tcPr>
            <w:tcW w:w="6140" w:type="dxa"/>
            <w:vAlign w:val="bottom"/>
            <w:gridSpan w:val="3"/>
          </w:tcPr>
          <w:p>
            <w:pPr>
              <w:spacing w:after="0"/>
              <w:rPr>
                <w:sz w:val="20"/>
                <w:szCs w:val="20"/>
                <w:color w:val="auto"/>
              </w:rPr>
            </w:pPr>
            <w:r>
              <w:rPr>
                <w:rFonts w:ascii="Arial" w:cs="Arial" w:eastAsia="Arial" w:hAnsi="Arial"/>
                <w:sz w:val="16"/>
                <w:szCs w:val="16"/>
                <w:color w:val="auto"/>
              </w:rPr>
              <w:t>Contingent consideration — acquisitions</w:t>
            </w:r>
          </w:p>
        </w:tc>
        <w:tc>
          <w:tcPr>
            <w:tcW w:w="840" w:type="dxa"/>
            <w:vAlign w:val="bottom"/>
          </w:tcPr>
          <w:p>
            <w:pPr>
              <w:jc w:val="right"/>
              <w:ind w:right="660"/>
              <w:spacing w:after="0"/>
              <w:rPr>
                <w:sz w:val="20"/>
                <w:szCs w:val="20"/>
                <w:color w:val="auto"/>
              </w:rPr>
            </w:pPr>
            <w:r>
              <w:rPr>
                <w:rFonts w:ascii="Arial" w:cs="Arial" w:eastAsia="Arial" w:hAnsi="Arial"/>
                <w:sz w:val="16"/>
                <w:szCs w:val="16"/>
                <w:color w:val="auto"/>
                <w:w w:val="89"/>
              </w:rPr>
              <w:t>$</w:t>
            </w:r>
          </w:p>
        </w:tc>
        <w:tc>
          <w:tcPr>
            <w:tcW w:w="4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17"/>
        </w:trPr>
        <w:tc>
          <w:tcPr>
            <w:tcW w:w="20" w:type="dxa"/>
            <w:vAlign w:val="bottom"/>
            <w:shd w:val="clear" w:color="auto" w:fill="CCEEFF"/>
          </w:tcPr>
          <w:p>
            <w:pPr>
              <w:spacing w:after="0"/>
              <w:rPr>
                <w:sz w:val="18"/>
                <w:szCs w:val="18"/>
                <w:color w:val="auto"/>
              </w:rPr>
            </w:pPr>
          </w:p>
        </w:tc>
        <w:tc>
          <w:tcPr>
            <w:tcW w:w="61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Liabilities of managed investment entities</w:t>
            </w:r>
          </w:p>
        </w:tc>
        <w:tc>
          <w:tcPr>
            <w:tcW w:w="8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298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3,907</w:t>
            </w:r>
          </w:p>
        </w:tc>
      </w:tr>
      <w:tr>
        <w:trPr>
          <w:trHeight w:val="215"/>
        </w:trPr>
        <w:tc>
          <w:tcPr>
            <w:tcW w:w="20" w:type="dxa"/>
            <w:vAlign w:val="bottom"/>
          </w:tcPr>
          <w:p>
            <w:pPr>
              <w:spacing w:after="0"/>
              <w:rPr>
                <w:sz w:val="18"/>
                <w:szCs w:val="18"/>
                <w:color w:val="auto"/>
              </w:rPr>
            </w:pPr>
          </w:p>
        </w:tc>
        <w:tc>
          <w:tcPr>
            <w:tcW w:w="6140" w:type="dxa"/>
            <w:vAlign w:val="bottom"/>
            <w:gridSpan w:val="3"/>
          </w:tcPr>
          <w:p>
            <w:pPr>
              <w:spacing w:after="0"/>
              <w:rPr>
                <w:sz w:val="20"/>
                <w:szCs w:val="20"/>
                <w:color w:val="auto"/>
              </w:rPr>
            </w:pPr>
            <w:r>
              <w:rPr>
                <w:rFonts w:ascii="Arial" w:cs="Arial" w:eastAsia="Arial" w:hAnsi="Arial"/>
                <w:sz w:val="16"/>
                <w:szCs w:val="16"/>
                <w:color w:val="auto"/>
              </w:rPr>
              <w:t>Other liabilities — derivatives</w:t>
            </w:r>
          </w:p>
        </w:tc>
        <w:tc>
          <w:tcPr>
            <w:tcW w:w="84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35"/>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6140" w:type="dxa"/>
            <w:vAlign w:val="bottom"/>
            <w:tcBorders>
              <w:top w:val="single" w:sz="8" w:color="CCEEFF"/>
              <w:bottom w:val="single" w:sz="8" w:color="CCEEFF"/>
            </w:tcBorders>
            <w:gridSpan w:val="3"/>
            <w:shd w:val="clear" w:color="auto" w:fill="CCEEFF"/>
          </w:tcPr>
          <w:p>
            <w:pPr>
              <w:ind w:left="340"/>
              <w:spacing w:after="0"/>
              <w:rPr>
                <w:sz w:val="20"/>
                <w:szCs w:val="20"/>
                <w:color w:val="auto"/>
              </w:rPr>
            </w:pPr>
            <w:r>
              <w:rPr>
                <w:rFonts w:ascii="Arial" w:cs="Arial" w:eastAsia="Arial" w:hAnsi="Arial"/>
                <w:sz w:val="16"/>
                <w:szCs w:val="16"/>
                <w:color w:val="auto"/>
              </w:rPr>
              <w:t>Total liabilities accounted for at fair value</w:t>
            </w:r>
          </w:p>
        </w:tc>
        <w:tc>
          <w:tcPr>
            <w:tcW w:w="840" w:type="dxa"/>
            <w:vAlign w:val="bottom"/>
            <w:tcBorders>
              <w:top w:val="single" w:sz="8" w:color="auto"/>
              <w:bottom w:val="single" w:sz="8" w:color="auto"/>
            </w:tcBorders>
            <w:shd w:val="clear" w:color="auto" w:fill="CCEEFF"/>
          </w:tcPr>
          <w:p>
            <w:pPr>
              <w:jc w:val="right"/>
              <w:ind w:right="660"/>
              <w:spacing w:after="0"/>
              <w:rPr>
                <w:sz w:val="20"/>
                <w:szCs w:val="20"/>
                <w:color w:val="auto"/>
              </w:rPr>
            </w:pPr>
            <w:r>
              <w:rPr>
                <w:rFonts w:ascii="Arial" w:cs="Arial" w:eastAsia="Arial" w:hAnsi="Arial"/>
                <w:sz w:val="16"/>
                <w:szCs w:val="16"/>
                <w:color w:val="auto"/>
                <w:w w:val="89"/>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7"/>
              </w:rPr>
              <w:t>298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3,597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3,913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46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383"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Approximately 6% of the total assets carried at fair value at March 31, 2026, were Level 3 assets. Internally developed prices for fixed maturities are estimated using a variety of inputs, including appropriate credit spreads over the treasury yield (of a similar duration), trade information and prices of comparable securities and other security specific features (such as optional early redemption). Internally developed Level 3 asset fair values represent approximately 88% ($894 million) of the total fair value of Level 3 assets at March 31, 2026. Approximately 68% ($612 million) of these internally developed Level 3 assets are priced using a pricing model that uses a discounted cash flow approach to estimate the fair value of fixed maturity securities. The credit spread applied by management is the significant unobservable input of the pricing model. In instances where the security is currently callable at par value and the pricing</w:t>
      </w:r>
    </w:p>
    <w:p>
      <w:pPr>
        <w:sectPr>
          <w:pgSz w:w="11900" w:h="16838" w:orient="portrait"/>
          <w:cols w:equalWidth="0" w:num="1">
            <w:col w:w="11240"/>
          </w:cols>
          <w:pgMar w:left="320" w:top="116" w:right="339" w:bottom="1440" w:gutter="0" w:footer="0" w:header="0"/>
        </w:sect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16" w:name="page17"/>
    <w:bookmarkEnd w:id="16"/>
    <w:p>
      <w:pPr>
        <w:ind w:left="40"/>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278" w:lineRule="exact"/>
        <w:rPr>
          <w:sz w:val="20"/>
          <w:szCs w:val="20"/>
          <w:color w:val="auto"/>
        </w:rPr>
      </w:pPr>
    </w:p>
    <w:p>
      <w:pPr>
        <w:ind w:left="40"/>
        <w:spacing w:after="0"/>
        <w:rPr>
          <w:sz w:val="20"/>
          <w:szCs w:val="20"/>
          <w:color w:val="auto"/>
        </w:rPr>
      </w:pPr>
      <w:r>
        <w:rPr>
          <w:rFonts w:ascii="Arial" w:cs="Arial" w:eastAsia="Arial" w:hAnsi="Arial"/>
          <w:sz w:val="17"/>
          <w:szCs w:val="17"/>
          <w:color w:val="auto"/>
        </w:rPr>
        <w:t>model suggests a higher price, management caps the fair value at par value. The remainder of the internally developed Level 3 investments</w:t>
      </w:r>
    </w:p>
    <w:p>
      <w:pPr>
        <w:spacing w:after="0" w:line="23" w:lineRule="exact"/>
        <w:rPr>
          <w:sz w:val="20"/>
          <w:szCs w:val="20"/>
          <w:color w:val="auto"/>
        </w:rPr>
      </w:pPr>
    </w:p>
    <w:p>
      <w:pPr>
        <w:jc w:val="both"/>
        <w:ind w:left="40" w:right="140"/>
        <w:spacing w:after="0" w:line="265" w:lineRule="auto"/>
        <w:rPr>
          <w:sz w:val="20"/>
          <w:szCs w:val="20"/>
          <w:color w:val="auto"/>
        </w:rPr>
      </w:pPr>
      <w:r>
        <w:rPr>
          <w:rFonts w:ascii="Arial" w:cs="Arial" w:eastAsia="Arial" w:hAnsi="Arial"/>
          <w:sz w:val="17"/>
          <w:szCs w:val="17"/>
          <w:color w:val="auto"/>
        </w:rPr>
        <w:t>($282 million) are priced using internal models or inputs from third parties that are not market observable. Management believes that any justifiable changes in unobservable inputs used to determine internally developed fair values would not have resulted in a material change in AFG’s financial position.</w:t>
      </w:r>
    </w:p>
    <w:p>
      <w:pPr>
        <w:spacing w:after="0" w:line="200" w:lineRule="exact"/>
        <w:rPr>
          <w:sz w:val="20"/>
          <w:szCs w:val="20"/>
          <w:color w:val="auto"/>
        </w:rPr>
      </w:pPr>
    </w:p>
    <w:p>
      <w:pPr>
        <w:jc w:val="both"/>
        <w:ind w:left="40" w:right="260"/>
        <w:spacing w:after="0" w:line="266" w:lineRule="auto"/>
        <w:rPr>
          <w:sz w:val="20"/>
          <w:szCs w:val="20"/>
          <w:color w:val="auto"/>
        </w:rPr>
      </w:pPr>
      <w:r>
        <w:rPr>
          <w:rFonts w:ascii="Arial" w:cs="Arial" w:eastAsia="Arial" w:hAnsi="Arial"/>
          <w:sz w:val="17"/>
          <w:szCs w:val="17"/>
          <w:color w:val="auto"/>
        </w:rPr>
        <w:t>Approximately 9% ($92 million) of the Level 3 assets were investments whose prices were determined based on financial information provided by third party asset managers. Approximately 3% ($29 million) of Level 3 assets were priced using non-binding broker quotes or pricing services, for which there is a lack of transparency as to the inputs used to determine fair value.</w:t>
      </w:r>
    </w:p>
    <w:p>
      <w:pPr>
        <w:spacing w:after="0" w:line="201" w:lineRule="exact"/>
        <w:rPr>
          <w:sz w:val="20"/>
          <w:szCs w:val="20"/>
          <w:color w:val="auto"/>
        </w:rPr>
      </w:pPr>
    </w:p>
    <w:p>
      <w:pPr>
        <w:ind w:left="40" w:right="440"/>
        <w:spacing w:after="0" w:line="274" w:lineRule="auto"/>
        <w:rPr>
          <w:sz w:val="20"/>
          <w:szCs w:val="20"/>
          <w:color w:val="auto"/>
        </w:rPr>
      </w:pPr>
      <w:r>
        <w:rPr>
          <w:rFonts w:ascii="Arial" w:cs="Arial" w:eastAsia="Arial" w:hAnsi="Arial"/>
          <w:sz w:val="17"/>
          <w:szCs w:val="17"/>
          <w:color w:val="auto"/>
        </w:rPr>
        <w:t>Changes in balances of Level 3 financial assets and liabilities carried at fair value during the first three months of 2026 and 2025 are presented below (in millions). The transfers into and out of Level 3 were due to changes in the availability of market observable inputs. All transfers are reflected in the table at fair value as of the end of the reporting period.</w:t>
      </w:r>
    </w:p>
    <w:p>
      <w:pPr>
        <w:spacing w:after="0" w:line="34" w:lineRule="exact"/>
        <w:rPr>
          <w:sz w:val="20"/>
          <w:szCs w:val="20"/>
          <w:color w:val="auto"/>
        </w:rPr>
      </w:pPr>
    </w:p>
    <w:p>
      <w:pPr>
        <w:ind w:left="4640"/>
        <w:spacing w:after="0"/>
        <w:rPr>
          <w:sz w:val="20"/>
          <w:szCs w:val="20"/>
          <w:color w:val="auto"/>
        </w:rPr>
      </w:pPr>
      <w:r>
        <w:rPr>
          <w:rFonts w:ascii="Arial" w:cs="Arial" w:eastAsia="Arial" w:hAnsi="Arial"/>
          <w:sz w:val="13"/>
          <w:szCs w:val="13"/>
          <w:color w:val="auto"/>
        </w:rPr>
        <w:t>Total realized/unrealized</w:t>
      </w:r>
    </w:p>
    <w:p>
      <w:pPr>
        <w:ind w:left="4620"/>
        <w:spacing w:after="0"/>
        <w:rPr>
          <w:sz w:val="20"/>
          <w:szCs w:val="20"/>
          <w:color w:val="auto"/>
        </w:rPr>
      </w:pPr>
      <w:r>
        <w:rPr>
          <w:rFonts w:ascii="Arial" w:cs="Arial" w:eastAsia="Arial" w:hAnsi="Arial"/>
          <w:sz w:val="13"/>
          <w:szCs w:val="13"/>
          <w:color w:val="auto"/>
        </w:rPr>
        <w:t>gains (losses) included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2739390</wp:posOffset>
            </wp:positionH>
            <wp:positionV relativeFrom="paragraph">
              <wp:posOffset>20320</wp:posOffset>
            </wp:positionV>
            <wp:extent cx="128587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3"/>
          </w:tcPr>
          <w:p>
            <w:pPr>
              <w:jc w:val="center"/>
              <w:ind w:right="240"/>
              <w:spacing w:after="0"/>
              <w:rPr>
                <w:sz w:val="20"/>
                <w:szCs w:val="20"/>
                <w:color w:val="auto"/>
              </w:rPr>
            </w:pPr>
            <w:r>
              <w:rPr>
                <w:rFonts w:ascii="Arial" w:cs="Arial" w:eastAsia="Arial" w:hAnsi="Arial"/>
                <w:sz w:val="13"/>
                <w:szCs w:val="13"/>
                <w:color w:val="auto"/>
                <w:w w:val="97"/>
              </w:rPr>
              <w:t>Balance at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3"/>
            <w:vMerge w:val="restart"/>
          </w:tcPr>
          <w:p>
            <w:pPr>
              <w:jc w:val="center"/>
              <w:ind w:right="260"/>
              <w:spacing w:after="0"/>
              <w:rPr>
                <w:sz w:val="20"/>
                <w:szCs w:val="20"/>
                <w:color w:val="auto"/>
              </w:rPr>
            </w:pPr>
            <w:r>
              <w:rPr>
                <w:rFonts w:ascii="Arial" w:cs="Arial" w:eastAsia="Arial" w:hAnsi="Arial"/>
                <w:sz w:val="13"/>
                <w:szCs w:val="13"/>
                <w:color w:val="auto"/>
                <w:w w:val="98"/>
              </w:rPr>
              <w:t>Net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3"/>
          </w:tcPr>
          <w:p>
            <w:pPr>
              <w:jc w:val="center"/>
              <w:ind w:right="260"/>
              <w:spacing w:after="0"/>
              <w:rPr>
                <w:sz w:val="20"/>
                <w:szCs w:val="20"/>
                <w:color w:val="auto"/>
              </w:rPr>
            </w:pPr>
            <w:r>
              <w:rPr>
                <w:rFonts w:ascii="Arial" w:cs="Arial" w:eastAsia="Arial" w:hAnsi="Arial"/>
                <w:sz w:val="13"/>
                <w:szCs w:val="13"/>
                <w:color w:val="auto"/>
                <w:w w:val="98"/>
              </w:rPr>
              <w:t>Other</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3"/>
          </w:tcPr>
          <w:p>
            <w:pPr>
              <w:jc w:val="center"/>
              <w:ind w:right="240"/>
              <w:spacing w:after="0"/>
              <w:rPr>
                <w:sz w:val="20"/>
                <w:szCs w:val="20"/>
                <w:color w:val="auto"/>
              </w:rPr>
            </w:pPr>
            <w:r>
              <w:rPr>
                <w:rFonts w:ascii="Arial" w:cs="Arial" w:eastAsia="Arial" w:hAnsi="Arial"/>
                <w:sz w:val="13"/>
                <w:szCs w:val="13"/>
                <w:color w:val="auto"/>
                <w:w w:val="94"/>
              </w:rPr>
              <w:t>Purchases</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3"/>
            <w:vMerge w:val="restart"/>
          </w:tcPr>
          <w:p>
            <w:pPr>
              <w:ind w:left="40"/>
              <w:spacing w:after="0"/>
              <w:rPr>
                <w:sz w:val="20"/>
                <w:szCs w:val="20"/>
                <w:color w:val="auto"/>
              </w:rPr>
            </w:pPr>
            <w:r>
              <w:rPr>
                <w:rFonts w:ascii="Arial" w:cs="Arial" w:eastAsia="Arial" w:hAnsi="Arial"/>
                <w:sz w:val="13"/>
                <w:szCs w:val="13"/>
                <w:color w:val="auto"/>
              </w:rPr>
              <w:t>Sales and</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3"/>
          </w:tcPr>
          <w:p>
            <w:pPr>
              <w:jc w:val="center"/>
              <w:ind w:right="240"/>
              <w:spacing w:after="0"/>
              <w:rPr>
                <w:sz w:val="20"/>
                <w:szCs w:val="20"/>
                <w:color w:val="auto"/>
              </w:rPr>
            </w:pPr>
            <w:r>
              <w:rPr>
                <w:rFonts w:ascii="Arial" w:cs="Arial" w:eastAsia="Arial" w:hAnsi="Arial"/>
                <w:sz w:val="13"/>
                <w:szCs w:val="13"/>
                <w:color w:val="auto"/>
                <w:w w:val="94"/>
              </w:rPr>
              <w:t>Transfer</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3"/>
          </w:tcPr>
          <w:p>
            <w:pPr>
              <w:spacing w:after="0"/>
              <w:rPr>
                <w:sz w:val="20"/>
                <w:szCs w:val="20"/>
                <w:color w:val="auto"/>
              </w:rPr>
            </w:pPr>
            <w:r>
              <w:rPr>
                <w:rFonts w:ascii="Arial" w:cs="Arial" w:eastAsia="Arial" w:hAnsi="Arial"/>
                <w:sz w:val="13"/>
                <w:szCs w:val="13"/>
                <w:color w:val="auto"/>
              </w:rPr>
              <w:t>Transfer</w:t>
            </w:r>
          </w:p>
        </w:tc>
        <w:tc>
          <w:tcPr>
            <w:tcW w:w="40" w:type="dxa"/>
            <w:vAlign w:val="bottom"/>
          </w:tcPr>
          <w:p>
            <w:pPr>
              <w:spacing w:after="0"/>
              <w:rPr>
                <w:sz w:val="13"/>
                <w:szCs w:val="13"/>
                <w:color w:val="auto"/>
              </w:rPr>
            </w:pPr>
          </w:p>
        </w:tc>
        <w:tc>
          <w:tcPr>
            <w:tcW w:w="1120" w:type="dxa"/>
            <w:vAlign w:val="bottom"/>
            <w:gridSpan w:val="3"/>
            <w:vMerge w:val="restart"/>
          </w:tcPr>
          <w:p>
            <w:pPr>
              <w:ind w:left="40"/>
              <w:spacing w:after="0"/>
              <w:rPr>
                <w:sz w:val="20"/>
                <w:szCs w:val="20"/>
                <w:color w:val="auto"/>
              </w:rPr>
            </w:pPr>
            <w:r>
              <w:rPr>
                <w:rFonts w:ascii="Arial" w:cs="Arial" w:eastAsia="Arial" w:hAnsi="Arial"/>
                <w:sz w:val="13"/>
                <w:szCs w:val="13"/>
                <w:color w:val="auto"/>
              </w:rPr>
              <w:t>Balance at March</w:t>
            </w:r>
          </w:p>
        </w:tc>
        <w:tc>
          <w:tcPr>
            <w:tcW w:w="0" w:type="dxa"/>
            <w:vAlign w:val="bottom"/>
          </w:tcPr>
          <w:p>
            <w:pPr>
              <w:spacing w:after="0"/>
              <w:rPr>
                <w:sz w:val="1"/>
                <w:szCs w:val="1"/>
                <w:color w:val="auto"/>
              </w:rPr>
            </w:pPr>
          </w:p>
        </w:tc>
      </w:tr>
      <w:tr>
        <w:trPr>
          <w:trHeight w:val="121"/>
        </w:trPr>
        <w:tc>
          <w:tcPr>
            <w:tcW w:w="6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3"/>
          </w:tcPr>
          <w:p>
            <w:pPr>
              <w:jc w:val="center"/>
              <w:ind w:right="260"/>
              <w:spacing w:after="0" w:line="122" w:lineRule="exact"/>
              <w:rPr>
                <w:sz w:val="20"/>
                <w:szCs w:val="20"/>
                <w:color w:val="auto"/>
              </w:rPr>
            </w:pPr>
            <w:r>
              <w:rPr>
                <w:rFonts w:ascii="Arial" w:cs="Arial" w:eastAsia="Arial" w:hAnsi="Arial"/>
                <w:sz w:val="13"/>
                <w:szCs w:val="13"/>
                <w:color w:val="auto"/>
                <w:w w:val="95"/>
              </w:rPr>
              <w:t>December 31,</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3"/>
          </w:tcPr>
          <w:p>
            <w:pPr>
              <w:jc w:val="center"/>
              <w:ind w:right="240"/>
              <w:spacing w:after="0" w:line="122" w:lineRule="exact"/>
              <w:rPr>
                <w:sz w:val="20"/>
                <w:szCs w:val="20"/>
                <w:color w:val="auto"/>
              </w:rPr>
            </w:pPr>
            <w:r>
              <w:rPr>
                <w:rFonts w:ascii="Arial" w:cs="Arial" w:eastAsia="Arial" w:hAnsi="Arial"/>
                <w:sz w:val="13"/>
                <w:szCs w:val="13"/>
                <w:color w:val="auto"/>
                <w:w w:val="97"/>
              </w:rPr>
              <w:t>comprehensive</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3"/>
          </w:tcPr>
          <w:p>
            <w:pPr>
              <w:jc w:val="center"/>
              <w:ind w:right="240"/>
              <w:spacing w:after="0" w:line="122" w:lineRule="exact"/>
              <w:rPr>
                <w:sz w:val="20"/>
                <w:szCs w:val="20"/>
                <w:color w:val="auto"/>
              </w:rPr>
            </w:pPr>
            <w:r>
              <w:rPr>
                <w:rFonts w:ascii="Arial" w:cs="Arial" w:eastAsia="Arial" w:hAnsi="Arial"/>
                <w:sz w:val="13"/>
                <w:szCs w:val="13"/>
                <w:color w:val="auto"/>
              </w:rPr>
              <w:t>and</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3"/>
          </w:tcPr>
          <w:p>
            <w:pPr>
              <w:jc w:val="center"/>
              <w:ind w:right="240"/>
              <w:spacing w:after="0" w:line="122" w:lineRule="exact"/>
              <w:rPr>
                <w:sz w:val="20"/>
                <w:szCs w:val="20"/>
                <w:color w:val="auto"/>
              </w:rPr>
            </w:pPr>
            <w:r>
              <w:rPr>
                <w:rFonts w:ascii="Arial" w:cs="Arial" w:eastAsia="Arial" w:hAnsi="Arial"/>
                <w:sz w:val="13"/>
                <w:szCs w:val="13"/>
                <w:color w:val="auto"/>
              </w:rPr>
              <w:t>into</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3"/>
          </w:tcPr>
          <w:p>
            <w:pPr>
              <w:ind w:left="60"/>
              <w:spacing w:after="0" w:line="122" w:lineRule="exact"/>
              <w:rPr>
                <w:sz w:val="20"/>
                <w:szCs w:val="20"/>
                <w:color w:val="auto"/>
              </w:rPr>
            </w:pPr>
            <w:r>
              <w:rPr>
                <w:rFonts w:ascii="Arial" w:cs="Arial" w:eastAsia="Arial" w:hAnsi="Arial"/>
                <w:sz w:val="13"/>
                <w:szCs w:val="13"/>
                <w:color w:val="auto"/>
              </w:rPr>
              <w:t>out of</w:t>
            </w:r>
          </w:p>
        </w:tc>
        <w:tc>
          <w:tcPr>
            <w:tcW w:w="40" w:type="dxa"/>
            <w:vAlign w:val="bottom"/>
          </w:tcPr>
          <w:p>
            <w:pPr>
              <w:spacing w:after="0"/>
              <w:rPr>
                <w:sz w:val="10"/>
                <w:szCs w:val="10"/>
                <w:color w:val="auto"/>
              </w:rPr>
            </w:pPr>
          </w:p>
        </w:tc>
        <w:tc>
          <w:tcPr>
            <w:tcW w:w="1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6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center"/>
              <w:ind w:right="70"/>
              <w:spacing w:after="0"/>
              <w:rPr>
                <w:sz w:val="20"/>
                <w:szCs w:val="20"/>
                <w:color w:val="auto"/>
              </w:rPr>
            </w:pPr>
            <w:r>
              <w:rPr>
                <w:rFonts w:ascii="Arial" w:cs="Arial" w:eastAsia="Arial" w:hAnsi="Arial"/>
                <w:sz w:val="13"/>
                <w:szCs w:val="13"/>
                <w:color w:val="auto"/>
                <w:w w:val="96"/>
              </w:rPr>
              <w:t>2025</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gridSpan w:val="4"/>
          </w:tcPr>
          <w:p>
            <w:pPr>
              <w:jc w:val="center"/>
              <w:ind w:right="160"/>
              <w:spacing w:after="0"/>
              <w:rPr>
                <w:sz w:val="20"/>
                <w:szCs w:val="20"/>
                <w:color w:val="auto"/>
              </w:rPr>
            </w:pPr>
            <w:r>
              <w:rPr>
                <w:rFonts w:ascii="Arial" w:cs="Arial" w:eastAsia="Arial" w:hAnsi="Arial"/>
                <w:sz w:val="13"/>
                <w:szCs w:val="13"/>
                <w:color w:val="auto"/>
                <w:w w:val="96"/>
              </w:rPr>
              <w:t>earnings</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3"/>
          </w:tcPr>
          <w:p>
            <w:pPr>
              <w:jc w:val="center"/>
              <w:ind w:right="240"/>
              <w:spacing w:after="0"/>
              <w:rPr>
                <w:sz w:val="20"/>
                <w:szCs w:val="20"/>
                <w:color w:val="auto"/>
              </w:rPr>
            </w:pPr>
            <w:r>
              <w:rPr>
                <w:rFonts w:ascii="Arial" w:cs="Arial" w:eastAsia="Arial" w:hAnsi="Arial"/>
                <w:sz w:val="13"/>
                <w:szCs w:val="13"/>
                <w:color w:val="auto"/>
                <w:w w:val="95"/>
              </w:rPr>
              <w:t>income (loss)</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3"/>
          </w:tcPr>
          <w:p>
            <w:pPr>
              <w:jc w:val="center"/>
              <w:ind w:right="220"/>
              <w:spacing w:after="0"/>
              <w:rPr>
                <w:sz w:val="20"/>
                <w:szCs w:val="20"/>
                <w:color w:val="auto"/>
              </w:rPr>
            </w:pPr>
            <w:r>
              <w:rPr>
                <w:rFonts w:ascii="Arial" w:cs="Arial" w:eastAsia="Arial" w:hAnsi="Arial"/>
                <w:sz w:val="13"/>
                <w:szCs w:val="13"/>
                <w:color w:val="auto"/>
                <w:w w:val="96"/>
              </w:rPr>
              <w:t>issuances</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3"/>
          </w:tcPr>
          <w:p>
            <w:pPr>
              <w:jc w:val="right"/>
              <w:ind w:right="240"/>
              <w:spacing w:after="0"/>
              <w:rPr>
                <w:sz w:val="20"/>
                <w:szCs w:val="20"/>
                <w:color w:val="auto"/>
              </w:rPr>
            </w:pPr>
            <w:r>
              <w:rPr>
                <w:rFonts w:ascii="Arial" w:cs="Arial" w:eastAsia="Arial" w:hAnsi="Arial"/>
                <w:sz w:val="13"/>
                <w:szCs w:val="13"/>
                <w:color w:val="auto"/>
                <w:w w:val="93"/>
              </w:rPr>
              <w:t>settlements</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3"/>
          </w:tcPr>
          <w:p>
            <w:pPr>
              <w:jc w:val="center"/>
              <w:ind w:right="240"/>
              <w:spacing w:after="0"/>
              <w:rPr>
                <w:sz w:val="20"/>
                <w:szCs w:val="20"/>
                <w:color w:val="auto"/>
              </w:rPr>
            </w:pPr>
            <w:r>
              <w:rPr>
                <w:rFonts w:ascii="Arial" w:cs="Arial" w:eastAsia="Arial" w:hAnsi="Arial"/>
                <w:sz w:val="13"/>
                <w:szCs w:val="13"/>
                <w:color w:val="auto"/>
              </w:rPr>
              <w:t>Level 3</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3"/>
          </w:tcPr>
          <w:p>
            <w:pPr>
              <w:ind w:left="20"/>
              <w:spacing w:after="0"/>
              <w:rPr>
                <w:sz w:val="20"/>
                <w:szCs w:val="20"/>
                <w:color w:val="auto"/>
              </w:rPr>
            </w:pPr>
            <w:r>
              <w:rPr>
                <w:rFonts w:ascii="Arial" w:cs="Arial" w:eastAsia="Arial" w:hAnsi="Arial"/>
                <w:sz w:val="13"/>
                <w:szCs w:val="13"/>
                <w:color w:val="auto"/>
              </w:rPr>
              <w:t>Level 3</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right"/>
              <w:ind w:right="249"/>
              <w:spacing w:after="0"/>
              <w:rPr>
                <w:sz w:val="20"/>
                <w:szCs w:val="20"/>
                <w:color w:val="auto"/>
              </w:rPr>
            </w:pPr>
            <w:r>
              <w:rPr>
                <w:rFonts w:ascii="Arial" w:cs="Arial" w:eastAsia="Arial" w:hAnsi="Arial"/>
                <w:sz w:val="13"/>
                <w:szCs w:val="13"/>
                <w:color w:val="auto"/>
              </w:rPr>
              <w:t>31, 2026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1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AFS fixed maturities:</w:t>
            </w:r>
          </w:p>
        </w:tc>
        <w:tc>
          <w:tcPr>
            <w:tcW w:w="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3060" w:type="dxa"/>
            <w:vAlign w:val="bottom"/>
          </w:tcPr>
          <w:p>
            <w:pPr>
              <w:ind w:left="80"/>
              <w:spacing w:after="0"/>
              <w:rPr>
                <w:sz w:val="20"/>
                <w:szCs w:val="20"/>
                <w:color w:val="auto"/>
              </w:rPr>
            </w:pPr>
            <w:r>
              <w:rPr>
                <w:rFonts w:ascii="Arial" w:cs="Arial" w:eastAsia="Arial" w:hAnsi="Arial"/>
                <w:sz w:val="14"/>
                <w:szCs w:val="14"/>
                <w:color w:val="auto"/>
              </w:rPr>
              <w:t>State and municipal</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4</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gridSpan w:val="3"/>
          </w:tcPr>
          <w:p>
            <w:pPr>
              <w:ind w:left="820"/>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3"/>
          </w:tcPr>
          <w:p>
            <w:pPr>
              <w:ind w:left="580"/>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2</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3"/>
          </w:tcPr>
          <w:p>
            <w:pPr>
              <w:ind w:left="380"/>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ind w:right="54"/>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0" w:type="dxa"/>
            <w:vAlign w:val="bottom"/>
            <w:shd w:val="clear" w:color="auto" w:fill="CCEEFF"/>
          </w:tcPr>
          <w:p>
            <w:pPr>
              <w:spacing w:after="0"/>
              <w:rPr>
                <w:sz w:val="17"/>
                <w:szCs w:val="17"/>
                <w:color w:val="auto"/>
              </w:rPr>
            </w:pPr>
          </w:p>
        </w:tc>
        <w:tc>
          <w:tcPr>
            <w:tcW w:w="3060" w:type="dxa"/>
            <w:vAlign w:val="bottom"/>
            <w:shd w:val="clear" w:color="auto" w:fill="CCEEFF"/>
          </w:tcPr>
          <w:p>
            <w:pPr>
              <w:ind w:left="80"/>
              <w:spacing w:after="0"/>
              <w:rPr>
                <w:sz w:val="20"/>
                <w:szCs w:val="20"/>
                <w:color w:val="auto"/>
              </w:rPr>
            </w:pPr>
            <w:r>
              <w:rPr>
                <w:rFonts w:ascii="Arial" w:cs="Arial" w:eastAsia="Arial" w:hAnsi="Arial"/>
                <w:sz w:val="14"/>
                <w:szCs w:val="14"/>
                <w:color w:val="auto"/>
              </w:rPr>
              <w:t>Residential MBS</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ind w:left="8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3"/>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3"/>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3060" w:type="dxa"/>
            <w:vAlign w:val="bottom"/>
          </w:tcPr>
          <w:p>
            <w:pPr>
              <w:ind w:left="80"/>
              <w:spacing w:after="0"/>
              <w:rPr>
                <w:sz w:val="20"/>
                <w:szCs w:val="20"/>
                <w:color w:val="auto"/>
              </w:rPr>
            </w:pPr>
            <w:r>
              <w:rPr>
                <w:rFonts w:ascii="Arial" w:cs="Arial" w:eastAsia="Arial" w:hAnsi="Arial"/>
                <w:sz w:val="14"/>
                <w:szCs w:val="14"/>
                <w:color w:val="auto"/>
              </w:rPr>
              <w:t>Other asset-backed securities</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310</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ind w:left="8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ind w:right="10"/>
              <w:spacing w:after="0"/>
              <w:rPr>
                <w:sz w:val="20"/>
                <w:szCs w:val="20"/>
                <w:color w:val="auto"/>
              </w:rPr>
            </w:pPr>
            <w:r>
              <w:rPr>
                <w:rFonts w:ascii="Arial" w:cs="Arial" w:eastAsia="Arial" w:hAnsi="Arial"/>
                <w:sz w:val="14"/>
                <w:szCs w:val="14"/>
                <w:color w:val="auto"/>
              </w:rPr>
              <w:t>29</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27</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ind w:left="3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356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0" w:type="dxa"/>
            <w:vAlign w:val="bottom"/>
            <w:shd w:val="clear" w:color="auto" w:fill="CCEEFF"/>
          </w:tcPr>
          <w:p>
            <w:pPr>
              <w:spacing w:after="0"/>
              <w:rPr>
                <w:sz w:val="17"/>
                <w:szCs w:val="17"/>
                <w:color w:val="auto"/>
              </w:rPr>
            </w:pPr>
          </w:p>
        </w:tc>
        <w:tc>
          <w:tcPr>
            <w:tcW w:w="3060" w:type="dxa"/>
            <w:vAlign w:val="bottom"/>
            <w:shd w:val="clear" w:color="auto" w:fill="CCEEFF"/>
          </w:tcPr>
          <w:p>
            <w:pPr>
              <w:ind w:left="80"/>
              <w:spacing w:after="0"/>
              <w:rPr>
                <w:sz w:val="20"/>
                <w:szCs w:val="20"/>
                <w:color w:val="auto"/>
              </w:rPr>
            </w:pPr>
            <w:r>
              <w:rPr>
                <w:rFonts w:ascii="Arial" w:cs="Arial" w:eastAsia="Arial" w:hAnsi="Arial"/>
                <w:sz w:val="14"/>
                <w:szCs w:val="14"/>
                <w:color w:val="auto"/>
              </w:rPr>
              <w:t>Corporate and other</w:t>
            </w:r>
          </w:p>
        </w:tc>
        <w:tc>
          <w:tcPr>
            <w:tcW w:w="4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395</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4"/>
                <w:szCs w:val="14"/>
                <w:color w:val="auto"/>
              </w:rPr>
              <w:t>—</w:t>
            </w:r>
          </w:p>
        </w:tc>
        <w:tc>
          <w:tcPr>
            <w:tcW w:w="100" w:type="dxa"/>
            <w:vAlign w:val="bottom"/>
            <w:gridSpan w:val="2"/>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18</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00" w:type="dxa"/>
            <w:vAlign w:val="bottom"/>
            <w:gridSpan w:val="2"/>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60" w:type="dxa"/>
            <w:vAlign w:val="bottom"/>
          </w:tcPr>
          <w:p>
            <w:pPr>
              <w:spacing w:after="0"/>
              <w:rPr>
                <w:sz w:val="16"/>
                <w:szCs w:val="16"/>
                <w:color w:val="auto"/>
              </w:rPr>
            </w:pPr>
          </w:p>
        </w:tc>
        <w:tc>
          <w:tcPr>
            <w:tcW w:w="3060" w:type="dxa"/>
            <w:vAlign w:val="bottom"/>
          </w:tcPr>
          <w:p>
            <w:pPr>
              <w:ind w:left="160"/>
              <w:spacing w:after="0"/>
              <w:rPr>
                <w:sz w:val="20"/>
                <w:szCs w:val="20"/>
                <w:color w:val="auto"/>
              </w:rPr>
            </w:pPr>
            <w:r>
              <w:rPr>
                <w:rFonts w:ascii="Arial" w:cs="Arial" w:eastAsia="Arial" w:hAnsi="Arial"/>
                <w:sz w:val="14"/>
                <w:szCs w:val="14"/>
                <w:color w:val="auto"/>
              </w:rPr>
              <w:t>Total AFS fixed maturities</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712</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3"/>
          </w:tcPr>
          <w:p>
            <w:pPr>
              <w:ind w:left="8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ind w:right="10"/>
              <w:spacing w:after="0"/>
              <w:rPr>
                <w:sz w:val="20"/>
                <w:szCs w:val="20"/>
                <w:color w:val="auto"/>
              </w:rPr>
            </w:pPr>
            <w:r>
              <w:rPr>
                <w:rFonts w:ascii="Arial" w:cs="Arial" w:eastAsia="Arial" w:hAnsi="Arial"/>
                <w:sz w:val="14"/>
                <w:szCs w:val="14"/>
                <w:color w:val="auto"/>
              </w:rPr>
              <w:t>47</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(47)</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37</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3"/>
          </w:tcPr>
          <w:p>
            <w:pPr>
              <w:ind w:left="3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745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31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Trading fixed maturities</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ind w:left="8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3"/>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120" w:type="dxa"/>
            <w:vAlign w:val="bottom"/>
            <w:gridSpan w:val="2"/>
          </w:tcPr>
          <w:p>
            <w:pPr>
              <w:ind w:left="20"/>
              <w:spacing w:after="0"/>
              <w:rPr>
                <w:sz w:val="20"/>
                <w:szCs w:val="20"/>
                <w:color w:val="auto"/>
              </w:rPr>
            </w:pPr>
            <w:r>
              <w:rPr>
                <w:rFonts w:ascii="Arial" w:cs="Arial" w:eastAsia="Arial" w:hAnsi="Arial"/>
                <w:sz w:val="14"/>
                <w:szCs w:val="14"/>
                <w:color w:val="auto"/>
              </w:rPr>
              <w:t>Equity securities</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256</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(14)</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ind w:left="8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3"/>
          </w:tcPr>
          <w:p>
            <w:pPr>
              <w:ind w:left="5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ind w:left="3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242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Assets of MIE</w:t>
            </w:r>
          </w:p>
        </w:tc>
        <w:tc>
          <w:tcPr>
            <w:tcW w:w="4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4"/>
                <w:szCs w:val="14"/>
                <w:color w:val="auto"/>
              </w:rPr>
              <w:t>—</w:t>
            </w:r>
          </w:p>
        </w:tc>
        <w:tc>
          <w:tcPr>
            <w:tcW w:w="100" w:type="dxa"/>
            <w:vAlign w:val="bottom"/>
            <w:gridSpan w:val="2"/>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00" w:type="dxa"/>
            <w:vAlign w:val="bottom"/>
            <w:gridSpan w:val="2"/>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gridSpan w:val="2"/>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00" w:type="dxa"/>
            <w:vAlign w:val="bottom"/>
            <w:gridSpan w:val="2"/>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0" w:type="dxa"/>
            <w:vAlign w:val="bottom"/>
          </w:tcPr>
          <w:p>
            <w:pPr>
              <w:spacing w:after="0"/>
              <w:rPr>
                <w:sz w:val="17"/>
                <w:szCs w:val="17"/>
                <w:color w:val="auto"/>
              </w:rPr>
            </w:pPr>
          </w:p>
        </w:tc>
        <w:tc>
          <w:tcPr>
            <w:tcW w:w="3060" w:type="dxa"/>
            <w:vAlign w:val="bottom"/>
          </w:tcPr>
          <w:p>
            <w:pPr>
              <w:ind w:left="80"/>
              <w:spacing w:after="0"/>
              <w:rPr>
                <w:sz w:val="20"/>
                <w:szCs w:val="20"/>
                <w:color w:val="auto"/>
              </w:rPr>
            </w:pPr>
            <w:r>
              <w:rPr>
                <w:rFonts w:ascii="Arial" w:cs="Arial" w:eastAsia="Arial" w:hAnsi="Arial"/>
                <w:sz w:val="14"/>
                <w:szCs w:val="14"/>
                <w:color w:val="auto"/>
              </w:rPr>
              <w:t>Total Level 3 assets</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1,008</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(18)</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gridSpan w:val="3"/>
          </w:tcPr>
          <w:p>
            <w:pPr>
              <w:ind w:left="820"/>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0"/>
              <w:spacing w:after="0"/>
              <w:rPr>
                <w:sz w:val="20"/>
                <w:szCs w:val="20"/>
                <w:color w:val="auto"/>
              </w:rPr>
            </w:pPr>
            <w:r>
              <w:rPr>
                <w:rFonts w:ascii="Arial" w:cs="Arial" w:eastAsia="Arial" w:hAnsi="Arial"/>
                <w:sz w:val="14"/>
                <w:szCs w:val="14"/>
                <w:color w:val="auto"/>
              </w:rPr>
              <w:t>48</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(60)</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37</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3"/>
          </w:tcPr>
          <w:p>
            <w:pPr>
              <w:ind w:left="380"/>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ind w:right="54"/>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1,015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Borders>
              <w:bottom w:val="single" w:sz="8" w:color="CCEEFF"/>
            </w:tcBorders>
          </w:tcPr>
          <w:p>
            <w:pPr>
              <w:spacing w:after="0" w:line="20" w:lineRule="exact"/>
              <w:rPr>
                <w:sz w:val="1"/>
                <w:szCs w:val="1"/>
                <w:color w:val="auto"/>
              </w:rPr>
            </w:pPr>
          </w:p>
        </w:tc>
        <w:tc>
          <w:tcPr>
            <w:tcW w:w="3060" w:type="dxa"/>
            <w:vAlign w:val="bottom"/>
            <w:tcBorders>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 w:type="dxa"/>
            <w:vAlign w:val="bottom"/>
            <w:shd w:val="clear" w:color="auto" w:fill="CCEEFF"/>
          </w:tcPr>
          <w:p>
            <w:pPr>
              <w:spacing w:after="0"/>
              <w:rPr>
                <w:sz w:val="15"/>
                <w:szCs w:val="15"/>
                <w:color w:val="auto"/>
              </w:rPr>
            </w:pPr>
          </w:p>
        </w:tc>
        <w:tc>
          <w:tcPr>
            <w:tcW w:w="30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1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Contingent consideration — acquisitions</w:t>
            </w:r>
          </w:p>
        </w:tc>
        <w:tc>
          <w:tcPr>
            <w:tcW w:w="1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gridSpan w:val="2"/>
          </w:tcPr>
          <w:p>
            <w:pPr>
              <w:spacing w:after="0"/>
              <w:rPr>
                <w:sz w:val="17"/>
                <w:szCs w:val="17"/>
                <w:color w:val="auto"/>
              </w:rPr>
            </w:pP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ind w:left="8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gridSpan w:val="2"/>
          </w:tcPr>
          <w:p>
            <w:pPr>
              <w:spacing w:after="0"/>
              <w:rPr>
                <w:sz w:val="17"/>
                <w:szCs w:val="17"/>
                <w:color w:val="auto"/>
              </w:rPr>
            </w:pP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gridSpan w:val="2"/>
          </w:tcPr>
          <w:p>
            <w:pPr>
              <w:spacing w:after="0"/>
              <w:rPr>
                <w:sz w:val="17"/>
                <w:szCs w:val="17"/>
                <w:color w:val="auto"/>
              </w:rPr>
            </w:pP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ind w:left="5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gridSpan w:val="2"/>
          </w:tcPr>
          <w:p>
            <w:pPr>
              <w:spacing w:after="0"/>
              <w:rPr>
                <w:sz w:val="17"/>
                <w:szCs w:val="17"/>
                <w:color w:val="auto"/>
              </w:rPr>
            </w:pP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gridSpan w:val="2"/>
          </w:tcPr>
          <w:p>
            <w:pPr>
              <w:spacing w:after="0"/>
              <w:rPr>
                <w:sz w:val="17"/>
                <w:szCs w:val="17"/>
                <w:color w:val="auto"/>
              </w:rPr>
            </w:pP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gridSpan w:val="2"/>
          </w:tcPr>
          <w:p>
            <w:pPr>
              <w:spacing w:after="0"/>
              <w:rPr>
                <w:sz w:val="17"/>
                <w:szCs w:val="17"/>
                <w:color w:val="auto"/>
              </w:rPr>
            </w:pPr>
          </w:p>
        </w:tc>
        <w:tc>
          <w:tcPr>
            <w:tcW w:w="220" w:type="dxa"/>
            <w:vAlign w:val="bottom"/>
            <w:tcBorders>
              <w:bottom w:val="single" w:sz="8" w:color="auto"/>
            </w:tcBorders>
            <w:gridSpan w:val="2"/>
          </w:tcPr>
          <w:p>
            <w:pPr>
              <w:jc w:val="right"/>
              <w:ind w:right="54"/>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60" w:type="dxa"/>
            <w:vAlign w:val="bottom"/>
            <w:tcBorders>
              <w:bottom w:val="single" w:sz="8" w:color="CCEEFF"/>
            </w:tcBorders>
            <w:shd w:val="clear" w:color="auto" w:fill="CCEEFF"/>
          </w:tcPr>
          <w:p>
            <w:pPr>
              <w:spacing w:after="0"/>
              <w:rPr>
                <w:sz w:val="19"/>
                <w:szCs w:val="19"/>
                <w:color w:val="auto"/>
              </w:rPr>
            </w:pPr>
          </w:p>
        </w:tc>
        <w:tc>
          <w:tcPr>
            <w:tcW w:w="30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color w:val="auto"/>
              </w:rPr>
              <w:t>Total Level 3 liabilities</w:t>
            </w: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gridSpan w:val="2"/>
            <w:shd w:val="clear" w:color="auto" w:fill="CCEEFF"/>
          </w:tcPr>
          <w:p>
            <w:pPr>
              <w:spacing w:after="0"/>
              <w:rPr>
                <w:sz w:val="19"/>
                <w:szCs w:val="19"/>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gridSpan w:val="2"/>
            <w:shd w:val="clear" w:color="auto" w:fill="CCEEFF"/>
          </w:tcPr>
          <w:p>
            <w:pPr>
              <w:spacing w:after="0"/>
              <w:rPr>
                <w:sz w:val="19"/>
                <w:szCs w:val="19"/>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gridSpan w:val="2"/>
            <w:shd w:val="clear" w:color="auto" w:fill="CCEEFF"/>
          </w:tcPr>
          <w:p>
            <w:pPr>
              <w:spacing w:after="0"/>
              <w:rPr>
                <w:sz w:val="19"/>
                <w:szCs w:val="19"/>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gridSpan w:val="2"/>
            <w:shd w:val="clear" w:color="auto" w:fill="CCEEFF"/>
          </w:tcPr>
          <w:p>
            <w:pPr>
              <w:spacing w:after="0"/>
              <w:rPr>
                <w:sz w:val="19"/>
                <w:szCs w:val="19"/>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gridSpan w:val="2"/>
            <w:shd w:val="clear" w:color="auto" w:fill="CCEEFF"/>
          </w:tcPr>
          <w:p>
            <w:pPr>
              <w:spacing w:after="0"/>
              <w:rPr>
                <w:sz w:val="19"/>
                <w:szCs w:val="19"/>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gridSpan w:val="2"/>
            <w:shd w:val="clear" w:color="auto" w:fill="CCEEFF"/>
          </w:tcPr>
          <w:p>
            <w:pPr>
              <w:spacing w:after="0"/>
              <w:rPr>
                <w:sz w:val="19"/>
                <w:szCs w:val="19"/>
                <w:color w:val="auto"/>
              </w:rPr>
            </w:pPr>
          </w:p>
        </w:tc>
        <w:tc>
          <w:tcPr>
            <w:tcW w:w="220" w:type="dxa"/>
            <w:vAlign w:val="bottom"/>
            <w:tcBorders>
              <w:bottom w:val="single" w:sz="8" w:color="auto"/>
            </w:tcBorders>
            <w:gridSpan w:val="2"/>
            <w:shd w:val="clear" w:color="auto" w:fill="CCEEFF"/>
          </w:tcPr>
          <w:p>
            <w:pPr>
              <w:jc w:val="right"/>
              <w:ind w:right="54"/>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60" w:type="dxa"/>
            <w:vAlign w:val="bottom"/>
          </w:tcPr>
          <w:p>
            <w:pPr>
              <w:spacing w:after="0"/>
              <w:rPr>
                <w:sz w:val="23"/>
                <w:szCs w:val="23"/>
                <w:color w:val="auto"/>
              </w:rPr>
            </w:pPr>
          </w:p>
        </w:tc>
        <w:tc>
          <w:tcPr>
            <w:tcW w:w="30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980" w:type="dxa"/>
            <w:vAlign w:val="bottom"/>
            <w:gridSpan w:val="8"/>
          </w:tcPr>
          <w:p>
            <w:pPr>
              <w:jc w:val="center"/>
              <w:ind w:right="180"/>
              <w:spacing w:after="0"/>
              <w:rPr>
                <w:sz w:val="20"/>
                <w:szCs w:val="20"/>
                <w:color w:val="auto"/>
              </w:rPr>
            </w:pPr>
            <w:r>
              <w:rPr>
                <w:rFonts w:ascii="Arial" w:cs="Arial" w:eastAsia="Arial" w:hAnsi="Arial"/>
                <w:sz w:val="13"/>
                <w:szCs w:val="13"/>
                <w:color w:val="auto"/>
                <w:w w:val="96"/>
              </w:rPr>
              <w:t>Total realized/unrealized</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6"/>
        </w:trPr>
        <w:tc>
          <w:tcPr>
            <w:tcW w:w="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8"/>
          </w:tcPr>
          <w:p>
            <w:pPr>
              <w:jc w:val="center"/>
              <w:ind w:right="160"/>
              <w:spacing w:after="0"/>
              <w:rPr>
                <w:sz w:val="20"/>
                <w:szCs w:val="20"/>
                <w:color w:val="auto"/>
              </w:rPr>
            </w:pPr>
            <w:r>
              <w:rPr>
                <w:rFonts w:ascii="Arial" w:cs="Arial" w:eastAsia="Arial" w:hAnsi="Arial"/>
                <w:sz w:val="13"/>
                <w:szCs w:val="13"/>
                <w:color w:val="auto"/>
                <w:w w:val="97"/>
              </w:rPr>
              <w:t>gains (losses) included in</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60" w:type="dxa"/>
            <w:vAlign w:val="bottom"/>
          </w:tcPr>
          <w:p>
            <w:pPr>
              <w:spacing w:after="0"/>
              <w:rPr>
                <w:sz w:val="2"/>
                <w:szCs w:val="2"/>
                <w:color w:val="auto"/>
              </w:rPr>
            </w:pPr>
          </w:p>
        </w:tc>
        <w:tc>
          <w:tcPr>
            <w:tcW w:w="30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gridSpan w:val="3"/>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gridSpan w:val="3"/>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gridSpan w:val="3"/>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gridSpan w:val="3"/>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6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3"/>
          </w:tcPr>
          <w:p>
            <w:pPr>
              <w:jc w:val="center"/>
              <w:ind w:right="160"/>
              <w:spacing w:after="0" w:line="142" w:lineRule="exact"/>
              <w:rPr>
                <w:sz w:val="20"/>
                <w:szCs w:val="20"/>
                <w:color w:val="auto"/>
              </w:rPr>
            </w:pPr>
            <w:r>
              <w:rPr>
                <w:rFonts w:ascii="Arial" w:cs="Arial" w:eastAsia="Arial" w:hAnsi="Arial"/>
                <w:sz w:val="13"/>
                <w:szCs w:val="13"/>
                <w:color w:val="auto"/>
                <w:w w:val="97"/>
              </w:rPr>
              <w:t>Balance at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3"/>
            <w:vMerge w:val="restart"/>
          </w:tcPr>
          <w:p>
            <w:pPr>
              <w:jc w:val="center"/>
              <w:ind w:right="180"/>
              <w:spacing w:after="0"/>
              <w:rPr>
                <w:sz w:val="20"/>
                <w:szCs w:val="20"/>
                <w:color w:val="auto"/>
              </w:rPr>
            </w:pPr>
            <w:r>
              <w:rPr>
                <w:rFonts w:ascii="Arial" w:cs="Arial" w:eastAsia="Arial" w:hAnsi="Arial"/>
                <w:sz w:val="13"/>
                <w:szCs w:val="13"/>
                <w:color w:val="auto"/>
                <w:w w:val="98"/>
              </w:rPr>
              <w:t>Net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3"/>
          </w:tcPr>
          <w:p>
            <w:pPr>
              <w:jc w:val="center"/>
              <w:ind w:right="180"/>
              <w:spacing w:after="0" w:line="142" w:lineRule="exact"/>
              <w:rPr>
                <w:sz w:val="20"/>
                <w:szCs w:val="20"/>
                <w:color w:val="auto"/>
              </w:rPr>
            </w:pPr>
            <w:r>
              <w:rPr>
                <w:rFonts w:ascii="Arial" w:cs="Arial" w:eastAsia="Arial" w:hAnsi="Arial"/>
                <w:sz w:val="13"/>
                <w:szCs w:val="13"/>
                <w:color w:val="auto"/>
                <w:w w:val="98"/>
              </w:rPr>
              <w:t>Other</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3"/>
          </w:tcPr>
          <w:p>
            <w:pPr>
              <w:jc w:val="center"/>
              <w:ind w:right="140"/>
              <w:spacing w:after="0" w:line="142" w:lineRule="exact"/>
              <w:rPr>
                <w:sz w:val="20"/>
                <w:szCs w:val="20"/>
                <w:color w:val="auto"/>
              </w:rPr>
            </w:pPr>
            <w:r>
              <w:rPr>
                <w:rFonts w:ascii="Arial" w:cs="Arial" w:eastAsia="Arial" w:hAnsi="Arial"/>
                <w:sz w:val="13"/>
                <w:szCs w:val="13"/>
                <w:color w:val="auto"/>
                <w:w w:val="97"/>
              </w:rPr>
              <w:t>Purchases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3"/>
            <w:vMerge w:val="restart"/>
          </w:tcPr>
          <w:p>
            <w:pPr>
              <w:jc w:val="right"/>
              <w:ind w:right="240"/>
              <w:spacing w:after="0"/>
              <w:rPr>
                <w:sz w:val="20"/>
                <w:szCs w:val="20"/>
                <w:color w:val="auto"/>
              </w:rPr>
            </w:pPr>
            <w:r>
              <w:rPr>
                <w:rFonts w:ascii="Arial" w:cs="Arial" w:eastAsia="Arial" w:hAnsi="Arial"/>
                <w:sz w:val="13"/>
                <w:szCs w:val="13"/>
                <w:color w:val="auto"/>
              </w:rPr>
              <w:t>Sales and</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3"/>
          </w:tcPr>
          <w:p>
            <w:pPr>
              <w:jc w:val="center"/>
              <w:ind w:right="160"/>
              <w:spacing w:after="0" w:line="142" w:lineRule="exact"/>
              <w:rPr>
                <w:sz w:val="20"/>
                <w:szCs w:val="20"/>
                <w:color w:val="auto"/>
              </w:rPr>
            </w:pPr>
            <w:r>
              <w:rPr>
                <w:rFonts w:ascii="Arial" w:cs="Arial" w:eastAsia="Arial" w:hAnsi="Arial"/>
                <w:sz w:val="13"/>
                <w:szCs w:val="13"/>
                <w:color w:val="auto"/>
                <w:w w:val="94"/>
              </w:rPr>
              <w:t>Transfer</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3"/>
          </w:tcPr>
          <w:p>
            <w:pPr>
              <w:ind w:left="40"/>
              <w:spacing w:after="0" w:line="142" w:lineRule="exact"/>
              <w:rPr>
                <w:sz w:val="20"/>
                <w:szCs w:val="20"/>
                <w:color w:val="auto"/>
              </w:rPr>
            </w:pPr>
            <w:r>
              <w:rPr>
                <w:rFonts w:ascii="Arial" w:cs="Arial" w:eastAsia="Arial" w:hAnsi="Arial"/>
                <w:sz w:val="13"/>
                <w:szCs w:val="13"/>
                <w:color w:val="auto"/>
              </w:rPr>
              <w:t>Transfer</w:t>
            </w:r>
          </w:p>
        </w:tc>
        <w:tc>
          <w:tcPr>
            <w:tcW w:w="40" w:type="dxa"/>
            <w:vAlign w:val="bottom"/>
          </w:tcPr>
          <w:p>
            <w:pPr>
              <w:spacing w:after="0"/>
              <w:rPr>
                <w:sz w:val="12"/>
                <w:szCs w:val="12"/>
                <w:color w:val="auto"/>
              </w:rPr>
            </w:pPr>
          </w:p>
        </w:tc>
        <w:tc>
          <w:tcPr>
            <w:tcW w:w="1120" w:type="dxa"/>
            <w:vAlign w:val="bottom"/>
            <w:gridSpan w:val="3"/>
            <w:vMerge w:val="restart"/>
          </w:tcPr>
          <w:p>
            <w:pPr>
              <w:ind w:left="60"/>
              <w:spacing w:after="0"/>
              <w:rPr>
                <w:sz w:val="20"/>
                <w:szCs w:val="20"/>
                <w:color w:val="auto"/>
              </w:rPr>
            </w:pPr>
            <w:r>
              <w:rPr>
                <w:rFonts w:ascii="Arial" w:cs="Arial" w:eastAsia="Arial" w:hAnsi="Arial"/>
                <w:sz w:val="13"/>
                <w:szCs w:val="13"/>
                <w:color w:val="auto"/>
              </w:rPr>
              <w:t>Balance at March</w:t>
            </w:r>
          </w:p>
        </w:tc>
        <w:tc>
          <w:tcPr>
            <w:tcW w:w="0" w:type="dxa"/>
            <w:vAlign w:val="bottom"/>
          </w:tcPr>
          <w:p>
            <w:pPr>
              <w:spacing w:after="0"/>
              <w:rPr>
                <w:sz w:val="1"/>
                <w:szCs w:val="1"/>
                <w:color w:val="auto"/>
              </w:rPr>
            </w:pPr>
          </w:p>
        </w:tc>
      </w:tr>
      <w:tr>
        <w:trPr>
          <w:trHeight w:val="121"/>
        </w:trPr>
        <w:tc>
          <w:tcPr>
            <w:tcW w:w="6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3"/>
          </w:tcPr>
          <w:p>
            <w:pPr>
              <w:jc w:val="center"/>
              <w:ind w:right="180"/>
              <w:spacing w:after="0" w:line="122" w:lineRule="exact"/>
              <w:rPr>
                <w:sz w:val="20"/>
                <w:szCs w:val="20"/>
                <w:color w:val="auto"/>
              </w:rPr>
            </w:pPr>
            <w:r>
              <w:rPr>
                <w:rFonts w:ascii="Arial" w:cs="Arial" w:eastAsia="Arial" w:hAnsi="Arial"/>
                <w:sz w:val="13"/>
                <w:szCs w:val="13"/>
                <w:color w:val="auto"/>
                <w:w w:val="95"/>
              </w:rPr>
              <w:t>December 31,</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3"/>
          </w:tcPr>
          <w:p>
            <w:pPr>
              <w:jc w:val="center"/>
              <w:ind w:right="160"/>
              <w:spacing w:after="0" w:line="122" w:lineRule="exact"/>
              <w:rPr>
                <w:sz w:val="20"/>
                <w:szCs w:val="20"/>
                <w:color w:val="auto"/>
              </w:rPr>
            </w:pPr>
            <w:r>
              <w:rPr>
                <w:rFonts w:ascii="Arial" w:cs="Arial" w:eastAsia="Arial" w:hAnsi="Arial"/>
                <w:sz w:val="13"/>
                <w:szCs w:val="13"/>
                <w:color w:val="auto"/>
                <w:w w:val="97"/>
              </w:rPr>
              <w:t>comprehensive</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3"/>
          </w:tcPr>
          <w:p>
            <w:pPr>
              <w:jc w:val="center"/>
              <w:ind w:right="160"/>
              <w:spacing w:after="0" w:line="122" w:lineRule="exact"/>
              <w:rPr>
                <w:sz w:val="20"/>
                <w:szCs w:val="20"/>
                <w:color w:val="auto"/>
              </w:rPr>
            </w:pPr>
            <w:r>
              <w:rPr>
                <w:rFonts w:ascii="Arial" w:cs="Arial" w:eastAsia="Arial" w:hAnsi="Arial"/>
                <w:sz w:val="13"/>
                <w:szCs w:val="13"/>
                <w:color w:val="auto"/>
              </w:rPr>
              <w:t>and</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3"/>
          </w:tcPr>
          <w:p>
            <w:pPr>
              <w:jc w:val="center"/>
              <w:ind w:right="160"/>
              <w:spacing w:after="0" w:line="122" w:lineRule="exact"/>
              <w:rPr>
                <w:sz w:val="20"/>
                <w:szCs w:val="20"/>
                <w:color w:val="auto"/>
              </w:rPr>
            </w:pPr>
            <w:r>
              <w:rPr>
                <w:rFonts w:ascii="Arial" w:cs="Arial" w:eastAsia="Arial" w:hAnsi="Arial"/>
                <w:sz w:val="13"/>
                <w:szCs w:val="13"/>
                <w:color w:val="auto"/>
              </w:rPr>
              <w:t>into</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3"/>
          </w:tcPr>
          <w:p>
            <w:pPr>
              <w:ind w:left="100"/>
              <w:spacing w:after="0" w:line="122" w:lineRule="exact"/>
              <w:rPr>
                <w:sz w:val="20"/>
                <w:szCs w:val="20"/>
                <w:color w:val="auto"/>
              </w:rPr>
            </w:pPr>
            <w:r>
              <w:rPr>
                <w:rFonts w:ascii="Arial" w:cs="Arial" w:eastAsia="Arial" w:hAnsi="Arial"/>
                <w:sz w:val="13"/>
                <w:szCs w:val="13"/>
                <w:color w:val="auto"/>
              </w:rPr>
              <w:t>out of</w:t>
            </w:r>
          </w:p>
        </w:tc>
        <w:tc>
          <w:tcPr>
            <w:tcW w:w="40" w:type="dxa"/>
            <w:vAlign w:val="bottom"/>
          </w:tcPr>
          <w:p>
            <w:pPr>
              <w:spacing w:after="0"/>
              <w:rPr>
                <w:sz w:val="10"/>
                <w:szCs w:val="10"/>
                <w:color w:val="auto"/>
              </w:rPr>
            </w:pPr>
          </w:p>
        </w:tc>
        <w:tc>
          <w:tcPr>
            <w:tcW w:w="1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3"/>
                <w:szCs w:val="13"/>
                <w:color w:val="auto"/>
                <w:w w:val="96"/>
              </w:rPr>
              <w:t>2024</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3"/>
          </w:tcPr>
          <w:p>
            <w:pPr>
              <w:jc w:val="center"/>
              <w:ind w:right="180"/>
              <w:spacing w:after="0"/>
              <w:rPr>
                <w:sz w:val="20"/>
                <w:szCs w:val="20"/>
                <w:color w:val="auto"/>
              </w:rPr>
            </w:pPr>
            <w:r>
              <w:rPr>
                <w:rFonts w:ascii="Arial" w:cs="Arial" w:eastAsia="Arial" w:hAnsi="Arial"/>
                <w:sz w:val="13"/>
                <w:szCs w:val="13"/>
                <w:color w:val="auto"/>
                <w:w w:val="96"/>
              </w:rPr>
              <w:t>earnings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3"/>
          </w:tcPr>
          <w:p>
            <w:pPr>
              <w:jc w:val="center"/>
              <w:ind w:right="160"/>
              <w:spacing w:after="0"/>
              <w:rPr>
                <w:sz w:val="20"/>
                <w:szCs w:val="20"/>
                <w:color w:val="auto"/>
              </w:rPr>
            </w:pPr>
            <w:r>
              <w:rPr>
                <w:rFonts w:ascii="Arial" w:cs="Arial" w:eastAsia="Arial" w:hAnsi="Arial"/>
                <w:sz w:val="13"/>
                <w:szCs w:val="13"/>
                <w:color w:val="auto"/>
                <w:w w:val="95"/>
              </w:rPr>
              <w:t>income (loss)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3"/>
          </w:tcPr>
          <w:p>
            <w:pPr>
              <w:jc w:val="center"/>
              <w:ind w:right="140"/>
              <w:spacing w:after="0"/>
              <w:rPr>
                <w:sz w:val="20"/>
                <w:szCs w:val="20"/>
                <w:color w:val="auto"/>
              </w:rPr>
            </w:pPr>
            <w:r>
              <w:rPr>
                <w:rFonts w:ascii="Arial" w:cs="Arial" w:eastAsia="Arial" w:hAnsi="Arial"/>
                <w:sz w:val="13"/>
                <w:szCs w:val="13"/>
                <w:color w:val="auto"/>
                <w:w w:val="96"/>
              </w:rPr>
              <w:t>issuances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3"/>
          </w:tcPr>
          <w:p>
            <w:pPr>
              <w:ind w:left="40"/>
              <w:spacing w:after="0"/>
              <w:rPr>
                <w:sz w:val="20"/>
                <w:szCs w:val="20"/>
                <w:color w:val="auto"/>
              </w:rPr>
            </w:pPr>
            <w:r>
              <w:rPr>
                <w:rFonts w:ascii="Arial" w:cs="Arial" w:eastAsia="Arial" w:hAnsi="Arial"/>
                <w:sz w:val="13"/>
                <w:szCs w:val="13"/>
                <w:color w:val="auto"/>
              </w:rPr>
              <w:t>settlements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3"/>
          </w:tcPr>
          <w:p>
            <w:pPr>
              <w:jc w:val="center"/>
              <w:ind w:right="160"/>
              <w:spacing w:after="0"/>
              <w:rPr>
                <w:sz w:val="20"/>
                <w:szCs w:val="20"/>
                <w:color w:val="auto"/>
              </w:rPr>
            </w:pPr>
            <w:r>
              <w:rPr>
                <w:rFonts w:ascii="Arial" w:cs="Arial" w:eastAsia="Arial" w:hAnsi="Arial"/>
                <w:sz w:val="13"/>
                <w:szCs w:val="13"/>
                <w:color w:val="auto"/>
              </w:rPr>
              <w:t>Level 3</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auto"/>
              </w:rPr>
              <w:t>Level 3</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229"/>
              <w:spacing w:after="0"/>
              <w:rPr>
                <w:sz w:val="20"/>
                <w:szCs w:val="20"/>
                <w:color w:val="auto"/>
              </w:rPr>
            </w:pPr>
            <w:r>
              <w:rPr>
                <w:rFonts w:ascii="Arial" w:cs="Arial" w:eastAsia="Arial" w:hAnsi="Arial"/>
                <w:sz w:val="13"/>
                <w:szCs w:val="13"/>
                <w:color w:val="auto"/>
              </w:rPr>
              <w:t>31, 2025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60" w:type="dxa"/>
            <w:vAlign w:val="bottom"/>
          </w:tcPr>
          <w:p>
            <w:pPr>
              <w:spacing w:after="0"/>
              <w:rPr>
                <w:sz w:val="2"/>
                <w:szCs w:val="2"/>
                <w:color w:val="auto"/>
              </w:rPr>
            </w:pPr>
          </w:p>
        </w:tc>
        <w:tc>
          <w:tcPr>
            <w:tcW w:w="30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60" w:type="dxa"/>
            <w:vAlign w:val="bottom"/>
          </w:tcPr>
          <w:p>
            <w:pPr>
              <w:spacing w:after="0"/>
              <w:rPr>
                <w:sz w:val="15"/>
                <w:szCs w:val="15"/>
                <w:color w:val="auto"/>
              </w:rPr>
            </w:pPr>
          </w:p>
        </w:tc>
        <w:tc>
          <w:tcPr>
            <w:tcW w:w="3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AFS fixed maturities:</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3060" w:type="dxa"/>
            <w:vAlign w:val="bottom"/>
          </w:tcPr>
          <w:p>
            <w:pPr>
              <w:ind w:left="140"/>
              <w:spacing w:after="0"/>
              <w:rPr>
                <w:sz w:val="20"/>
                <w:szCs w:val="20"/>
                <w:color w:val="auto"/>
              </w:rPr>
            </w:pPr>
            <w:r>
              <w:rPr>
                <w:rFonts w:ascii="Arial" w:cs="Arial" w:eastAsia="Arial" w:hAnsi="Arial"/>
                <w:sz w:val="14"/>
                <w:szCs w:val="14"/>
                <w:color w:val="auto"/>
              </w:rPr>
              <w:t>State and municipal</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3</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3"/>
          </w:tcPr>
          <w:p>
            <w:pPr>
              <w:ind w:left="420"/>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ind w:right="14"/>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0" w:type="dxa"/>
            <w:vAlign w:val="bottom"/>
          </w:tcPr>
          <w:p>
            <w:pPr>
              <w:spacing w:after="0"/>
              <w:rPr>
                <w:sz w:val="17"/>
                <w:szCs w:val="17"/>
                <w:color w:val="auto"/>
              </w:rPr>
            </w:pPr>
          </w:p>
        </w:tc>
        <w:tc>
          <w:tcPr>
            <w:tcW w:w="30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Residential MBS</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3"/>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3060" w:type="dxa"/>
            <w:vAlign w:val="bottom"/>
          </w:tcPr>
          <w:p>
            <w:pPr>
              <w:ind w:left="140"/>
              <w:spacing w:after="0"/>
              <w:rPr>
                <w:sz w:val="20"/>
                <w:szCs w:val="20"/>
                <w:color w:val="auto"/>
              </w:rPr>
            </w:pPr>
            <w:r>
              <w:rPr>
                <w:rFonts w:ascii="Arial" w:cs="Arial" w:eastAsia="Arial" w:hAnsi="Arial"/>
                <w:sz w:val="14"/>
                <w:szCs w:val="14"/>
                <w:color w:val="auto"/>
              </w:rPr>
              <w:t>Collateralized loan obligations</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ind w:left="4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60" w:type="dxa"/>
            <w:vAlign w:val="bottom"/>
          </w:tcPr>
          <w:p>
            <w:pPr>
              <w:spacing w:after="0"/>
              <w:rPr>
                <w:sz w:val="17"/>
                <w:szCs w:val="17"/>
                <w:color w:val="auto"/>
              </w:rPr>
            </w:pPr>
          </w:p>
        </w:tc>
        <w:tc>
          <w:tcPr>
            <w:tcW w:w="30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asset-backed securities</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(27)</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3"/>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281</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306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Corporate and other</w:t>
            </w: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470</w:t>
            </w: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(6)</w:t>
            </w: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2"/>
          </w:tcPr>
          <w:p>
            <w:pPr>
              <w:ind w:left="540"/>
              <w:spacing w:after="0"/>
              <w:rPr>
                <w:sz w:val="20"/>
                <w:szCs w:val="20"/>
                <w:color w:val="auto"/>
              </w:rPr>
            </w:pPr>
            <w:r>
              <w:rPr>
                <w:rFonts w:ascii="Arial" w:cs="Arial" w:eastAsia="Arial" w:hAnsi="Arial"/>
                <w:sz w:val="14"/>
                <w:szCs w:val="14"/>
                <w:color w:val="auto"/>
              </w:rPr>
              <w:t>(14)</w:t>
            </w: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(7)</w:t>
            </w: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462</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0" w:type="dxa"/>
            <w:vAlign w:val="bottom"/>
          </w:tcPr>
          <w:p>
            <w:pPr>
              <w:spacing w:after="0"/>
              <w:rPr>
                <w:sz w:val="17"/>
                <w:szCs w:val="17"/>
                <w:color w:val="auto"/>
              </w:rPr>
            </w:pPr>
          </w:p>
        </w:tc>
        <w:tc>
          <w:tcPr>
            <w:tcW w:w="30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Total AFS fixed maturities</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768</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(41)</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(7)</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748</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3060" w:type="dxa"/>
            <w:vAlign w:val="bottom"/>
          </w:tcPr>
          <w:p>
            <w:pPr>
              <w:ind w:left="20"/>
              <w:spacing w:after="0"/>
              <w:rPr>
                <w:sz w:val="20"/>
                <w:szCs w:val="20"/>
                <w:color w:val="auto"/>
              </w:rPr>
            </w:pPr>
            <w:r>
              <w:rPr>
                <w:rFonts w:ascii="Arial" w:cs="Arial" w:eastAsia="Arial" w:hAnsi="Arial"/>
                <w:sz w:val="14"/>
                <w:szCs w:val="14"/>
                <w:color w:val="auto"/>
              </w:rPr>
              <w:t>Trading fixed maturities</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26</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ind w:left="540"/>
              <w:spacing w:after="0"/>
              <w:rPr>
                <w:sz w:val="20"/>
                <w:szCs w:val="20"/>
                <w:color w:val="auto"/>
              </w:rPr>
            </w:pPr>
            <w:r>
              <w:rPr>
                <w:rFonts w:ascii="Arial" w:cs="Arial" w:eastAsia="Arial" w:hAnsi="Arial"/>
                <w:sz w:val="14"/>
                <w:szCs w:val="14"/>
                <w:color w:val="auto"/>
              </w:rPr>
              <w:t>(14)</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ind w:left="4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0" w:type="dxa"/>
            <w:vAlign w:val="bottom"/>
          </w:tcPr>
          <w:p>
            <w:pPr>
              <w:spacing w:after="0"/>
              <w:rPr>
                <w:sz w:val="17"/>
                <w:szCs w:val="17"/>
                <w:color w:val="auto"/>
              </w:rPr>
            </w:pPr>
          </w:p>
        </w:tc>
        <w:tc>
          <w:tcPr>
            <w:tcW w:w="3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securities</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292</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297</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30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Assets of MIE</w:t>
            </w: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(1)</w:t>
            </w: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gridSpan w:val="2"/>
          </w:tcPr>
          <w:p>
            <w:pPr>
              <w:ind w:left="42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60" w:type="dxa"/>
            <w:vAlign w:val="bottom"/>
          </w:tcPr>
          <w:p>
            <w:pPr>
              <w:spacing w:after="0"/>
              <w:rPr>
                <w:sz w:val="19"/>
                <w:szCs w:val="19"/>
                <w:color w:val="auto"/>
              </w:rPr>
            </w:pPr>
          </w:p>
        </w:tc>
        <w:tc>
          <w:tcPr>
            <w:tcW w:w="30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Total Level 3 assets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1,096</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(8)</w:t>
            </w:r>
          </w:p>
        </w:tc>
        <w:tc>
          <w:tcPr>
            <w:tcW w:w="6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(55)</w:t>
            </w:r>
          </w:p>
        </w:tc>
        <w:tc>
          <w:tcPr>
            <w:tcW w:w="6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(13)</w:t>
            </w:r>
          </w:p>
        </w:tc>
        <w:tc>
          <w:tcPr>
            <w:tcW w:w="6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14"/>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0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3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Contingent consideration — acquisitions</w:t>
            </w:r>
          </w:p>
        </w:tc>
        <w:tc>
          <w:tcPr>
            <w:tcW w:w="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40" w:type="dxa"/>
            <w:vAlign w:val="bottom"/>
            <w:tcBorders>
              <w:bottom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0"/>
        </w:trPr>
        <w:tc>
          <w:tcPr>
            <w:tcW w:w="60" w:type="dxa"/>
            <w:vAlign w:val="bottom"/>
          </w:tcPr>
          <w:p>
            <w:pPr>
              <w:spacing w:after="0"/>
              <w:rPr>
                <w:sz w:val="17"/>
                <w:szCs w:val="17"/>
                <w:color w:val="auto"/>
              </w:rPr>
            </w:pPr>
          </w:p>
        </w:tc>
        <w:tc>
          <w:tcPr>
            <w:tcW w:w="3060" w:type="dxa"/>
            <w:vAlign w:val="bottom"/>
          </w:tcPr>
          <w:p>
            <w:pPr>
              <w:ind w:left="140"/>
              <w:spacing w:after="0"/>
              <w:rPr>
                <w:sz w:val="20"/>
                <w:szCs w:val="20"/>
                <w:color w:val="auto"/>
              </w:rPr>
            </w:pPr>
            <w:r>
              <w:rPr>
                <w:rFonts w:ascii="Arial" w:cs="Arial" w:eastAsia="Arial" w:hAnsi="Arial"/>
                <w:sz w:val="14"/>
                <w:szCs w:val="14"/>
                <w:color w:val="auto"/>
              </w:rPr>
              <w:t>Total Level 3 liabilities</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4"/>
                <w:szCs w:val="14"/>
                <w:color w:val="auto"/>
              </w:rPr>
              <w:t>(2)</w:t>
            </w:r>
          </w:p>
        </w:tc>
        <w:tc>
          <w:tcPr>
            <w:tcW w:w="6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3"/>
          </w:tcPr>
          <w:p>
            <w:pPr>
              <w:ind w:left="420"/>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ind w:right="14"/>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74295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280" w:top="116" w:right="359" w:bottom="1440" w:gutter="0" w:footer="0" w:header="0"/>
        </w:sectPr>
      </w:pPr>
    </w:p>
    <w:bookmarkStart w:id="17" w:name="page18"/>
    <w:bookmarkEnd w:id="17"/>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p>
      <w:pPr>
        <w:ind w:right="660"/>
        <w:spacing w:after="0" w:line="249" w:lineRule="auto"/>
        <w:rPr>
          <w:sz w:val="20"/>
          <w:szCs w:val="20"/>
          <w:color w:val="auto"/>
        </w:rPr>
      </w:pPr>
      <w:r>
        <w:rPr>
          <w:rFonts w:ascii="Arial" w:cs="Arial" w:eastAsia="Arial" w:hAnsi="Arial"/>
          <w:sz w:val="20"/>
          <w:szCs w:val="20"/>
          <w:b w:val="1"/>
          <w:bCs w:val="1"/>
          <w:color w:val="003366"/>
        </w:rPr>
        <w:t xml:space="preserve">Fair Value of Financial Instruments </w:t>
      </w:r>
      <w:r>
        <w:rPr>
          <w:rFonts w:ascii="Arial" w:cs="Arial" w:eastAsia="Arial" w:hAnsi="Arial"/>
          <w:sz w:val="17"/>
          <w:szCs w:val="17"/>
          <w:color w:val="000000"/>
        </w:rPr>
        <w:t>The carrying value and fair value of financial instruments that are not carried at fair value in the</w:t>
      </w:r>
      <w:r>
        <w:rPr>
          <w:rFonts w:ascii="Arial" w:cs="Arial" w:eastAsia="Arial" w:hAnsi="Arial"/>
          <w:sz w:val="20"/>
          <w:szCs w:val="20"/>
          <w:b w:val="1"/>
          <w:bCs w:val="1"/>
          <w:color w:val="003366"/>
        </w:rPr>
        <w:t xml:space="preserve"> </w:t>
      </w:r>
      <w:r>
        <w:rPr>
          <w:rFonts w:ascii="Arial" w:cs="Arial" w:eastAsia="Arial" w:hAnsi="Arial"/>
          <w:sz w:val="17"/>
          <w:szCs w:val="17"/>
          <w:color w:val="000000"/>
        </w:rPr>
        <w:t>financial statements are summarized below (in millions):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5"/>
          </w:tcPr>
          <w:p>
            <w:pPr>
              <w:ind w:left="560"/>
              <w:spacing w:after="0"/>
              <w:rPr>
                <w:sz w:val="20"/>
                <w:szCs w:val="20"/>
                <w:color w:val="auto"/>
              </w:rPr>
            </w:pPr>
            <w:r>
              <w:rPr>
                <w:rFonts w:ascii="Arial" w:cs="Arial" w:eastAsia="Arial" w:hAnsi="Arial"/>
                <w:sz w:val="15"/>
                <w:szCs w:val="15"/>
                <w:color w:val="auto"/>
              </w:rPr>
              <w:t>Fair Value</w:t>
            </w: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1140" w:type="dxa"/>
            <w:vAlign w:val="bottom"/>
            <w:gridSpan w:val="3"/>
          </w:tcPr>
          <w:p>
            <w:pPr>
              <w:ind w:left="20"/>
              <w:spacing w:after="0"/>
              <w:rPr>
                <w:sz w:val="20"/>
                <w:szCs w:val="20"/>
                <w:color w:val="auto"/>
              </w:rPr>
            </w:pPr>
            <w:r>
              <w:rPr>
                <w:rFonts w:ascii="Arial" w:cs="Arial" w:eastAsia="Arial" w:hAnsi="Arial"/>
                <w:sz w:val="15"/>
                <w:szCs w:val="15"/>
                <w:color w:val="auto"/>
              </w:rPr>
              <w:t>Carrying Value</w:t>
            </w:r>
          </w:p>
        </w:tc>
        <w:tc>
          <w:tcPr>
            <w:tcW w:w="240" w:type="dxa"/>
            <w:vAlign w:val="bottom"/>
          </w:tcPr>
          <w:p>
            <w:pPr>
              <w:spacing w:after="0"/>
              <w:rPr>
                <w:sz w:val="17"/>
                <w:szCs w:val="17"/>
                <w:color w:val="auto"/>
              </w:rPr>
            </w:pPr>
          </w:p>
        </w:tc>
        <w:tc>
          <w:tcPr>
            <w:tcW w:w="900" w:type="dxa"/>
            <w:vAlign w:val="bottom"/>
            <w:gridSpan w:val="2"/>
          </w:tcPr>
          <w:p>
            <w:pPr>
              <w:ind w:left="120"/>
              <w:spacing w:after="0"/>
              <w:rPr>
                <w:sz w:val="20"/>
                <w:szCs w:val="20"/>
                <w:color w:val="auto"/>
              </w:rPr>
            </w:pPr>
            <w:r>
              <w:rPr>
                <w:rFonts w:ascii="Arial" w:cs="Arial" w:eastAsia="Arial" w:hAnsi="Arial"/>
                <w:sz w:val="15"/>
                <w:szCs w:val="15"/>
                <w:color w:val="auto"/>
              </w:rPr>
              <w:t>Total</w:t>
            </w:r>
          </w:p>
        </w:tc>
        <w:tc>
          <w:tcPr>
            <w:tcW w:w="180" w:type="dxa"/>
            <w:vAlign w:val="bottom"/>
          </w:tcPr>
          <w:p>
            <w:pPr>
              <w:spacing w:after="0"/>
              <w:rPr>
                <w:sz w:val="17"/>
                <w:szCs w:val="17"/>
                <w:color w:val="auto"/>
              </w:rPr>
            </w:pPr>
          </w:p>
        </w:tc>
        <w:tc>
          <w:tcPr>
            <w:tcW w:w="940" w:type="dxa"/>
            <w:vAlign w:val="bottom"/>
            <w:gridSpan w:val="2"/>
          </w:tcPr>
          <w:p>
            <w:pPr>
              <w:ind w:left="80"/>
              <w:spacing w:after="0"/>
              <w:rPr>
                <w:sz w:val="20"/>
                <w:szCs w:val="20"/>
                <w:color w:val="auto"/>
              </w:rPr>
            </w:pPr>
            <w:r>
              <w:rPr>
                <w:rFonts w:ascii="Arial" w:cs="Arial" w:eastAsia="Arial" w:hAnsi="Arial"/>
                <w:sz w:val="15"/>
                <w:szCs w:val="15"/>
                <w:color w:val="auto"/>
              </w:rPr>
              <w:t>Level 1</w:t>
            </w:r>
          </w:p>
        </w:tc>
        <w:tc>
          <w:tcPr>
            <w:tcW w:w="200" w:type="dxa"/>
            <w:vAlign w:val="bottom"/>
          </w:tcPr>
          <w:p>
            <w:pPr>
              <w:spacing w:after="0"/>
              <w:rPr>
                <w:sz w:val="17"/>
                <w:szCs w:val="17"/>
                <w:color w:val="auto"/>
              </w:rPr>
            </w:pPr>
          </w:p>
        </w:tc>
        <w:tc>
          <w:tcPr>
            <w:tcW w:w="940" w:type="dxa"/>
            <w:vAlign w:val="bottom"/>
            <w:gridSpan w:val="2"/>
          </w:tcPr>
          <w:p>
            <w:pPr>
              <w:ind w:left="80"/>
              <w:spacing w:after="0"/>
              <w:rPr>
                <w:sz w:val="20"/>
                <w:szCs w:val="20"/>
                <w:color w:val="auto"/>
              </w:rPr>
            </w:pPr>
            <w:r>
              <w:rPr>
                <w:rFonts w:ascii="Arial" w:cs="Arial" w:eastAsia="Arial" w:hAnsi="Arial"/>
                <w:sz w:val="15"/>
                <w:szCs w:val="15"/>
                <w:color w:val="auto"/>
              </w:rPr>
              <w:t>Level 2</w:t>
            </w:r>
          </w:p>
        </w:tc>
        <w:tc>
          <w:tcPr>
            <w:tcW w:w="200" w:type="dxa"/>
            <w:vAlign w:val="bottom"/>
          </w:tcPr>
          <w:p>
            <w:pPr>
              <w:spacing w:after="0"/>
              <w:rPr>
                <w:sz w:val="17"/>
                <w:szCs w:val="17"/>
                <w:color w:val="auto"/>
              </w:rPr>
            </w:pPr>
          </w:p>
        </w:tc>
        <w:tc>
          <w:tcPr>
            <w:tcW w:w="840" w:type="dxa"/>
            <w:vAlign w:val="bottom"/>
          </w:tcPr>
          <w:p>
            <w:pPr>
              <w:jc w:val="right"/>
              <w:ind w:right="199"/>
              <w:spacing w:after="0"/>
              <w:rPr>
                <w:sz w:val="20"/>
                <w:szCs w:val="20"/>
                <w:color w:val="auto"/>
              </w:rPr>
            </w:pPr>
            <w:r>
              <w:rPr>
                <w:rFonts w:ascii="Arial" w:cs="Arial" w:eastAsia="Arial" w:hAnsi="Arial"/>
                <w:sz w:val="15"/>
                <w:szCs w:val="15"/>
                <w:color w:val="auto"/>
              </w:rPr>
              <w:t>Level 3</w:t>
            </w:r>
          </w:p>
        </w:tc>
      </w:tr>
      <w:tr>
        <w:trPr>
          <w:trHeight w:val="177"/>
        </w:trPr>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160" w:type="dxa"/>
            <w:vAlign w:val="bottom"/>
            <w:tcBorders>
              <w:top w:val="single" w:sz="8" w:color="CCEEFF"/>
              <w:bottom w:val="single" w:sz="8" w:color="auto"/>
            </w:tcBorders>
            <w:shd w:val="clear" w:color="auto" w:fill="CCEEFF"/>
          </w:tcPr>
          <w:p>
            <w:pPr>
              <w:spacing w:after="0" w:line="157" w:lineRule="exact"/>
              <w:rPr>
                <w:sz w:val="20"/>
                <w:szCs w:val="20"/>
                <w:color w:val="auto"/>
              </w:rPr>
            </w:pPr>
            <w:r>
              <w:rPr>
                <w:rFonts w:ascii="Arial" w:cs="Arial" w:eastAsia="Arial" w:hAnsi="Arial"/>
                <w:sz w:val="16"/>
                <w:szCs w:val="16"/>
                <w:b w:val="1"/>
                <w:bCs w:val="1"/>
                <w:color w:val="auto"/>
              </w:rPr>
              <w:t>March 31, 2026</w:t>
            </w:r>
          </w:p>
        </w:tc>
        <w:tc>
          <w:tcPr>
            <w:tcW w:w="448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340" w:type="dxa"/>
            <w:vAlign w:val="bottom"/>
            <w:tcBorders>
              <w:top w:val="single" w:sz="8" w:color="auto"/>
              <w:bottom w:val="single" w:sz="8" w:color="CCEEFF"/>
            </w:tcBorders>
            <w:shd w:val="clear" w:color="auto" w:fill="CCEEFF"/>
          </w:tcPr>
          <w:p>
            <w:pPr>
              <w:spacing w:after="0"/>
              <w:rPr>
                <w:sz w:val="15"/>
                <w:szCs w:val="15"/>
                <w:color w:val="auto"/>
              </w:rPr>
            </w:pPr>
          </w:p>
        </w:tc>
        <w:tc>
          <w:tcPr>
            <w:tcW w:w="70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CCEEFF"/>
            </w:tcBorders>
            <w:shd w:val="clear" w:color="auto" w:fill="CCEEFF"/>
          </w:tcPr>
          <w:p>
            <w:pPr>
              <w:spacing w:after="0"/>
              <w:rPr>
                <w:sz w:val="15"/>
                <w:szCs w:val="15"/>
                <w:color w:val="auto"/>
              </w:rPr>
            </w:pPr>
          </w:p>
        </w:tc>
        <w:tc>
          <w:tcPr>
            <w:tcW w:w="80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CCEEFF"/>
            </w:tcBorders>
            <w:shd w:val="clear" w:color="auto" w:fill="CCEEFF"/>
          </w:tcPr>
          <w:p>
            <w:pPr>
              <w:spacing w:after="0"/>
              <w:rPr>
                <w:sz w:val="15"/>
                <w:szCs w:val="15"/>
                <w:color w:val="auto"/>
              </w:rPr>
            </w:pPr>
          </w:p>
        </w:tc>
        <w:tc>
          <w:tcPr>
            <w:tcW w:w="86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CCEEFF"/>
            </w:tcBorders>
            <w:shd w:val="clear" w:color="auto" w:fill="CCEEFF"/>
          </w:tcPr>
          <w:p>
            <w:pPr>
              <w:spacing w:after="0"/>
              <w:rPr>
                <w:sz w:val="15"/>
                <w:szCs w:val="15"/>
                <w:color w:val="auto"/>
              </w:rPr>
            </w:pPr>
          </w:p>
        </w:tc>
        <w:tc>
          <w:tcPr>
            <w:tcW w:w="84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CCEEFF"/>
            </w:tcBorders>
            <w:shd w:val="clear" w:color="auto" w:fill="CCEEFF"/>
          </w:tcPr>
          <w:p>
            <w:pPr>
              <w:spacing w:after="0"/>
              <w:rPr>
                <w:sz w:val="15"/>
                <w:szCs w:val="15"/>
                <w:color w:val="auto"/>
              </w:rPr>
            </w:pPr>
          </w:p>
        </w:tc>
        <w:tc>
          <w:tcPr>
            <w:tcW w:w="840" w:type="dxa"/>
            <w:vAlign w:val="bottom"/>
            <w:tcBorders>
              <w:top w:val="single" w:sz="8" w:color="auto"/>
              <w:bottom w:val="single" w:sz="8" w:color="CCEEFF"/>
            </w:tcBorders>
            <w:shd w:val="clear" w:color="auto" w:fill="CCEEFF"/>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5640" w:type="dxa"/>
            <w:vAlign w:val="bottom"/>
            <w:gridSpan w:val="3"/>
          </w:tcPr>
          <w:p>
            <w:pPr>
              <w:spacing w:after="0"/>
              <w:rPr>
                <w:sz w:val="20"/>
                <w:szCs w:val="20"/>
                <w:color w:val="auto"/>
              </w:rPr>
            </w:pPr>
            <w:r>
              <w:rPr>
                <w:rFonts w:ascii="Arial" w:cs="Arial" w:eastAsia="Arial" w:hAnsi="Arial"/>
                <w:sz w:val="16"/>
                <w:szCs w:val="16"/>
                <w:b w:val="1"/>
                <w:bCs w:val="1"/>
                <w:color w:val="auto"/>
              </w:rPr>
              <w:t>Financial assets:</w:t>
            </w: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56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3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20" w:type="dxa"/>
            <w:vAlign w:val="bottom"/>
          </w:tcPr>
          <w:p>
            <w:pPr>
              <w:spacing w:after="0"/>
              <w:rPr>
                <w:sz w:val="18"/>
                <w:szCs w:val="18"/>
                <w:color w:val="auto"/>
              </w:rPr>
            </w:pPr>
          </w:p>
        </w:tc>
        <w:tc>
          <w:tcPr>
            <w:tcW w:w="5640" w:type="dxa"/>
            <w:vAlign w:val="bottom"/>
            <w:gridSpan w:val="3"/>
          </w:tcPr>
          <w:p>
            <w:pPr>
              <w:spacing w:after="0"/>
              <w:rPr>
                <w:sz w:val="20"/>
                <w:szCs w:val="20"/>
                <w:color w:val="auto"/>
              </w:rPr>
            </w:pPr>
            <w:r>
              <w:rPr>
                <w:rFonts w:ascii="Arial" w:cs="Arial" w:eastAsia="Arial" w:hAnsi="Arial"/>
                <w:sz w:val="16"/>
                <w:szCs w:val="16"/>
                <w:color w:val="auto"/>
              </w:rPr>
              <w:t>Mortgage loans</w:t>
            </w: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961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953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953</w:t>
            </w:r>
          </w:p>
        </w:tc>
      </w:tr>
      <w:tr>
        <w:trPr>
          <w:trHeight w:val="235"/>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5640" w:type="dxa"/>
            <w:vAlign w:val="bottom"/>
            <w:tcBorders>
              <w:top w:val="single" w:sz="8" w:color="CCEEFF"/>
              <w:bottom w:val="single" w:sz="8" w:color="CCEEFF"/>
            </w:tcBorders>
            <w:gridSpan w:val="3"/>
            <w:shd w:val="clear" w:color="auto" w:fill="CCEEFF"/>
          </w:tcPr>
          <w:p>
            <w:pPr>
              <w:ind w:left="340"/>
              <w:spacing w:after="0"/>
              <w:rPr>
                <w:sz w:val="20"/>
                <w:szCs w:val="20"/>
                <w:color w:val="auto"/>
              </w:rPr>
            </w:pPr>
            <w:r>
              <w:rPr>
                <w:rFonts w:ascii="Arial" w:cs="Arial" w:eastAsia="Arial" w:hAnsi="Arial"/>
                <w:sz w:val="16"/>
                <w:szCs w:val="16"/>
                <w:color w:val="auto"/>
              </w:rPr>
              <w:t>Total financial assets not accounted for at fair value</w:t>
            </w:r>
          </w:p>
        </w:tc>
        <w:tc>
          <w:tcPr>
            <w:tcW w:w="3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2,314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4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16"/>
        </w:trPr>
        <w:tc>
          <w:tcPr>
            <w:tcW w:w="20" w:type="dxa"/>
            <w:vAlign w:val="bottom"/>
            <w:shd w:val="clear" w:color="auto" w:fill="CCEEFF"/>
          </w:tcPr>
          <w:p>
            <w:pPr>
              <w:spacing w:after="0"/>
              <w:rPr>
                <w:sz w:val="18"/>
                <w:szCs w:val="18"/>
                <w:color w:val="auto"/>
              </w:rPr>
            </w:pPr>
          </w:p>
        </w:tc>
        <w:tc>
          <w:tcPr>
            <w:tcW w:w="56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Long-term debt</w:t>
            </w:r>
          </w:p>
        </w:tc>
        <w:tc>
          <w:tcPr>
            <w:tcW w:w="3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10"/>
        </w:trPr>
        <w:tc>
          <w:tcPr>
            <w:tcW w:w="20" w:type="dxa"/>
            <w:vAlign w:val="bottom"/>
          </w:tcPr>
          <w:p>
            <w:pPr>
              <w:spacing w:after="0"/>
              <w:rPr>
                <w:sz w:val="18"/>
                <w:szCs w:val="18"/>
                <w:color w:val="auto"/>
              </w:rPr>
            </w:pPr>
          </w:p>
        </w:tc>
        <w:tc>
          <w:tcPr>
            <w:tcW w:w="5640" w:type="dxa"/>
            <w:vAlign w:val="bottom"/>
            <w:gridSpan w:val="3"/>
          </w:tcPr>
          <w:p>
            <w:pPr>
              <w:ind w:left="340"/>
              <w:spacing w:after="0"/>
              <w:rPr>
                <w:sz w:val="20"/>
                <w:szCs w:val="20"/>
                <w:color w:val="auto"/>
              </w:rPr>
            </w:pPr>
            <w:r>
              <w:rPr>
                <w:rFonts w:ascii="Arial" w:cs="Arial" w:eastAsia="Arial" w:hAnsi="Arial"/>
                <w:sz w:val="16"/>
                <w:szCs w:val="16"/>
                <w:color w:val="auto"/>
              </w:rPr>
              <w:t>Total financial liabilities not accounted for at fair value</w:t>
            </w: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1,820</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1,552</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1,549</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4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1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5640" w:type="dxa"/>
            <w:vAlign w:val="bottom"/>
            <w:gridSpan w:val="3"/>
          </w:tcPr>
          <w:p>
            <w:pPr>
              <w:spacing w:after="0" w:line="175" w:lineRule="exact"/>
              <w:rPr>
                <w:sz w:val="20"/>
                <w:szCs w:val="20"/>
                <w:color w:val="auto"/>
              </w:rPr>
            </w:pPr>
            <w:r>
              <w:rPr>
                <w:rFonts w:ascii="Arial" w:cs="Arial" w:eastAsia="Arial" w:hAnsi="Arial"/>
                <w:sz w:val="16"/>
                <w:szCs w:val="16"/>
                <w:b w:val="1"/>
                <w:bCs w:val="1"/>
                <w:color w:val="auto"/>
              </w:rPr>
              <w:t>December 31, 2025</w:t>
            </w: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116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64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Financial assets:</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5640" w:type="dxa"/>
            <w:vAlign w:val="bottom"/>
            <w:gridSpan w:val="3"/>
          </w:tcPr>
          <w:p>
            <w:pPr>
              <w:spacing w:after="0"/>
              <w:rPr>
                <w:sz w:val="20"/>
                <w:szCs w:val="20"/>
                <w:color w:val="auto"/>
              </w:rPr>
            </w:pPr>
            <w:r>
              <w:rPr>
                <w:rFonts w:ascii="Arial" w:cs="Arial" w:eastAsia="Arial" w:hAnsi="Arial"/>
                <w:sz w:val="16"/>
                <w:szCs w:val="16"/>
                <w:color w:val="auto"/>
              </w:rPr>
              <w:t>Cash and cash equivalents</w:t>
            </w:r>
          </w:p>
        </w:tc>
        <w:tc>
          <w:tcPr>
            <w:tcW w:w="340" w:type="dxa"/>
            <w:vAlign w:val="bottom"/>
          </w:tcPr>
          <w:p>
            <w:pPr>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1,727</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1,727</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1,727</w:t>
            </w:r>
          </w:p>
        </w:tc>
        <w:tc>
          <w:tcPr>
            <w:tcW w:w="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20" w:type="dxa"/>
            <w:vAlign w:val="bottom"/>
            <w:shd w:val="clear" w:color="auto" w:fill="CCEEFF"/>
          </w:tcPr>
          <w:p>
            <w:pPr>
              <w:spacing w:after="0"/>
              <w:rPr>
                <w:sz w:val="18"/>
                <w:szCs w:val="18"/>
                <w:color w:val="auto"/>
              </w:rPr>
            </w:pPr>
          </w:p>
        </w:tc>
        <w:tc>
          <w:tcPr>
            <w:tcW w:w="56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Mortgage loans</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937</w:t>
            </w:r>
          </w:p>
        </w:tc>
      </w:tr>
      <w:tr>
        <w:trPr>
          <w:trHeight w:val="210"/>
        </w:trPr>
        <w:tc>
          <w:tcPr>
            <w:tcW w:w="20" w:type="dxa"/>
            <w:vAlign w:val="bottom"/>
          </w:tcPr>
          <w:p>
            <w:pPr>
              <w:spacing w:after="0"/>
              <w:rPr>
                <w:sz w:val="18"/>
                <w:szCs w:val="18"/>
                <w:color w:val="auto"/>
              </w:rPr>
            </w:pPr>
          </w:p>
        </w:tc>
        <w:tc>
          <w:tcPr>
            <w:tcW w:w="5640" w:type="dxa"/>
            <w:vAlign w:val="bottom"/>
            <w:gridSpan w:val="3"/>
          </w:tcPr>
          <w:p>
            <w:pPr>
              <w:ind w:left="340"/>
              <w:spacing w:after="0"/>
              <w:rPr>
                <w:sz w:val="20"/>
                <w:szCs w:val="20"/>
                <w:color w:val="auto"/>
              </w:rPr>
            </w:pPr>
            <w:r>
              <w:rPr>
                <w:rFonts w:ascii="Arial" w:cs="Arial" w:eastAsia="Arial" w:hAnsi="Arial"/>
                <w:sz w:val="16"/>
                <w:szCs w:val="16"/>
                <w:color w:val="auto"/>
              </w:rPr>
              <w:t>Total financial assets not accounted for at fair value</w:t>
            </w: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2,674</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2,664</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1,727</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937</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4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1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215"/>
        </w:trPr>
        <w:tc>
          <w:tcPr>
            <w:tcW w:w="20" w:type="dxa"/>
            <w:vAlign w:val="bottom"/>
          </w:tcPr>
          <w:p>
            <w:pPr>
              <w:spacing w:after="0"/>
              <w:rPr>
                <w:sz w:val="18"/>
                <w:szCs w:val="18"/>
                <w:color w:val="auto"/>
              </w:rPr>
            </w:pPr>
          </w:p>
        </w:tc>
        <w:tc>
          <w:tcPr>
            <w:tcW w:w="5640" w:type="dxa"/>
            <w:vAlign w:val="bottom"/>
            <w:gridSpan w:val="3"/>
          </w:tcPr>
          <w:p>
            <w:pPr>
              <w:spacing w:after="0"/>
              <w:rPr>
                <w:sz w:val="20"/>
                <w:szCs w:val="20"/>
                <w:color w:val="auto"/>
              </w:rPr>
            </w:pPr>
            <w:r>
              <w:rPr>
                <w:rFonts w:ascii="Arial" w:cs="Arial" w:eastAsia="Arial" w:hAnsi="Arial"/>
                <w:sz w:val="16"/>
                <w:szCs w:val="16"/>
                <w:color w:val="auto"/>
              </w:rPr>
              <w:t>Long-term debt</w:t>
            </w:r>
          </w:p>
        </w:tc>
        <w:tc>
          <w:tcPr>
            <w:tcW w:w="340" w:type="dxa"/>
            <w:vAlign w:val="bottom"/>
          </w:tcPr>
          <w:p>
            <w:pPr>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1,820</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1,609</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1,606</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35"/>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5640" w:type="dxa"/>
            <w:vAlign w:val="bottom"/>
            <w:tcBorders>
              <w:top w:val="single" w:sz="8" w:color="CCEEFF"/>
              <w:bottom w:val="single" w:sz="8" w:color="CCEEFF"/>
            </w:tcBorders>
            <w:gridSpan w:val="3"/>
            <w:shd w:val="clear" w:color="auto" w:fill="CCEEFF"/>
          </w:tcPr>
          <w:p>
            <w:pPr>
              <w:ind w:left="340"/>
              <w:spacing w:after="0"/>
              <w:rPr>
                <w:sz w:val="20"/>
                <w:szCs w:val="20"/>
                <w:color w:val="auto"/>
              </w:rPr>
            </w:pPr>
            <w:r>
              <w:rPr>
                <w:rFonts w:ascii="Arial" w:cs="Arial" w:eastAsia="Arial" w:hAnsi="Arial"/>
                <w:sz w:val="16"/>
                <w:szCs w:val="16"/>
                <w:color w:val="auto"/>
              </w:rPr>
              <w:t>Total financial liabilities not accounted for at fair value</w:t>
            </w:r>
          </w:p>
        </w:tc>
        <w:tc>
          <w:tcPr>
            <w:tcW w:w="3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4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303" w:lineRule="exact"/>
        <w:rPr>
          <w:sz w:val="20"/>
          <w:szCs w:val="20"/>
          <w:color w:val="auto"/>
        </w:rPr>
      </w:pPr>
    </w:p>
    <w:p>
      <w:pPr>
        <w:ind w:left="620" w:hanging="612"/>
        <w:spacing w:after="0"/>
        <w:tabs>
          <w:tab w:leader="none" w:pos="620" w:val="left"/>
        </w:tabs>
        <w:numPr>
          <w:ilvl w:val="0"/>
          <w:numId w:val="10"/>
        </w:numPr>
        <w:rPr>
          <w:rFonts w:ascii="Arial" w:cs="Arial" w:eastAsia="Arial" w:hAnsi="Arial"/>
          <w:sz w:val="29"/>
          <w:szCs w:val="29"/>
          <w:b w:val="1"/>
          <w:bCs w:val="1"/>
          <w:color w:val="003366"/>
        </w:rPr>
      </w:pPr>
      <w:r>
        <w:rPr>
          <w:rFonts w:ascii="Arial" w:cs="Arial" w:eastAsia="Arial" w:hAnsi="Arial"/>
          <w:sz w:val="29"/>
          <w:szCs w:val="29"/>
          <w:b w:val="1"/>
          <w:bCs w:val="1"/>
          <w:color w:val="003366"/>
        </w:rPr>
        <w:t>Investments</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color w:val="auto"/>
        </w:rPr>
        <w:t>Available for sale fixed maturities at March 31, 2026 and December 31, 2025, consisted of the following (in millions):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color w:val="auto"/>
              </w:rPr>
              <w:t>Allowance for</w:t>
            </w:r>
          </w:p>
        </w:tc>
        <w:tc>
          <w:tcPr>
            <w:tcW w:w="160" w:type="dxa"/>
            <w:vAlign w:val="bottom"/>
          </w:tcPr>
          <w:p>
            <w:pPr>
              <w:spacing w:after="0"/>
              <w:rPr>
                <w:sz w:val="14"/>
                <w:szCs w:val="14"/>
                <w:color w:val="auto"/>
              </w:rPr>
            </w:pPr>
          </w:p>
        </w:tc>
        <w:tc>
          <w:tcPr>
            <w:tcW w:w="1720" w:type="dxa"/>
            <w:vAlign w:val="bottom"/>
            <w:gridSpan w:val="5"/>
          </w:tcPr>
          <w:p>
            <w:pPr>
              <w:ind w:left="180"/>
              <w:spacing w:after="0"/>
              <w:rPr>
                <w:sz w:val="20"/>
                <w:szCs w:val="20"/>
                <w:color w:val="auto"/>
              </w:rPr>
            </w:pPr>
            <w:r>
              <w:rPr>
                <w:rFonts w:ascii="Arial" w:cs="Arial" w:eastAsia="Arial" w:hAnsi="Arial"/>
                <w:sz w:val="14"/>
                <w:szCs w:val="14"/>
                <w:color w:val="auto"/>
              </w:rPr>
              <w:t>Gross Unrealized</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300" w:type="dxa"/>
            <w:vAlign w:val="bottom"/>
          </w:tcPr>
          <w:p>
            <w:pPr>
              <w:spacing w:after="0"/>
              <w:rPr>
                <w:sz w:val="4"/>
                <w:szCs w:val="4"/>
                <w:color w:val="auto"/>
              </w:rPr>
            </w:pPr>
          </w:p>
        </w:tc>
        <w:tc>
          <w:tcPr>
            <w:tcW w:w="3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gridSpan w:val="2"/>
            <w:vMerge w:val="restart"/>
          </w:tcPr>
          <w:p>
            <w:pPr>
              <w:jc w:val="center"/>
              <w:ind w:right="220"/>
              <w:spacing w:after="0" w:line="122" w:lineRule="exact"/>
              <w:rPr>
                <w:sz w:val="20"/>
                <w:szCs w:val="20"/>
                <w:color w:val="auto"/>
              </w:rPr>
            </w:pPr>
            <w:r>
              <w:rPr>
                <w:rFonts w:ascii="Arial" w:cs="Arial" w:eastAsia="Arial" w:hAnsi="Arial"/>
                <w:sz w:val="14"/>
                <w:szCs w:val="14"/>
                <w:color w:val="auto"/>
              </w:rPr>
              <w:t>Amortized</w:t>
            </w:r>
          </w:p>
        </w:tc>
        <w:tc>
          <w:tcPr>
            <w:tcW w:w="160" w:type="dxa"/>
            <w:vAlign w:val="bottom"/>
          </w:tcPr>
          <w:p>
            <w:pPr>
              <w:spacing w:after="0"/>
              <w:rPr>
                <w:sz w:val="4"/>
                <w:szCs w:val="4"/>
                <w:color w:val="auto"/>
              </w:rPr>
            </w:pPr>
          </w:p>
        </w:tc>
        <w:tc>
          <w:tcPr>
            <w:tcW w:w="1380" w:type="dxa"/>
            <w:vAlign w:val="bottom"/>
            <w:gridSpan w:val="2"/>
            <w:vMerge w:val="restart"/>
          </w:tcPr>
          <w:p>
            <w:pPr>
              <w:jc w:val="center"/>
              <w:ind w:right="240"/>
              <w:spacing w:after="0" w:line="122" w:lineRule="exact"/>
              <w:rPr>
                <w:sz w:val="20"/>
                <w:szCs w:val="20"/>
                <w:color w:val="auto"/>
              </w:rPr>
            </w:pPr>
            <w:r>
              <w:rPr>
                <w:rFonts w:ascii="Arial" w:cs="Arial" w:eastAsia="Arial" w:hAnsi="Arial"/>
                <w:sz w:val="14"/>
                <w:szCs w:val="14"/>
                <w:color w:val="auto"/>
              </w:rPr>
              <w:t>Expected Credit</w:t>
            </w:r>
          </w:p>
        </w:tc>
        <w:tc>
          <w:tcPr>
            <w:tcW w:w="1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60" w:type="dxa"/>
            <w:vAlign w:val="bottom"/>
            <w:gridSpan w:val="2"/>
            <w:vMerge w:val="restart"/>
          </w:tcPr>
          <w:p>
            <w:pPr>
              <w:jc w:val="center"/>
              <w:ind w:right="220"/>
              <w:spacing w:after="0" w:line="122" w:lineRule="exact"/>
              <w:rPr>
                <w:sz w:val="20"/>
                <w:szCs w:val="20"/>
                <w:color w:val="auto"/>
              </w:rPr>
            </w:pPr>
            <w:r>
              <w:rPr>
                <w:rFonts w:ascii="Arial" w:cs="Arial" w:eastAsia="Arial" w:hAnsi="Arial"/>
                <w:sz w:val="14"/>
                <w:szCs w:val="14"/>
                <w:color w:val="auto"/>
              </w:rPr>
              <w:t>Net</w:t>
            </w:r>
          </w:p>
        </w:tc>
        <w:tc>
          <w:tcPr>
            <w:tcW w:w="220" w:type="dxa"/>
            <w:vAlign w:val="bottom"/>
          </w:tcPr>
          <w:p>
            <w:pPr>
              <w:spacing w:after="0"/>
              <w:rPr>
                <w:sz w:val="4"/>
                <w:szCs w:val="4"/>
                <w:color w:val="auto"/>
              </w:rPr>
            </w:pPr>
          </w:p>
        </w:tc>
        <w:tc>
          <w:tcPr>
            <w:tcW w:w="760" w:type="dxa"/>
            <w:vAlign w:val="bottom"/>
            <w:vMerge w:val="restart"/>
          </w:tcPr>
          <w:p>
            <w:pPr>
              <w:jc w:val="right"/>
              <w:ind w:right="280"/>
              <w:spacing w:after="0" w:line="122" w:lineRule="exact"/>
              <w:rPr>
                <w:sz w:val="20"/>
                <w:szCs w:val="20"/>
                <w:color w:val="auto"/>
              </w:rPr>
            </w:pPr>
            <w:r>
              <w:rPr>
                <w:rFonts w:ascii="Arial" w:cs="Arial" w:eastAsia="Arial" w:hAnsi="Arial"/>
                <w:sz w:val="14"/>
                <w:szCs w:val="14"/>
                <w:color w:val="auto"/>
              </w:rPr>
              <w:t>Fair</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300" w:type="dxa"/>
            <w:vAlign w:val="bottom"/>
          </w:tcPr>
          <w:p>
            <w:pPr>
              <w:spacing w:after="0"/>
              <w:rPr>
                <w:sz w:val="4"/>
                <w:szCs w:val="4"/>
                <w:color w:val="auto"/>
              </w:rPr>
            </w:pPr>
          </w:p>
        </w:tc>
        <w:tc>
          <w:tcPr>
            <w:tcW w:w="3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38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Gains</w:t>
            </w:r>
          </w:p>
        </w:tc>
        <w:tc>
          <w:tcPr>
            <w:tcW w:w="160" w:type="dxa"/>
            <w:vAlign w:val="bottom"/>
          </w:tcPr>
          <w:p>
            <w:pPr>
              <w:spacing w:after="0"/>
              <w:rPr>
                <w:sz w:val="4"/>
                <w:szCs w:val="4"/>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4"/>
                <w:szCs w:val="14"/>
                <w:color w:val="auto"/>
              </w:rPr>
              <w:t>Losses</w:t>
            </w:r>
          </w:p>
        </w:tc>
        <w:tc>
          <w:tcPr>
            <w:tcW w:w="140" w:type="dxa"/>
            <w:vAlign w:val="bottom"/>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color w:val="auto"/>
                <w:w w:val="97"/>
              </w:rPr>
              <w:t>Cost</w:t>
            </w:r>
          </w:p>
        </w:tc>
        <w:tc>
          <w:tcPr>
            <w:tcW w:w="160" w:type="dxa"/>
            <w:vAlign w:val="bottom"/>
          </w:tcPr>
          <w:p>
            <w:pPr>
              <w:spacing w:after="0"/>
              <w:rPr>
                <w:sz w:val="16"/>
                <w:szCs w:val="16"/>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color w:val="auto"/>
              </w:rPr>
              <w:t>Losses</w:t>
            </w:r>
          </w:p>
        </w:tc>
        <w:tc>
          <w:tcPr>
            <w:tcW w:w="16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color w:val="auto"/>
              </w:rPr>
              <w:t>Unrealized</w:t>
            </w:r>
          </w:p>
        </w:tc>
        <w:tc>
          <w:tcPr>
            <w:tcW w:w="220" w:type="dxa"/>
            <w:vAlign w:val="bottom"/>
          </w:tcPr>
          <w:p>
            <w:pPr>
              <w:spacing w:after="0"/>
              <w:rPr>
                <w:sz w:val="16"/>
                <w:szCs w:val="16"/>
                <w:color w:val="auto"/>
              </w:rPr>
            </w:pPr>
          </w:p>
        </w:tc>
        <w:tc>
          <w:tcPr>
            <w:tcW w:w="760" w:type="dxa"/>
            <w:vAlign w:val="bottom"/>
          </w:tcPr>
          <w:p>
            <w:pPr>
              <w:jc w:val="right"/>
              <w:ind w:right="220"/>
              <w:spacing w:after="0"/>
              <w:rPr>
                <w:sz w:val="20"/>
                <w:szCs w:val="20"/>
                <w:color w:val="auto"/>
              </w:rPr>
            </w:pPr>
            <w:r>
              <w:rPr>
                <w:rFonts w:ascii="Arial" w:cs="Arial" w:eastAsia="Arial" w:hAnsi="Arial"/>
                <w:sz w:val="14"/>
                <w:szCs w:val="14"/>
                <w:color w:val="auto"/>
              </w:rPr>
              <w:t>Value</w:t>
            </w:r>
          </w:p>
        </w:tc>
        <w:tc>
          <w:tcPr>
            <w:tcW w:w="0" w:type="dxa"/>
            <w:vAlign w:val="bottom"/>
          </w:tcPr>
          <w:p>
            <w:pPr>
              <w:spacing w:after="0"/>
              <w:rPr>
                <w:sz w:val="1"/>
                <w:szCs w:val="1"/>
                <w:color w:val="auto"/>
              </w:rPr>
            </w:pPr>
          </w:p>
        </w:tc>
      </w:tr>
      <w:tr>
        <w:trPr>
          <w:trHeight w:val="176"/>
        </w:trPr>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160" w:type="dxa"/>
            <w:vAlign w:val="bottom"/>
            <w:tcBorders>
              <w:top w:val="single" w:sz="8" w:color="CCEEFF"/>
              <w:bottom w:val="single" w:sz="8" w:color="auto"/>
            </w:tcBorders>
            <w:shd w:val="clear" w:color="auto" w:fill="CCEEFF"/>
          </w:tcPr>
          <w:p>
            <w:pPr>
              <w:spacing w:after="0" w:line="155" w:lineRule="exact"/>
              <w:rPr>
                <w:sz w:val="20"/>
                <w:szCs w:val="20"/>
                <w:color w:val="auto"/>
              </w:rPr>
            </w:pPr>
            <w:r>
              <w:rPr>
                <w:rFonts w:ascii="Arial" w:cs="Arial" w:eastAsia="Arial" w:hAnsi="Arial"/>
                <w:sz w:val="16"/>
                <w:szCs w:val="16"/>
                <w:b w:val="1"/>
                <w:bCs w:val="1"/>
                <w:color w:val="auto"/>
              </w:rPr>
              <w:t>March 31, 2026</w:t>
            </w:r>
          </w:p>
        </w:tc>
        <w:tc>
          <w:tcPr>
            <w:tcW w:w="352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spacing w:after="0"/>
              <w:rPr>
                <w:sz w:val="15"/>
                <w:szCs w:val="15"/>
                <w:color w:val="auto"/>
              </w:rPr>
            </w:pPr>
          </w:p>
        </w:tc>
        <w:tc>
          <w:tcPr>
            <w:tcW w:w="82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spacing w:after="0"/>
              <w:rPr>
                <w:sz w:val="15"/>
                <w:szCs w:val="15"/>
                <w:color w:val="auto"/>
              </w:rPr>
            </w:pPr>
          </w:p>
        </w:tc>
        <w:tc>
          <w:tcPr>
            <w:tcW w:w="128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spacing w:after="0"/>
              <w:rPr>
                <w:sz w:val="15"/>
                <w:szCs w:val="15"/>
                <w:color w:val="auto"/>
              </w:rPr>
            </w:pPr>
          </w:p>
        </w:tc>
        <w:tc>
          <w:tcPr>
            <w:tcW w:w="66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spacing w:after="0"/>
              <w:rPr>
                <w:sz w:val="15"/>
                <w:szCs w:val="15"/>
                <w:color w:val="auto"/>
              </w:rPr>
            </w:pPr>
          </w:p>
        </w:tc>
        <w:tc>
          <w:tcPr>
            <w:tcW w:w="72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spacing w:after="0"/>
              <w:rPr>
                <w:sz w:val="15"/>
                <w:szCs w:val="15"/>
                <w:color w:val="auto"/>
              </w:rPr>
            </w:pPr>
          </w:p>
        </w:tc>
        <w:tc>
          <w:tcPr>
            <w:tcW w:w="88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CCEEFF"/>
            </w:tcBorders>
            <w:shd w:val="clear" w:color="auto" w:fill="CCEEFF"/>
          </w:tcPr>
          <w:p>
            <w:pPr>
              <w:spacing w:after="0"/>
              <w:rPr>
                <w:sz w:val="15"/>
                <w:szCs w:val="15"/>
                <w:color w:val="auto"/>
              </w:rPr>
            </w:pPr>
          </w:p>
        </w:tc>
        <w:tc>
          <w:tcPr>
            <w:tcW w:w="760" w:type="dxa"/>
            <w:vAlign w:val="bottom"/>
            <w:tcBorders>
              <w:top w:val="single" w:sz="8" w:color="auto"/>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80" w:type="dxa"/>
            <w:vAlign w:val="bottom"/>
            <w:gridSpan w:val="3"/>
          </w:tcPr>
          <w:p>
            <w:pPr>
              <w:spacing w:after="0"/>
              <w:rPr>
                <w:sz w:val="20"/>
                <w:szCs w:val="20"/>
                <w:color w:val="auto"/>
              </w:rPr>
            </w:pPr>
            <w:r>
              <w:rPr>
                <w:rFonts w:ascii="Arial" w:cs="Arial" w:eastAsia="Arial" w:hAnsi="Arial"/>
                <w:sz w:val="16"/>
                <w:szCs w:val="16"/>
                <w:color w:val="auto"/>
              </w:rPr>
              <w:t>Fixed maturities:</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468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U.S. government and government agencies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80" w:type="dxa"/>
            <w:vAlign w:val="bottom"/>
            <w:gridSpan w:val="3"/>
          </w:tcPr>
          <w:p>
            <w:pPr>
              <w:ind w:left="340"/>
              <w:spacing w:after="0"/>
              <w:rPr>
                <w:sz w:val="20"/>
                <w:szCs w:val="20"/>
                <w:color w:val="auto"/>
              </w:rPr>
            </w:pPr>
            <w:r>
              <w:rPr>
                <w:rFonts w:ascii="Arial" w:cs="Arial" w:eastAsia="Arial" w:hAnsi="Arial"/>
                <w:sz w:val="16"/>
                <w:szCs w:val="16"/>
                <w:color w:val="auto"/>
              </w:rPr>
              <w:t>States, municipalities and political subdivisions</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820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791</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468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Foreign government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80" w:type="dxa"/>
            <w:vAlign w:val="bottom"/>
            <w:gridSpan w:val="3"/>
          </w:tcPr>
          <w:p>
            <w:pPr>
              <w:ind w:left="340"/>
              <w:spacing w:after="0"/>
              <w:rPr>
                <w:sz w:val="20"/>
                <w:szCs w:val="20"/>
                <w:color w:val="auto"/>
              </w:rPr>
            </w:pPr>
            <w:r>
              <w:rPr>
                <w:rFonts w:ascii="Arial" w:cs="Arial" w:eastAsia="Arial" w:hAnsi="Arial"/>
                <w:sz w:val="16"/>
                <w:szCs w:val="16"/>
                <w:color w:val="auto"/>
              </w:rPr>
              <w:t>Residential MBS</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3,247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(117)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3,160</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468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Collateralized loan obligations</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80" w:type="dxa"/>
            <w:vAlign w:val="bottom"/>
            <w:gridSpan w:val="3"/>
          </w:tcPr>
          <w:p>
            <w:pPr>
              <w:ind w:left="340"/>
              <w:spacing w:after="0"/>
              <w:rPr>
                <w:sz w:val="20"/>
                <w:szCs w:val="20"/>
                <w:color w:val="auto"/>
              </w:rPr>
            </w:pPr>
            <w:r>
              <w:rPr>
                <w:rFonts w:ascii="Arial" w:cs="Arial" w:eastAsia="Arial" w:hAnsi="Arial"/>
                <w:sz w:val="16"/>
                <w:szCs w:val="16"/>
                <w:color w:val="auto"/>
              </w:rPr>
              <w:t>Other asset-backed securities</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2,608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2,575</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68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Corporate and other</w:t>
            </w: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3,303</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gridSpan w:val="3"/>
          </w:tcPr>
          <w:p>
            <w:pPr>
              <w:ind w:left="660"/>
              <w:spacing w:after="0"/>
              <w:rPr>
                <w:sz w:val="20"/>
                <w:szCs w:val="20"/>
                <w:color w:val="auto"/>
              </w:rPr>
            </w:pPr>
            <w:r>
              <w:rPr>
                <w:rFonts w:ascii="Arial" w:cs="Arial" w:eastAsia="Arial" w:hAnsi="Arial"/>
                <w:sz w:val="16"/>
                <w:szCs w:val="16"/>
                <w:color w:val="auto"/>
              </w:rPr>
              <w:t>Total fixed maturities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11,549</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11,397</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32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680" w:type="dxa"/>
            <w:vAlign w:val="bottom"/>
            <w:gridSpan w:val="3"/>
          </w:tcPr>
          <w:p>
            <w:pPr>
              <w:spacing w:after="0" w:line="175" w:lineRule="exact"/>
              <w:rPr>
                <w:sz w:val="20"/>
                <w:szCs w:val="20"/>
                <w:color w:val="auto"/>
              </w:rPr>
            </w:pPr>
            <w:r>
              <w:rPr>
                <w:rFonts w:ascii="Arial" w:cs="Arial" w:eastAsia="Arial" w:hAnsi="Arial"/>
                <w:sz w:val="16"/>
                <w:szCs w:val="16"/>
                <w:b w:val="1"/>
                <w:bCs w:val="1"/>
                <w:color w:val="auto"/>
              </w:rPr>
              <w:t>December 31, 2025</w:t>
            </w: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6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Fixed maturities:</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80" w:type="dxa"/>
            <w:vAlign w:val="bottom"/>
            <w:gridSpan w:val="3"/>
          </w:tcPr>
          <w:p>
            <w:pPr>
              <w:ind w:left="340"/>
              <w:spacing w:after="0"/>
              <w:rPr>
                <w:sz w:val="20"/>
                <w:szCs w:val="20"/>
                <w:color w:val="auto"/>
              </w:rPr>
            </w:pPr>
            <w:r>
              <w:rPr>
                <w:rFonts w:ascii="Arial" w:cs="Arial" w:eastAsia="Arial" w:hAnsi="Arial"/>
                <w:sz w:val="16"/>
                <w:szCs w:val="16"/>
                <w:color w:val="auto"/>
              </w:rPr>
              <w:t>U.S. government and government agencies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160</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161</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468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States, municipalities and political subdivisions</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80" w:type="dxa"/>
            <w:vAlign w:val="bottom"/>
            <w:gridSpan w:val="3"/>
          </w:tcPr>
          <w:p>
            <w:pPr>
              <w:ind w:left="340"/>
              <w:spacing w:after="0"/>
              <w:rPr>
                <w:sz w:val="20"/>
                <w:szCs w:val="20"/>
                <w:color w:val="auto"/>
              </w:rPr>
            </w:pPr>
            <w:r>
              <w:rPr>
                <w:rFonts w:ascii="Arial" w:cs="Arial" w:eastAsia="Arial" w:hAnsi="Arial"/>
                <w:sz w:val="16"/>
                <w:szCs w:val="16"/>
                <w:color w:val="auto"/>
              </w:rPr>
              <w:t>Foreign government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236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238</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468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Residential MBS</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80" w:type="dxa"/>
            <w:vAlign w:val="bottom"/>
            <w:gridSpan w:val="3"/>
          </w:tcPr>
          <w:p>
            <w:pPr>
              <w:ind w:left="340"/>
              <w:spacing w:after="0"/>
              <w:rPr>
                <w:sz w:val="20"/>
                <w:szCs w:val="20"/>
                <w:color w:val="auto"/>
              </w:rPr>
            </w:pPr>
            <w:r>
              <w:rPr>
                <w:rFonts w:ascii="Arial" w:cs="Arial" w:eastAsia="Arial" w:hAnsi="Arial"/>
                <w:sz w:val="16"/>
                <w:szCs w:val="16"/>
                <w:color w:val="auto"/>
              </w:rPr>
              <w:t>Collateralized loan obligations</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1,167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1,160</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468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Other asset-backed securities</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2,525</w:t>
            </w:r>
          </w:p>
        </w:tc>
        <w:tc>
          <w:tcPr>
            <w:tcW w:w="0" w:type="dxa"/>
            <w:vAlign w:val="bottom"/>
          </w:tcPr>
          <w:p>
            <w:pPr>
              <w:spacing w:after="0"/>
              <w:rPr>
                <w:sz w:val="1"/>
                <w:szCs w:val="1"/>
                <w:color w:val="auto"/>
              </w:rPr>
            </w:pPr>
          </w:p>
        </w:tc>
      </w:tr>
      <w:tr>
        <w:trPr>
          <w:trHeight w:val="215"/>
        </w:trPr>
        <w:tc>
          <w:tcPr>
            <w:tcW w:w="20" w:type="dxa"/>
            <w:vAlign w:val="bottom"/>
            <w:tcBorders>
              <w:bottom w:val="single" w:sz="8" w:color="CCEEFF"/>
            </w:tcBorders>
          </w:tcPr>
          <w:p>
            <w:pPr>
              <w:spacing w:after="0"/>
              <w:rPr>
                <w:sz w:val="18"/>
                <w:szCs w:val="18"/>
                <w:color w:val="auto"/>
              </w:rPr>
            </w:pPr>
          </w:p>
        </w:tc>
        <w:tc>
          <w:tcPr>
            <w:tcW w:w="4680" w:type="dxa"/>
            <w:vAlign w:val="bottom"/>
            <w:tcBorders>
              <w:bottom w:val="single" w:sz="8" w:color="CCEEFF"/>
            </w:tcBorders>
            <w:gridSpan w:val="3"/>
          </w:tcPr>
          <w:p>
            <w:pPr>
              <w:ind w:left="340"/>
              <w:spacing w:after="0"/>
              <w:rPr>
                <w:sz w:val="20"/>
                <w:szCs w:val="20"/>
                <w:color w:val="auto"/>
              </w:rPr>
            </w:pPr>
            <w:r>
              <w:rPr>
                <w:rFonts w:ascii="Arial" w:cs="Arial" w:eastAsia="Arial" w:hAnsi="Arial"/>
                <w:sz w:val="16"/>
                <w:szCs w:val="16"/>
                <w:color w:val="auto"/>
              </w:rPr>
              <w:t>Corporate and other</w:t>
            </w: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3,338</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3,386</w:t>
            </w:r>
          </w:p>
        </w:tc>
        <w:tc>
          <w:tcPr>
            <w:tcW w:w="0" w:type="dxa"/>
            <w:vAlign w:val="bottom"/>
          </w:tcPr>
          <w:p>
            <w:pPr>
              <w:spacing w:after="0"/>
              <w:rPr>
                <w:sz w:val="1"/>
                <w:szCs w:val="1"/>
                <w:color w:val="auto"/>
              </w:rPr>
            </w:pPr>
          </w:p>
        </w:tc>
      </w:tr>
      <w:tr>
        <w:trPr>
          <w:trHeight w:val="235"/>
        </w:trPr>
        <w:tc>
          <w:tcPr>
            <w:tcW w:w="20" w:type="dxa"/>
            <w:vAlign w:val="bottom"/>
            <w:tcBorders>
              <w:bottom w:val="single" w:sz="8" w:color="CCEEFF"/>
            </w:tcBorders>
            <w:shd w:val="clear" w:color="auto" w:fill="CCEEFF"/>
          </w:tcPr>
          <w:p>
            <w:pPr>
              <w:spacing w:after="0"/>
              <w:rPr>
                <w:sz w:val="20"/>
                <w:szCs w:val="20"/>
                <w:color w:val="auto"/>
              </w:rPr>
            </w:pPr>
          </w:p>
        </w:tc>
        <w:tc>
          <w:tcPr>
            <w:tcW w:w="4680" w:type="dxa"/>
            <w:vAlign w:val="bottom"/>
            <w:tcBorders>
              <w:bottom w:val="single" w:sz="8" w:color="CCEEFF"/>
            </w:tcBorders>
            <w:gridSpan w:val="3"/>
            <w:shd w:val="clear" w:color="auto" w:fill="CCEEFF"/>
          </w:tcPr>
          <w:p>
            <w:pPr>
              <w:ind w:left="660"/>
              <w:spacing w:after="0"/>
              <w:rPr>
                <w:sz w:val="20"/>
                <w:szCs w:val="20"/>
                <w:color w:val="auto"/>
              </w:rPr>
            </w:pPr>
            <w:r>
              <w:rPr>
                <w:rFonts w:ascii="Arial" w:cs="Arial" w:eastAsia="Arial" w:hAnsi="Arial"/>
                <w:sz w:val="16"/>
                <w:szCs w:val="16"/>
                <w:color w:val="auto"/>
              </w:rPr>
              <w:t>Total fixed maturities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11,101</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11,052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278" w:lineRule="exact"/>
        <w:rPr>
          <w:sz w:val="20"/>
          <w:szCs w:val="20"/>
          <w:color w:val="auto"/>
        </w:rPr>
      </w:pPr>
    </w:p>
    <w:p>
      <w:pPr>
        <w:ind w:right="280"/>
        <w:spacing w:after="0" w:line="284" w:lineRule="auto"/>
        <w:rPr>
          <w:sz w:val="20"/>
          <w:szCs w:val="20"/>
          <w:color w:val="auto"/>
        </w:rPr>
      </w:pPr>
      <w:r>
        <w:rPr>
          <w:rFonts w:ascii="Arial" w:cs="Arial" w:eastAsia="Arial" w:hAnsi="Arial"/>
          <w:sz w:val="17"/>
          <w:szCs w:val="17"/>
          <w:color w:val="auto"/>
        </w:rPr>
        <w:t>Equity securities which are reported at fair value with holding gains and losses recognized in net earnings, consisted of the following at March 31, 2026 and December 31, 2025 (in millions):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3"/>
          </w:tcPr>
          <w:p>
            <w:pPr>
              <w:ind w:left="20"/>
              <w:spacing w:after="0"/>
              <w:rPr>
                <w:sz w:val="20"/>
                <w:szCs w:val="20"/>
                <w:color w:val="auto"/>
              </w:rPr>
            </w:pPr>
            <w:r>
              <w:rPr>
                <w:rFonts w:ascii="Arial" w:cs="Arial" w:eastAsia="Arial" w:hAnsi="Arial"/>
                <w:sz w:val="15"/>
                <w:szCs w:val="15"/>
                <w:color w:val="auto"/>
              </w:rPr>
              <w:t>March 31, 2026</w:t>
            </w:r>
          </w:p>
        </w:tc>
        <w:tc>
          <w:tcPr>
            <w:tcW w:w="9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4"/>
          </w:tcPr>
          <w:p>
            <w:pPr>
              <w:ind w:left="20"/>
              <w:spacing w:after="0"/>
              <w:rPr>
                <w:sz w:val="20"/>
                <w:szCs w:val="20"/>
                <w:color w:val="auto"/>
              </w:rPr>
            </w:pPr>
            <w:r>
              <w:rPr>
                <w:rFonts w:ascii="Arial" w:cs="Arial" w:eastAsia="Arial" w:hAnsi="Arial"/>
                <w:sz w:val="15"/>
                <w:szCs w:val="15"/>
                <w:color w:val="auto"/>
              </w:rPr>
              <w:t>December 31, 2025</w:t>
            </w:r>
          </w:p>
        </w:tc>
        <w:tc>
          <w:tcPr>
            <w:tcW w:w="840" w:type="dxa"/>
            <w:vAlign w:val="bottom"/>
            <w:tcBorders>
              <w:bottom w:val="single" w:sz="8" w:color="auto"/>
            </w:tcBorders>
          </w:tcPr>
          <w:p>
            <w:pPr>
              <w:spacing w:after="0"/>
              <w:rPr>
                <w:sz w:val="17"/>
                <w:szCs w:val="17"/>
                <w:color w:val="auto"/>
              </w:rPr>
            </w:pPr>
          </w:p>
        </w:tc>
      </w:tr>
      <w:tr>
        <w:trPr>
          <w:trHeight w:val="145"/>
        </w:trPr>
        <w:tc>
          <w:tcPr>
            <w:tcW w:w="4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center"/>
              <w:ind w:right="240"/>
              <w:spacing w:after="0" w:line="145" w:lineRule="exact"/>
              <w:rPr>
                <w:sz w:val="20"/>
                <w:szCs w:val="20"/>
                <w:color w:val="auto"/>
              </w:rPr>
            </w:pPr>
            <w:r>
              <w:rPr>
                <w:rFonts w:ascii="Arial" w:cs="Arial" w:eastAsia="Arial" w:hAnsi="Arial"/>
                <w:sz w:val="15"/>
                <w:szCs w:val="15"/>
                <w:color w:val="auto"/>
              </w:rPr>
              <w:t>Actual</w:t>
            </w: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jc w:val="center"/>
              <w:spacing w:after="0" w:line="145" w:lineRule="exact"/>
              <w:rPr>
                <w:sz w:val="20"/>
                <w:szCs w:val="20"/>
                <w:color w:val="auto"/>
              </w:rPr>
            </w:pPr>
            <w:r>
              <w:rPr>
                <w:rFonts w:ascii="Arial" w:cs="Arial" w:eastAsia="Arial" w:hAnsi="Arial"/>
                <w:sz w:val="15"/>
                <w:szCs w:val="15"/>
                <w:color w:val="auto"/>
              </w:rPr>
              <w:t>Fair Value Over</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center"/>
              <w:ind w:right="240"/>
              <w:spacing w:after="0" w:line="145" w:lineRule="exact"/>
              <w:rPr>
                <w:sz w:val="20"/>
                <w:szCs w:val="20"/>
                <w:color w:val="auto"/>
              </w:rPr>
            </w:pPr>
            <w:r>
              <w:rPr>
                <w:rFonts w:ascii="Arial" w:cs="Arial" w:eastAsia="Arial" w:hAnsi="Arial"/>
                <w:sz w:val="15"/>
                <w:szCs w:val="15"/>
                <w:color w:val="auto"/>
              </w:rPr>
              <w:t>Actual</w:t>
            </w: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right"/>
              <w:spacing w:after="0" w:line="145" w:lineRule="exact"/>
              <w:rPr>
                <w:sz w:val="20"/>
                <w:szCs w:val="20"/>
                <w:color w:val="auto"/>
              </w:rPr>
            </w:pPr>
            <w:r>
              <w:rPr>
                <w:rFonts w:ascii="Arial" w:cs="Arial" w:eastAsia="Arial" w:hAnsi="Arial"/>
                <w:sz w:val="15"/>
                <w:szCs w:val="15"/>
                <w:color w:val="auto"/>
              </w:rPr>
              <w:t>Fair Value Over</w:t>
            </w:r>
          </w:p>
        </w:tc>
      </w:tr>
      <w:tr>
        <w:trPr>
          <w:trHeight w:val="213"/>
        </w:trPr>
        <w:tc>
          <w:tcPr>
            <w:tcW w:w="4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center"/>
              <w:ind w:right="240"/>
              <w:spacing w:after="0"/>
              <w:rPr>
                <w:sz w:val="20"/>
                <w:szCs w:val="20"/>
                <w:color w:val="auto"/>
              </w:rPr>
            </w:pPr>
            <w:r>
              <w:rPr>
                <w:rFonts w:ascii="Arial" w:cs="Arial" w:eastAsia="Arial" w:hAnsi="Arial"/>
                <w:sz w:val="15"/>
                <w:szCs w:val="15"/>
                <w:color w:val="auto"/>
              </w:rPr>
              <w:t>Cost</w:t>
            </w:r>
          </w:p>
        </w:tc>
        <w:tc>
          <w:tcPr>
            <w:tcW w:w="140" w:type="dxa"/>
            <w:vAlign w:val="bottom"/>
          </w:tcPr>
          <w:p>
            <w:pPr>
              <w:spacing w:after="0"/>
              <w:rPr>
                <w:sz w:val="18"/>
                <w:szCs w:val="18"/>
                <w:color w:val="auto"/>
              </w:rPr>
            </w:pPr>
          </w:p>
        </w:tc>
        <w:tc>
          <w:tcPr>
            <w:tcW w:w="940" w:type="dxa"/>
            <w:vAlign w:val="bottom"/>
            <w:gridSpan w:val="2"/>
          </w:tcPr>
          <w:p>
            <w:pPr>
              <w:ind w:left="20"/>
              <w:spacing w:after="0"/>
              <w:rPr>
                <w:sz w:val="20"/>
                <w:szCs w:val="20"/>
                <w:color w:val="auto"/>
              </w:rPr>
            </w:pPr>
            <w:r>
              <w:rPr>
                <w:rFonts w:ascii="Arial" w:cs="Arial" w:eastAsia="Arial" w:hAnsi="Arial"/>
                <w:sz w:val="15"/>
                <w:szCs w:val="15"/>
                <w:color w:val="auto"/>
              </w:rPr>
              <w:t>Fair Value</w:t>
            </w:r>
          </w:p>
        </w:tc>
        <w:tc>
          <w:tcPr>
            <w:tcW w:w="300" w:type="dxa"/>
            <w:vAlign w:val="bottom"/>
          </w:tcPr>
          <w:p>
            <w:pPr>
              <w:spacing w:after="0"/>
              <w:rPr>
                <w:sz w:val="18"/>
                <w:szCs w:val="18"/>
                <w:color w:val="auto"/>
              </w:rPr>
            </w:pPr>
          </w:p>
        </w:tc>
        <w:tc>
          <w:tcPr>
            <w:tcW w:w="980" w:type="dxa"/>
            <w:vAlign w:val="bottom"/>
            <w:gridSpan w:val="2"/>
          </w:tcPr>
          <w:p>
            <w:pPr>
              <w:jc w:val="center"/>
              <w:ind w:right="380"/>
              <w:spacing w:after="0"/>
              <w:rPr>
                <w:sz w:val="20"/>
                <w:szCs w:val="20"/>
                <w:color w:val="auto"/>
              </w:rPr>
            </w:pPr>
            <w:r>
              <w:rPr>
                <w:rFonts w:ascii="Arial" w:cs="Arial" w:eastAsia="Arial" w:hAnsi="Arial"/>
                <w:sz w:val="15"/>
                <w:szCs w:val="15"/>
                <w:color w:val="auto"/>
              </w:rPr>
              <w:t>Cost</w:t>
            </w:r>
          </w:p>
        </w:tc>
        <w:tc>
          <w:tcPr>
            <w:tcW w:w="160" w:type="dxa"/>
            <w:vAlign w:val="bottom"/>
          </w:tcPr>
          <w:p>
            <w:pPr>
              <w:spacing w:after="0"/>
              <w:rPr>
                <w:sz w:val="18"/>
                <w:szCs w:val="18"/>
                <w:color w:val="auto"/>
              </w:rPr>
            </w:pPr>
          </w:p>
        </w:tc>
        <w:tc>
          <w:tcPr>
            <w:tcW w:w="740" w:type="dxa"/>
            <w:vAlign w:val="bottom"/>
            <w:gridSpan w:val="2"/>
          </w:tcPr>
          <w:p>
            <w:pPr>
              <w:jc w:val="center"/>
              <w:ind w:right="260"/>
              <w:spacing w:after="0"/>
              <w:rPr>
                <w:sz w:val="20"/>
                <w:szCs w:val="20"/>
                <w:color w:val="auto"/>
              </w:rPr>
            </w:pPr>
            <w:r>
              <w:rPr>
                <w:rFonts w:ascii="Arial" w:cs="Arial" w:eastAsia="Arial" w:hAnsi="Arial"/>
                <w:sz w:val="15"/>
                <w:szCs w:val="15"/>
                <w:color w:val="auto"/>
              </w:rPr>
              <w:t>Cost</w:t>
            </w:r>
          </w:p>
        </w:tc>
        <w:tc>
          <w:tcPr>
            <w:tcW w:w="120" w:type="dxa"/>
            <w:vAlign w:val="bottom"/>
          </w:tcPr>
          <w:p>
            <w:pPr>
              <w:spacing w:after="0"/>
              <w:rPr>
                <w:sz w:val="18"/>
                <w:szCs w:val="18"/>
                <w:color w:val="auto"/>
              </w:rPr>
            </w:pPr>
          </w:p>
        </w:tc>
        <w:tc>
          <w:tcPr>
            <w:tcW w:w="960" w:type="dxa"/>
            <w:vAlign w:val="bottom"/>
            <w:gridSpan w:val="2"/>
          </w:tcPr>
          <w:p>
            <w:pPr>
              <w:ind w:left="20"/>
              <w:spacing w:after="0"/>
              <w:rPr>
                <w:sz w:val="20"/>
                <w:szCs w:val="20"/>
                <w:color w:val="auto"/>
              </w:rPr>
            </w:pPr>
            <w:r>
              <w:rPr>
                <w:rFonts w:ascii="Arial" w:cs="Arial" w:eastAsia="Arial" w:hAnsi="Arial"/>
                <w:sz w:val="15"/>
                <w:szCs w:val="15"/>
                <w:color w:val="auto"/>
              </w:rPr>
              <w:t>Fair Value</w:t>
            </w:r>
          </w:p>
        </w:tc>
        <w:tc>
          <w:tcPr>
            <w:tcW w:w="360" w:type="dxa"/>
            <w:vAlign w:val="bottom"/>
          </w:tcPr>
          <w:p>
            <w:pPr>
              <w:spacing w:after="0"/>
              <w:rPr>
                <w:sz w:val="18"/>
                <w:szCs w:val="18"/>
                <w:color w:val="auto"/>
              </w:rPr>
            </w:pPr>
          </w:p>
        </w:tc>
        <w:tc>
          <w:tcPr>
            <w:tcW w:w="840" w:type="dxa"/>
            <w:vAlign w:val="bottom"/>
          </w:tcPr>
          <w:p>
            <w:pPr>
              <w:jc w:val="right"/>
              <w:ind w:right="360"/>
              <w:spacing w:after="0"/>
              <w:rPr>
                <w:sz w:val="20"/>
                <w:szCs w:val="20"/>
                <w:color w:val="auto"/>
              </w:rPr>
            </w:pPr>
            <w:r>
              <w:rPr>
                <w:rFonts w:ascii="Arial" w:cs="Arial" w:eastAsia="Arial" w:hAnsi="Arial"/>
                <w:sz w:val="15"/>
                <w:szCs w:val="15"/>
                <w:color w:val="auto"/>
              </w:rPr>
              <w:t>Cost</w:t>
            </w:r>
          </w:p>
        </w:tc>
      </w:tr>
      <w:tr>
        <w:trPr>
          <w:trHeight w:val="213"/>
        </w:trPr>
        <w:tc>
          <w:tcPr>
            <w:tcW w:w="4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Common stocks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341</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363</w:t>
            </w: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365</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w:t>
            </w:r>
          </w:p>
        </w:tc>
      </w:tr>
      <w:tr>
        <w:trPr>
          <w:trHeight w:val="215"/>
        </w:trPr>
        <w:tc>
          <w:tcPr>
            <w:tcW w:w="48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Perpetual preferred stocks</w:t>
            </w: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379</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390</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398</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r>
      <w:tr>
        <w:trPr>
          <w:trHeight w:val="235"/>
        </w:trPr>
        <w:tc>
          <w:tcPr>
            <w:tcW w:w="48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equity securities carried at fair value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720</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753</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investments accounted for using the equity method, by strategy (in millions):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4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840" w:type="dxa"/>
            <w:vAlign w:val="bottom"/>
            <w:tcBorders>
              <w:bottom w:val="single" w:sz="8" w:color="auto"/>
            </w:tcBorders>
            <w:gridSpan w:val="4"/>
          </w:tcPr>
          <w:p>
            <w:pPr>
              <w:jc w:val="right"/>
              <w:ind w:right="720"/>
              <w:spacing w:after="0"/>
              <w:rPr>
                <w:sz w:val="20"/>
                <w:szCs w:val="20"/>
                <w:color w:val="auto"/>
              </w:rPr>
            </w:pPr>
            <w:r>
              <w:rPr>
                <w:rFonts w:ascii="Arial" w:cs="Arial" w:eastAsia="Arial" w:hAnsi="Arial"/>
                <w:sz w:val="15"/>
                <w:szCs w:val="15"/>
                <w:color w:val="auto"/>
              </w:rPr>
              <w:t>Net Investment Income</w:t>
            </w:r>
          </w:p>
        </w:tc>
      </w:tr>
      <w:tr>
        <w:trPr>
          <w:trHeight w:val="201"/>
        </w:trPr>
        <w:tc>
          <w:tcPr>
            <w:tcW w:w="4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60" w:type="dxa"/>
            <w:vAlign w:val="bottom"/>
            <w:gridSpan w:val="5"/>
          </w:tcPr>
          <w:p>
            <w:pPr>
              <w:ind w:left="1080"/>
              <w:spacing w:after="0"/>
              <w:rPr>
                <w:sz w:val="20"/>
                <w:szCs w:val="20"/>
                <w:color w:val="auto"/>
              </w:rPr>
            </w:pPr>
            <w:r>
              <w:rPr>
                <w:rFonts w:ascii="Arial" w:cs="Arial" w:eastAsia="Arial" w:hAnsi="Arial"/>
                <w:sz w:val="15"/>
                <w:szCs w:val="15"/>
                <w:color w:val="auto"/>
              </w:rPr>
              <w:t>Carrying Value</w:t>
            </w:r>
          </w:p>
        </w:tc>
        <w:tc>
          <w:tcPr>
            <w:tcW w:w="320" w:type="dxa"/>
            <w:vAlign w:val="bottom"/>
          </w:tcPr>
          <w:p>
            <w:pPr>
              <w:spacing w:after="0"/>
              <w:rPr>
                <w:sz w:val="17"/>
                <w:szCs w:val="17"/>
                <w:color w:val="auto"/>
              </w:rPr>
            </w:pPr>
          </w:p>
        </w:tc>
        <w:tc>
          <w:tcPr>
            <w:tcW w:w="2840" w:type="dxa"/>
            <w:vAlign w:val="bottom"/>
            <w:gridSpan w:val="4"/>
          </w:tcPr>
          <w:p>
            <w:pPr>
              <w:jc w:val="right"/>
              <w:ind w:right="440"/>
              <w:spacing w:after="0"/>
              <w:rPr>
                <w:sz w:val="20"/>
                <w:szCs w:val="20"/>
                <w:color w:val="auto"/>
              </w:rPr>
            </w:pPr>
            <w:r>
              <w:rPr>
                <w:rFonts w:ascii="Arial" w:cs="Arial" w:eastAsia="Arial" w:hAnsi="Arial"/>
                <w:sz w:val="15"/>
                <w:szCs w:val="15"/>
                <w:color w:val="auto"/>
              </w:rPr>
              <w:t>Three months ended March 31,</w:t>
            </w:r>
          </w:p>
        </w:tc>
      </w:tr>
      <w:tr>
        <w:trPr>
          <w:trHeight w:val="196"/>
        </w:trPr>
        <w:tc>
          <w:tcPr>
            <w:tcW w:w="44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gridSpan w:val="2"/>
          </w:tcPr>
          <w:p>
            <w:pPr>
              <w:ind w:left="120"/>
              <w:spacing w:after="0"/>
              <w:rPr>
                <w:sz w:val="20"/>
                <w:szCs w:val="20"/>
                <w:color w:val="auto"/>
              </w:rPr>
            </w:pPr>
            <w:r>
              <w:rPr>
                <w:rFonts w:ascii="Arial" w:cs="Arial" w:eastAsia="Arial" w:hAnsi="Arial"/>
                <w:sz w:val="15"/>
                <w:szCs w:val="15"/>
                <w:color w:val="auto"/>
              </w:rPr>
              <w:t>March 31, 2026</w:t>
            </w:r>
          </w:p>
        </w:tc>
        <w:tc>
          <w:tcPr>
            <w:tcW w:w="14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jc w:val="right"/>
              <w:ind w:right="120"/>
              <w:spacing w:after="0"/>
              <w:rPr>
                <w:sz w:val="20"/>
                <w:szCs w:val="20"/>
                <w:color w:val="auto"/>
              </w:rPr>
            </w:pPr>
            <w:r>
              <w:rPr>
                <w:rFonts w:ascii="Arial" w:cs="Arial" w:eastAsia="Arial" w:hAnsi="Arial"/>
                <w:sz w:val="15"/>
                <w:szCs w:val="15"/>
                <w:color w:val="auto"/>
              </w:rPr>
              <w:t>December 31, 2025</w:t>
            </w: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ind w:right="501"/>
              <w:spacing w:after="0"/>
              <w:rPr>
                <w:sz w:val="20"/>
                <w:szCs w:val="20"/>
                <w:color w:val="auto"/>
              </w:rPr>
            </w:pPr>
            <w:r>
              <w:rPr>
                <w:rFonts w:ascii="Arial" w:cs="Arial" w:eastAsia="Arial" w:hAnsi="Arial"/>
                <w:sz w:val="15"/>
                <w:szCs w:val="15"/>
                <w:color w:val="auto"/>
              </w:rPr>
              <w:t>2026</w:t>
            </w:r>
          </w:p>
        </w:tc>
        <w:tc>
          <w:tcPr>
            <w:tcW w:w="10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ind w:right="520"/>
              <w:spacing w:after="0"/>
              <w:rPr>
                <w:sz w:val="20"/>
                <w:szCs w:val="20"/>
                <w:color w:val="auto"/>
              </w:rPr>
            </w:pPr>
            <w:r>
              <w:rPr>
                <w:rFonts w:ascii="Arial" w:cs="Arial" w:eastAsia="Arial" w:hAnsi="Arial"/>
                <w:sz w:val="15"/>
                <w:szCs w:val="15"/>
                <w:color w:val="auto"/>
              </w:rPr>
              <w:t>2025</w:t>
            </w:r>
          </w:p>
        </w:tc>
      </w:tr>
      <w:tr>
        <w:trPr>
          <w:trHeight w:val="211"/>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Real estate-related investments (*)</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1,418</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1,431</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w:t>
            </w:r>
          </w:p>
        </w:tc>
      </w:tr>
      <w:tr>
        <w:trPr>
          <w:trHeight w:val="215"/>
        </w:trPr>
        <w:tc>
          <w:tcPr>
            <w:tcW w:w="4400" w:type="dxa"/>
            <w:vAlign w:val="bottom"/>
          </w:tcPr>
          <w:p>
            <w:pPr>
              <w:ind w:left="20"/>
              <w:spacing w:after="0"/>
              <w:rPr>
                <w:sz w:val="20"/>
                <w:szCs w:val="20"/>
                <w:color w:val="auto"/>
              </w:rPr>
            </w:pPr>
            <w:r>
              <w:rPr>
                <w:rFonts w:ascii="Arial" w:cs="Arial" w:eastAsia="Arial" w:hAnsi="Arial"/>
                <w:sz w:val="16"/>
                <w:szCs w:val="16"/>
                <w:color w:val="auto"/>
              </w:rPr>
              <w:t>Private equity</w:t>
            </w:r>
          </w:p>
        </w:tc>
        <w:tc>
          <w:tcPr>
            <w:tcW w:w="220" w:type="dxa"/>
            <w:vAlign w:val="bottom"/>
          </w:tcPr>
          <w:p>
            <w:pPr>
              <w:spacing w:after="0"/>
              <w:rPr>
                <w:sz w:val="18"/>
                <w:szCs w:val="18"/>
                <w:color w:val="auto"/>
              </w:rPr>
            </w:pPr>
          </w:p>
        </w:tc>
        <w:tc>
          <w:tcPr>
            <w:tcW w:w="1520" w:type="dxa"/>
            <w:vAlign w:val="bottom"/>
          </w:tcPr>
          <w:p>
            <w:pPr>
              <w:jc w:val="right"/>
              <w:ind w:right="1"/>
              <w:spacing w:after="0"/>
              <w:rPr>
                <w:sz w:val="20"/>
                <w:szCs w:val="20"/>
                <w:color w:val="auto"/>
              </w:rPr>
            </w:pPr>
            <w:r>
              <w:rPr>
                <w:rFonts w:ascii="Arial" w:cs="Arial" w:eastAsia="Arial" w:hAnsi="Arial"/>
                <w:sz w:val="16"/>
                <w:szCs w:val="16"/>
                <w:color w:val="auto"/>
              </w:rPr>
              <w:t>927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895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16"/>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Private debt</w:t>
            </w:r>
          </w:p>
        </w:tc>
        <w:tc>
          <w:tcPr>
            <w:tcW w:w="2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98</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10"/>
        </w:trPr>
        <w:tc>
          <w:tcPr>
            <w:tcW w:w="4400" w:type="dxa"/>
            <w:vAlign w:val="bottom"/>
          </w:tcPr>
          <w:p>
            <w:pPr>
              <w:ind w:left="180"/>
              <w:spacing w:after="0"/>
              <w:rPr>
                <w:sz w:val="20"/>
                <w:szCs w:val="20"/>
                <w:color w:val="auto"/>
              </w:rPr>
            </w:pPr>
            <w:r>
              <w:rPr>
                <w:rFonts w:ascii="Arial" w:cs="Arial" w:eastAsia="Arial" w:hAnsi="Arial"/>
                <w:sz w:val="16"/>
                <w:szCs w:val="16"/>
                <w:color w:val="auto"/>
              </w:rPr>
              <w:t>Total investments accounted for using the equity method</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2,443</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2,421</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r>
      <w:tr>
        <w:trPr>
          <w:trHeight w:val="21"/>
        </w:trPr>
        <w:tc>
          <w:tcPr>
            <w:tcW w:w="4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ind w:left="420" w:right="160" w:hanging="412"/>
        <w:spacing w:after="0" w:line="284" w:lineRule="auto"/>
        <w:tabs>
          <w:tab w:leader="none" w:pos="411" w:val="left"/>
        </w:tabs>
        <w:numPr>
          <w:ilvl w:val="0"/>
          <w:numId w:val="11"/>
        </w:numPr>
        <w:rPr>
          <w:rFonts w:ascii="Arial" w:cs="Arial" w:eastAsia="Arial" w:hAnsi="Arial"/>
          <w:sz w:val="17"/>
          <w:szCs w:val="17"/>
          <w:color w:val="auto"/>
        </w:rPr>
      </w:pPr>
      <w:r>
        <w:rPr>
          <w:rFonts w:ascii="Arial" w:cs="Arial" w:eastAsia="Arial" w:hAnsi="Arial"/>
          <w:sz w:val="17"/>
          <w:szCs w:val="17"/>
          <w:color w:val="auto"/>
        </w:rPr>
        <w:t>88% and 87% of the carrying value relates to underlying investments in multi-family properties as of March 31, 2026 and December 31, 2025, respectively.</w:t>
      </w:r>
    </w:p>
    <w:p>
      <w:pPr>
        <w:spacing w:after="0" w:line="185"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The earnings (losses) from these investments are generally reported on a quarter lag due to the timing required to obtain the necessary information from the funds. AFG regularly reviews and discusses fund performance with the fund managers to corroborate the reasonableness of the underlying reported asset values and to assess whether any events have occurred within the lag period that may materially affect the valuation of these investments.</w:t>
      </w:r>
    </w:p>
    <w:p>
      <w:pPr>
        <w:spacing w:after="0" w:line="200" w:lineRule="exact"/>
        <w:rPr>
          <w:sz w:val="20"/>
          <w:szCs w:val="20"/>
          <w:color w:val="auto"/>
        </w:rPr>
      </w:pPr>
    </w:p>
    <w:p>
      <w:pPr>
        <w:ind w:right="240"/>
        <w:spacing w:after="0" w:line="284" w:lineRule="auto"/>
        <w:rPr>
          <w:sz w:val="20"/>
          <w:szCs w:val="20"/>
          <w:color w:val="auto"/>
        </w:rPr>
      </w:pPr>
      <w:r>
        <w:rPr>
          <w:rFonts w:ascii="Arial" w:cs="Arial" w:eastAsia="Arial" w:hAnsi="Arial"/>
          <w:sz w:val="17"/>
          <w:szCs w:val="17"/>
          <w:color w:val="auto"/>
        </w:rPr>
        <w:t>With respect to partnerships and similar investments, AFG had unfunded commitments of $437 million and $456 million as of March 31, 2026 and December 31, 2025, respectively.</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9" w:name="page20"/>
    <w:bookmarkEnd w:id="19"/>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278" w:lineRule="exact"/>
        <w:rPr>
          <w:sz w:val="20"/>
          <w:szCs w:val="20"/>
          <w:color w:val="auto"/>
        </w:rPr>
      </w:pPr>
    </w:p>
    <w:p>
      <w:pPr>
        <w:spacing w:after="0" w:line="284" w:lineRule="auto"/>
        <w:rPr>
          <w:sz w:val="20"/>
          <w:szCs w:val="20"/>
          <w:color w:val="auto"/>
        </w:rPr>
      </w:pPr>
      <w:r>
        <w:rPr>
          <w:rFonts w:ascii="Arial" w:cs="Arial" w:eastAsia="Arial" w:hAnsi="Arial"/>
          <w:sz w:val="17"/>
          <w:szCs w:val="17"/>
          <w:color w:val="auto"/>
        </w:rPr>
        <w:t>The following table shows gross unrealized losses (dollars in millions) on available for sale fixed maturities by investment category and length of time that individual securities have been in a continuous unrealized loss position at the following balance sheet dates.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6"/>
          </w:tcPr>
          <w:p>
            <w:pPr>
              <w:jc w:val="right"/>
              <w:ind w:right="877"/>
              <w:spacing w:after="0"/>
              <w:rPr>
                <w:sz w:val="20"/>
                <w:szCs w:val="20"/>
                <w:color w:val="auto"/>
              </w:rPr>
            </w:pPr>
            <w:r>
              <w:rPr>
                <w:rFonts w:ascii="Arial" w:cs="Arial" w:eastAsia="Arial" w:hAnsi="Arial"/>
                <w:sz w:val="13"/>
                <w:szCs w:val="13"/>
                <w:color w:val="auto"/>
                <w:w w:val="94"/>
              </w:rPr>
              <w:t>Less Than Twelve Months</w:t>
            </w: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5"/>
          </w:tcPr>
          <w:p>
            <w:pPr>
              <w:jc w:val="right"/>
              <w:ind w:right="911"/>
              <w:spacing w:after="0"/>
              <w:rPr>
                <w:sz w:val="20"/>
                <w:szCs w:val="20"/>
                <w:color w:val="auto"/>
              </w:rPr>
            </w:pPr>
            <w:r>
              <w:rPr>
                <w:rFonts w:ascii="Arial" w:cs="Arial" w:eastAsia="Arial" w:hAnsi="Arial"/>
                <w:sz w:val="13"/>
                <w:szCs w:val="13"/>
                <w:color w:val="auto"/>
                <w:w w:val="95"/>
              </w:rPr>
              <w:t>Twelve Months or More</w:t>
            </w:r>
          </w:p>
        </w:tc>
      </w:tr>
      <w:tr>
        <w:trPr>
          <w:trHeight w:val="176"/>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ind w:right="61"/>
              <w:spacing w:after="0"/>
              <w:rPr>
                <w:sz w:val="20"/>
                <w:szCs w:val="20"/>
                <w:color w:val="auto"/>
              </w:rPr>
            </w:pPr>
            <w:r>
              <w:rPr>
                <w:rFonts w:ascii="Arial" w:cs="Arial" w:eastAsia="Arial" w:hAnsi="Arial"/>
                <w:sz w:val="13"/>
                <w:szCs w:val="13"/>
                <w:color w:val="auto"/>
                <w:w w:val="99"/>
              </w:rPr>
              <w:t>Unrealized</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261"/>
              <w:spacing w:after="0"/>
              <w:rPr>
                <w:sz w:val="20"/>
                <w:szCs w:val="20"/>
                <w:color w:val="auto"/>
              </w:rPr>
            </w:pPr>
            <w:r>
              <w:rPr>
                <w:rFonts w:ascii="Arial" w:cs="Arial" w:eastAsia="Arial" w:hAnsi="Arial"/>
                <w:sz w:val="13"/>
                <w:szCs w:val="13"/>
                <w:color w:val="auto"/>
              </w:rPr>
              <w:t>Fair</w:t>
            </w:r>
          </w:p>
        </w:tc>
        <w:tc>
          <w:tcPr>
            <w:tcW w:w="80" w:type="dxa"/>
            <w:vAlign w:val="bottom"/>
          </w:tcPr>
          <w:p>
            <w:pPr>
              <w:spacing w:after="0"/>
              <w:rPr>
                <w:sz w:val="15"/>
                <w:szCs w:val="15"/>
                <w:color w:val="auto"/>
              </w:rPr>
            </w:pPr>
          </w:p>
        </w:tc>
        <w:tc>
          <w:tcPr>
            <w:tcW w:w="1380" w:type="dxa"/>
            <w:vAlign w:val="bottom"/>
            <w:gridSpan w:val="2"/>
          </w:tcPr>
          <w:p>
            <w:pPr>
              <w:jc w:val="center"/>
              <w:ind w:right="80"/>
              <w:spacing w:after="0"/>
              <w:rPr>
                <w:sz w:val="20"/>
                <w:szCs w:val="20"/>
                <w:color w:val="auto"/>
              </w:rPr>
            </w:pPr>
            <w:r>
              <w:rPr>
                <w:rFonts w:ascii="Arial" w:cs="Arial" w:eastAsia="Arial" w:hAnsi="Arial"/>
                <w:sz w:val="13"/>
                <w:szCs w:val="13"/>
                <w:color w:val="auto"/>
                <w:w w:val="96"/>
              </w:rPr>
              <w:t>Fair Value as</w:t>
            </w:r>
          </w:p>
        </w:tc>
        <w:tc>
          <w:tcPr>
            <w:tcW w:w="140" w:type="dxa"/>
            <w:vAlign w:val="bottom"/>
          </w:tcPr>
          <w:p>
            <w:pPr>
              <w:spacing w:after="0"/>
              <w:rPr>
                <w:sz w:val="15"/>
                <w:szCs w:val="15"/>
                <w:color w:val="auto"/>
              </w:rPr>
            </w:pPr>
          </w:p>
        </w:tc>
        <w:tc>
          <w:tcPr>
            <w:tcW w:w="820" w:type="dxa"/>
            <w:vAlign w:val="bottom"/>
          </w:tcPr>
          <w:p>
            <w:pPr>
              <w:jc w:val="right"/>
              <w:ind w:right="101"/>
              <w:spacing w:after="0"/>
              <w:rPr>
                <w:sz w:val="20"/>
                <w:szCs w:val="20"/>
                <w:color w:val="auto"/>
              </w:rPr>
            </w:pPr>
            <w:r>
              <w:rPr>
                <w:rFonts w:ascii="Arial" w:cs="Arial" w:eastAsia="Arial" w:hAnsi="Arial"/>
                <w:sz w:val="13"/>
                <w:szCs w:val="13"/>
                <w:color w:val="auto"/>
                <w:w w:val="99"/>
              </w:rPr>
              <w:t>Unrealized</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ind w:right="221"/>
              <w:spacing w:after="0"/>
              <w:rPr>
                <w:sz w:val="20"/>
                <w:szCs w:val="20"/>
                <w:color w:val="auto"/>
              </w:rPr>
            </w:pPr>
            <w:r>
              <w:rPr>
                <w:rFonts w:ascii="Arial" w:cs="Arial" w:eastAsia="Arial" w:hAnsi="Arial"/>
                <w:sz w:val="13"/>
                <w:szCs w:val="13"/>
                <w:color w:val="auto"/>
              </w:rPr>
              <w:t>Fair</w:t>
            </w:r>
          </w:p>
        </w:tc>
        <w:tc>
          <w:tcPr>
            <w:tcW w:w="100" w:type="dxa"/>
            <w:vAlign w:val="bottom"/>
          </w:tcPr>
          <w:p>
            <w:pPr>
              <w:spacing w:after="0"/>
              <w:rPr>
                <w:sz w:val="15"/>
                <w:szCs w:val="15"/>
                <w:color w:val="auto"/>
              </w:rPr>
            </w:pPr>
          </w:p>
        </w:tc>
        <w:tc>
          <w:tcPr>
            <w:tcW w:w="1280" w:type="dxa"/>
            <w:vAlign w:val="bottom"/>
          </w:tcPr>
          <w:p>
            <w:pPr>
              <w:jc w:val="right"/>
              <w:ind w:right="211"/>
              <w:spacing w:after="0"/>
              <w:rPr>
                <w:sz w:val="20"/>
                <w:szCs w:val="20"/>
                <w:color w:val="auto"/>
              </w:rPr>
            </w:pPr>
            <w:r>
              <w:rPr>
                <w:rFonts w:ascii="Arial" w:cs="Arial" w:eastAsia="Arial" w:hAnsi="Arial"/>
                <w:sz w:val="13"/>
                <w:szCs w:val="13"/>
                <w:color w:val="auto"/>
              </w:rPr>
              <w:t>Fair Value as</w:t>
            </w:r>
          </w:p>
        </w:tc>
      </w:tr>
      <w:tr>
        <w:trPr>
          <w:trHeight w:val="166"/>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221"/>
              <w:spacing w:after="0"/>
              <w:rPr>
                <w:sz w:val="20"/>
                <w:szCs w:val="20"/>
                <w:color w:val="auto"/>
              </w:rPr>
            </w:pPr>
            <w:r>
              <w:rPr>
                <w:rFonts w:ascii="Arial" w:cs="Arial" w:eastAsia="Arial" w:hAnsi="Arial"/>
                <w:sz w:val="13"/>
                <w:szCs w:val="13"/>
                <w:color w:val="auto"/>
              </w:rPr>
              <w:t>Loss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221"/>
              <w:spacing w:after="0"/>
              <w:rPr>
                <w:sz w:val="20"/>
                <w:szCs w:val="20"/>
                <w:color w:val="auto"/>
              </w:rPr>
            </w:pPr>
            <w:r>
              <w:rPr>
                <w:rFonts w:ascii="Arial" w:cs="Arial" w:eastAsia="Arial" w:hAnsi="Arial"/>
                <w:sz w:val="13"/>
                <w:szCs w:val="13"/>
                <w:color w:val="auto"/>
              </w:rPr>
              <w:t>Value</w:t>
            </w:r>
          </w:p>
        </w:tc>
        <w:tc>
          <w:tcPr>
            <w:tcW w:w="80" w:type="dxa"/>
            <w:vAlign w:val="bottom"/>
          </w:tcPr>
          <w:p>
            <w:pPr>
              <w:spacing w:after="0"/>
              <w:rPr>
                <w:sz w:val="14"/>
                <w:szCs w:val="14"/>
                <w:color w:val="auto"/>
              </w:rPr>
            </w:pPr>
          </w:p>
        </w:tc>
        <w:tc>
          <w:tcPr>
            <w:tcW w:w="1380" w:type="dxa"/>
            <w:vAlign w:val="bottom"/>
            <w:gridSpan w:val="2"/>
          </w:tcPr>
          <w:p>
            <w:pPr>
              <w:jc w:val="center"/>
              <w:ind w:right="80"/>
              <w:spacing w:after="0"/>
              <w:rPr>
                <w:sz w:val="20"/>
                <w:szCs w:val="20"/>
                <w:color w:val="auto"/>
              </w:rPr>
            </w:pPr>
            <w:r>
              <w:rPr>
                <w:rFonts w:ascii="Arial" w:cs="Arial" w:eastAsia="Arial" w:hAnsi="Arial"/>
                <w:sz w:val="13"/>
                <w:szCs w:val="13"/>
                <w:color w:val="auto"/>
                <w:w w:val="95"/>
              </w:rPr>
              <w:t>% of Cost</w:t>
            </w:r>
          </w:p>
        </w:tc>
        <w:tc>
          <w:tcPr>
            <w:tcW w:w="140" w:type="dxa"/>
            <w:vAlign w:val="bottom"/>
          </w:tcPr>
          <w:p>
            <w:pPr>
              <w:spacing w:after="0"/>
              <w:rPr>
                <w:sz w:val="14"/>
                <w:szCs w:val="14"/>
                <w:color w:val="auto"/>
              </w:rPr>
            </w:pPr>
          </w:p>
        </w:tc>
        <w:tc>
          <w:tcPr>
            <w:tcW w:w="820" w:type="dxa"/>
            <w:vAlign w:val="bottom"/>
          </w:tcPr>
          <w:p>
            <w:pPr>
              <w:jc w:val="right"/>
              <w:ind w:right="261"/>
              <w:spacing w:after="0"/>
              <w:rPr>
                <w:sz w:val="20"/>
                <w:szCs w:val="20"/>
                <w:color w:val="auto"/>
              </w:rPr>
            </w:pPr>
            <w:r>
              <w:rPr>
                <w:rFonts w:ascii="Arial" w:cs="Arial" w:eastAsia="Arial" w:hAnsi="Arial"/>
                <w:sz w:val="13"/>
                <w:szCs w:val="13"/>
                <w:color w:val="auto"/>
              </w:rPr>
              <w:t>Loss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81"/>
              <w:spacing w:after="0"/>
              <w:rPr>
                <w:sz w:val="20"/>
                <w:szCs w:val="20"/>
                <w:color w:val="auto"/>
              </w:rPr>
            </w:pPr>
            <w:r>
              <w:rPr>
                <w:rFonts w:ascii="Arial" w:cs="Arial" w:eastAsia="Arial" w:hAnsi="Arial"/>
                <w:sz w:val="13"/>
                <w:szCs w:val="13"/>
                <w:color w:val="auto"/>
              </w:rPr>
              <w:t>Value</w:t>
            </w:r>
          </w:p>
        </w:tc>
        <w:tc>
          <w:tcPr>
            <w:tcW w:w="100" w:type="dxa"/>
            <w:vAlign w:val="bottom"/>
          </w:tcPr>
          <w:p>
            <w:pPr>
              <w:spacing w:after="0"/>
              <w:rPr>
                <w:sz w:val="14"/>
                <w:szCs w:val="14"/>
                <w:color w:val="auto"/>
              </w:rPr>
            </w:pPr>
          </w:p>
        </w:tc>
        <w:tc>
          <w:tcPr>
            <w:tcW w:w="1280" w:type="dxa"/>
            <w:vAlign w:val="bottom"/>
          </w:tcPr>
          <w:p>
            <w:pPr>
              <w:jc w:val="right"/>
              <w:ind w:right="291"/>
              <w:spacing w:after="0"/>
              <w:rPr>
                <w:sz w:val="20"/>
                <w:szCs w:val="20"/>
                <w:color w:val="auto"/>
              </w:rPr>
            </w:pPr>
            <w:r>
              <w:rPr>
                <w:rFonts w:ascii="Arial" w:cs="Arial" w:eastAsia="Arial" w:hAnsi="Arial"/>
                <w:sz w:val="13"/>
                <w:szCs w:val="13"/>
                <w:color w:val="auto"/>
              </w:rPr>
              <w:t>% of Cost</w:t>
            </w:r>
          </w:p>
        </w:tc>
      </w:tr>
      <w:tr>
        <w:trPr>
          <w:trHeight w:val="23"/>
        </w:trPr>
        <w:tc>
          <w:tcPr>
            <w:tcW w:w="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3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76"/>
        </w:trPr>
        <w:tc>
          <w:tcPr>
            <w:tcW w:w="2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spacing w:after="0" w:line="155" w:lineRule="exact"/>
              <w:rPr>
                <w:sz w:val="20"/>
                <w:szCs w:val="20"/>
                <w:color w:val="auto"/>
              </w:rPr>
            </w:pPr>
            <w:r>
              <w:rPr>
                <w:rFonts w:ascii="Arial" w:cs="Arial" w:eastAsia="Arial" w:hAnsi="Arial"/>
                <w:sz w:val="16"/>
                <w:szCs w:val="16"/>
                <w:b w:val="1"/>
                <w:bCs w:val="1"/>
                <w:color w:val="auto"/>
              </w:rPr>
              <w:t>March 31, 2026</w:t>
            </w:r>
          </w:p>
        </w:tc>
        <w:tc>
          <w:tcPr>
            <w:tcW w:w="3400" w:type="dxa"/>
            <w:vAlign w:val="bottom"/>
            <w:tcBorders>
              <w:bottom w:val="single" w:sz="8" w:color="CCEEFF"/>
            </w:tcBorders>
            <w:gridSpan w:val="2"/>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r>
      <w:tr>
        <w:trPr>
          <w:trHeight w:val="215"/>
        </w:trPr>
        <w:tc>
          <w:tcPr>
            <w:tcW w:w="20" w:type="dxa"/>
            <w:vAlign w:val="bottom"/>
          </w:tcPr>
          <w:p>
            <w:pPr>
              <w:spacing w:after="0"/>
              <w:rPr>
                <w:sz w:val="18"/>
                <w:szCs w:val="18"/>
                <w:color w:val="auto"/>
              </w:rPr>
            </w:pPr>
          </w:p>
        </w:tc>
        <w:tc>
          <w:tcPr>
            <w:tcW w:w="4560" w:type="dxa"/>
            <w:vAlign w:val="bottom"/>
            <w:gridSpan w:val="3"/>
          </w:tcPr>
          <w:p>
            <w:pPr>
              <w:spacing w:after="0"/>
              <w:rPr>
                <w:sz w:val="20"/>
                <w:szCs w:val="20"/>
                <w:color w:val="auto"/>
              </w:rPr>
            </w:pPr>
            <w:r>
              <w:rPr>
                <w:rFonts w:ascii="Arial" w:cs="Arial" w:eastAsia="Arial" w:hAnsi="Arial"/>
                <w:sz w:val="16"/>
                <w:szCs w:val="16"/>
                <w:color w:val="auto"/>
              </w:rPr>
              <w:t>Fixed maturities:</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7"/>
        </w:trPr>
        <w:tc>
          <w:tcPr>
            <w:tcW w:w="20" w:type="dxa"/>
            <w:vAlign w:val="bottom"/>
            <w:shd w:val="clear" w:color="auto" w:fill="CCEEFF"/>
          </w:tcPr>
          <w:p>
            <w:pPr>
              <w:spacing w:after="0"/>
              <w:rPr>
                <w:sz w:val="18"/>
                <w:szCs w:val="18"/>
                <w:color w:val="auto"/>
              </w:rPr>
            </w:pPr>
          </w:p>
        </w:tc>
        <w:tc>
          <w:tcPr>
            <w:tcW w:w="456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U.S. government and government agencies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47</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215"/>
        </w:trPr>
        <w:tc>
          <w:tcPr>
            <w:tcW w:w="20" w:type="dxa"/>
            <w:vAlign w:val="bottom"/>
          </w:tcPr>
          <w:p>
            <w:pPr>
              <w:spacing w:after="0"/>
              <w:rPr>
                <w:sz w:val="18"/>
                <w:szCs w:val="18"/>
                <w:color w:val="auto"/>
              </w:rPr>
            </w:pPr>
          </w:p>
        </w:tc>
        <w:tc>
          <w:tcPr>
            <w:tcW w:w="4560" w:type="dxa"/>
            <w:vAlign w:val="bottom"/>
            <w:gridSpan w:val="3"/>
          </w:tcPr>
          <w:p>
            <w:pPr>
              <w:ind w:left="340"/>
              <w:spacing w:after="0"/>
              <w:rPr>
                <w:sz w:val="20"/>
                <w:szCs w:val="20"/>
                <w:color w:val="auto"/>
              </w:rPr>
            </w:pPr>
            <w:r>
              <w:rPr>
                <w:rFonts w:ascii="Arial" w:cs="Arial" w:eastAsia="Arial" w:hAnsi="Arial"/>
                <w:sz w:val="16"/>
                <w:szCs w:val="16"/>
                <w:color w:val="auto"/>
              </w:rPr>
              <w:t>States, municipalities and political subdivisions</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1"/>
              <w:spacing w:after="0"/>
              <w:rPr>
                <w:sz w:val="20"/>
                <w:szCs w:val="20"/>
                <w:color w:val="auto"/>
              </w:rPr>
            </w:pPr>
            <w:r>
              <w:rPr>
                <w:rFonts w:ascii="Arial" w:cs="Arial" w:eastAsia="Arial" w:hAnsi="Arial"/>
                <w:sz w:val="16"/>
                <w:szCs w:val="16"/>
                <w:color w:val="auto"/>
              </w:rPr>
              <w:t>273</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98%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264</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90%</w:t>
            </w:r>
          </w:p>
        </w:tc>
      </w:tr>
      <w:tr>
        <w:trPr>
          <w:trHeight w:val="217"/>
        </w:trPr>
        <w:tc>
          <w:tcPr>
            <w:tcW w:w="20" w:type="dxa"/>
            <w:vAlign w:val="bottom"/>
            <w:shd w:val="clear" w:color="auto" w:fill="CCEEFF"/>
          </w:tcPr>
          <w:p>
            <w:pPr>
              <w:spacing w:after="0"/>
              <w:rPr>
                <w:sz w:val="18"/>
                <w:szCs w:val="18"/>
                <w:color w:val="auto"/>
              </w:rPr>
            </w:pPr>
          </w:p>
        </w:tc>
        <w:tc>
          <w:tcPr>
            <w:tcW w:w="456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Foreign government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137</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20" w:type="dxa"/>
            <w:vAlign w:val="bottom"/>
          </w:tcPr>
          <w:p>
            <w:pPr>
              <w:spacing w:after="0"/>
              <w:rPr>
                <w:sz w:val="18"/>
                <w:szCs w:val="18"/>
                <w:color w:val="auto"/>
              </w:rPr>
            </w:pPr>
          </w:p>
        </w:tc>
        <w:tc>
          <w:tcPr>
            <w:tcW w:w="4560" w:type="dxa"/>
            <w:vAlign w:val="bottom"/>
            <w:gridSpan w:val="3"/>
          </w:tcPr>
          <w:p>
            <w:pPr>
              <w:ind w:left="340"/>
              <w:spacing w:after="0"/>
              <w:rPr>
                <w:sz w:val="20"/>
                <w:szCs w:val="20"/>
                <w:color w:val="auto"/>
              </w:rPr>
            </w:pPr>
            <w:r>
              <w:rPr>
                <w:rFonts w:ascii="Arial" w:cs="Arial" w:eastAsia="Arial" w:hAnsi="Arial"/>
                <w:sz w:val="16"/>
                <w:szCs w:val="16"/>
                <w:color w:val="auto"/>
              </w:rPr>
              <w:t>Residential MBS</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1"/>
              <w:spacing w:after="0"/>
              <w:rPr>
                <w:sz w:val="20"/>
                <w:szCs w:val="20"/>
                <w:color w:val="auto"/>
              </w:rPr>
            </w:pPr>
            <w:r>
              <w:rPr>
                <w:rFonts w:ascii="Arial" w:cs="Arial" w:eastAsia="Arial" w:hAnsi="Arial"/>
                <w:sz w:val="16"/>
                <w:szCs w:val="16"/>
                <w:color w:val="auto"/>
              </w:rPr>
              <w:t>1,177</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99%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888</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90%</w:t>
            </w:r>
          </w:p>
        </w:tc>
      </w:tr>
      <w:tr>
        <w:trPr>
          <w:trHeight w:val="217"/>
        </w:trPr>
        <w:tc>
          <w:tcPr>
            <w:tcW w:w="20" w:type="dxa"/>
            <w:vAlign w:val="bottom"/>
            <w:shd w:val="clear" w:color="auto" w:fill="CCEEFF"/>
          </w:tcPr>
          <w:p>
            <w:pPr>
              <w:spacing w:after="0"/>
              <w:rPr>
                <w:sz w:val="18"/>
                <w:szCs w:val="18"/>
                <w:color w:val="auto"/>
              </w:rPr>
            </w:pPr>
          </w:p>
        </w:tc>
        <w:tc>
          <w:tcPr>
            <w:tcW w:w="456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Collateralized loan obligations</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98%</w:t>
            </w:r>
          </w:p>
        </w:tc>
      </w:tr>
      <w:tr>
        <w:trPr>
          <w:trHeight w:val="215"/>
        </w:trPr>
        <w:tc>
          <w:tcPr>
            <w:tcW w:w="20" w:type="dxa"/>
            <w:vAlign w:val="bottom"/>
          </w:tcPr>
          <w:p>
            <w:pPr>
              <w:spacing w:after="0"/>
              <w:rPr>
                <w:sz w:val="18"/>
                <w:szCs w:val="18"/>
                <w:color w:val="auto"/>
              </w:rPr>
            </w:pPr>
          </w:p>
        </w:tc>
        <w:tc>
          <w:tcPr>
            <w:tcW w:w="4560" w:type="dxa"/>
            <w:vAlign w:val="bottom"/>
            <w:gridSpan w:val="3"/>
          </w:tcPr>
          <w:p>
            <w:pPr>
              <w:ind w:left="340"/>
              <w:spacing w:after="0"/>
              <w:rPr>
                <w:sz w:val="20"/>
                <w:szCs w:val="20"/>
                <w:color w:val="auto"/>
              </w:rPr>
            </w:pPr>
            <w:r>
              <w:rPr>
                <w:rFonts w:ascii="Arial" w:cs="Arial" w:eastAsia="Arial" w:hAnsi="Arial"/>
                <w:sz w:val="16"/>
                <w:szCs w:val="16"/>
                <w:color w:val="auto"/>
              </w:rPr>
              <w:t>Other asset-backed securities</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1"/>
              <w:spacing w:after="0"/>
              <w:rPr>
                <w:sz w:val="20"/>
                <w:szCs w:val="20"/>
                <w:color w:val="auto"/>
              </w:rPr>
            </w:pPr>
            <w:r>
              <w:rPr>
                <w:rFonts w:ascii="Arial" w:cs="Arial" w:eastAsia="Arial" w:hAnsi="Arial"/>
                <w:sz w:val="16"/>
                <w:szCs w:val="16"/>
                <w:color w:val="auto"/>
              </w:rPr>
              <w:t>813</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99%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750</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95%</w:t>
            </w:r>
          </w:p>
        </w:tc>
      </w:tr>
      <w:tr>
        <w:trPr>
          <w:trHeight w:val="217"/>
        </w:trPr>
        <w:tc>
          <w:tcPr>
            <w:tcW w:w="20" w:type="dxa"/>
            <w:vAlign w:val="bottom"/>
            <w:shd w:val="clear" w:color="auto" w:fill="CCEEFF"/>
          </w:tcPr>
          <w:p>
            <w:pPr>
              <w:spacing w:after="0"/>
              <w:rPr>
                <w:sz w:val="18"/>
                <w:szCs w:val="18"/>
                <w:color w:val="auto"/>
              </w:rPr>
            </w:pPr>
          </w:p>
        </w:tc>
        <w:tc>
          <w:tcPr>
            <w:tcW w:w="456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Corporate and other</w:t>
            </w: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746</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625</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97%</w:t>
            </w:r>
          </w:p>
        </w:tc>
      </w:tr>
      <w:tr>
        <w:trPr>
          <w:trHeight w:val="210"/>
        </w:trPr>
        <w:tc>
          <w:tcPr>
            <w:tcW w:w="20" w:type="dxa"/>
            <w:vAlign w:val="bottom"/>
          </w:tcPr>
          <w:p>
            <w:pPr>
              <w:spacing w:after="0"/>
              <w:rPr>
                <w:sz w:val="18"/>
                <w:szCs w:val="18"/>
                <w:color w:val="auto"/>
              </w:rPr>
            </w:pPr>
          </w:p>
        </w:tc>
        <w:tc>
          <w:tcPr>
            <w:tcW w:w="4560" w:type="dxa"/>
            <w:vAlign w:val="bottom"/>
            <w:gridSpan w:val="3"/>
          </w:tcPr>
          <w:p>
            <w:pPr>
              <w:ind w:left="660"/>
              <w:spacing w:after="0"/>
              <w:rPr>
                <w:sz w:val="20"/>
                <w:szCs w:val="20"/>
                <w:color w:val="auto"/>
              </w:rPr>
            </w:pPr>
            <w:r>
              <w:rPr>
                <w:rFonts w:ascii="Arial" w:cs="Arial" w:eastAsia="Arial" w:hAnsi="Arial"/>
                <w:sz w:val="16"/>
                <w:szCs w:val="16"/>
                <w:color w:val="auto"/>
              </w:rPr>
              <w:t>Total fixed maturities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3,353</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99%</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2,681</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93%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3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4560" w:type="dxa"/>
            <w:vAlign w:val="bottom"/>
            <w:gridSpan w:val="3"/>
          </w:tcPr>
          <w:p>
            <w:pPr>
              <w:spacing w:after="0" w:line="175" w:lineRule="exact"/>
              <w:rPr>
                <w:sz w:val="20"/>
                <w:szCs w:val="20"/>
                <w:color w:val="auto"/>
              </w:rPr>
            </w:pPr>
            <w:r>
              <w:rPr>
                <w:rFonts w:ascii="Arial" w:cs="Arial" w:eastAsia="Arial" w:hAnsi="Arial"/>
                <w:sz w:val="16"/>
                <w:szCs w:val="16"/>
                <w:b w:val="1"/>
                <w:bCs w:val="1"/>
                <w:color w:val="auto"/>
              </w:rPr>
              <w:t>December 31, 2025</w:t>
            </w: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5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Fixed maturities:</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4560" w:type="dxa"/>
            <w:vAlign w:val="bottom"/>
            <w:gridSpan w:val="3"/>
          </w:tcPr>
          <w:p>
            <w:pPr>
              <w:ind w:left="340"/>
              <w:spacing w:after="0"/>
              <w:rPr>
                <w:sz w:val="20"/>
                <w:szCs w:val="20"/>
                <w:color w:val="auto"/>
              </w:rPr>
            </w:pPr>
            <w:r>
              <w:rPr>
                <w:rFonts w:ascii="Arial" w:cs="Arial" w:eastAsia="Arial" w:hAnsi="Arial"/>
                <w:sz w:val="16"/>
                <w:szCs w:val="16"/>
                <w:color w:val="auto"/>
              </w:rPr>
              <w:t>U.S. government and government agencies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
              <w:spacing w:after="0"/>
              <w:rPr>
                <w:sz w:val="20"/>
                <w:szCs w:val="20"/>
                <w:color w:val="auto"/>
              </w:rPr>
            </w:pPr>
            <w:r>
              <w:rPr>
                <w:rFonts w:ascii="Arial" w:cs="Arial" w:eastAsia="Arial" w:hAnsi="Arial"/>
                <w:sz w:val="16"/>
                <w:szCs w:val="16"/>
                <w:color w:val="auto"/>
              </w:rPr>
              <w:t>15</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100%</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44</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100%</w:t>
            </w:r>
          </w:p>
        </w:tc>
      </w:tr>
      <w:tr>
        <w:trPr>
          <w:trHeight w:val="217"/>
        </w:trPr>
        <w:tc>
          <w:tcPr>
            <w:tcW w:w="20" w:type="dxa"/>
            <w:vAlign w:val="bottom"/>
            <w:shd w:val="clear" w:color="auto" w:fill="CCEEFF"/>
          </w:tcPr>
          <w:p>
            <w:pPr>
              <w:spacing w:after="0"/>
              <w:rPr>
                <w:sz w:val="18"/>
                <w:szCs w:val="18"/>
                <w:color w:val="auto"/>
              </w:rPr>
            </w:pPr>
          </w:p>
        </w:tc>
        <w:tc>
          <w:tcPr>
            <w:tcW w:w="456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States, municipalities and political subdivisions</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47</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426</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94%</w:t>
            </w:r>
          </w:p>
        </w:tc>
      </w:tr>
      <w:tr>
        <w:trPr>
          <w:trHeight w:val="215"/>
        </w:trPr>
        <w:tc>
          <w:tcPr>
            <w:tcW w:w="20" w:type="dxa"/>
            <w:vAlign w:val="bottom"/>
          </w:tcPr>
          <w:p>
            <w:pPr>
              <w:spacing w:after="0"/>
              <w:rPr>
                <w:sz w:val="18"/>
                <w:szCs w:val="18"/>
                <w:color w:val="auto"/>
              </w:rPr>
            </w:pPr>
          </w:p>
        </w:tc>
        <w:tc>
          <w:tcPr>
            <w:tcW w:w="4560" w:type="dxa"/>
            <w:vAlign w:val="bottom"/>
            <w:gridSpan w:val="3"/>
          </w:tcPr>
          <w:p>
            <w:pPr>
              <w:ind w:left="340"/>
              <w:spacing w:after="0"/>
              <w:rPr>
                <w:sz w:val="20"/>
                <w:szCs w:val="20"/>
                <w:color w:val="auto"/>
              </w:rPr>
            </w:pPr>
            <w:r>
              <w:rPr>
                <w:rFonts w:ascii="Arial" w:cs="Arial" w:eastAsia="Arial" w:hAnsi="Arial"/>
                <w:sz w:val="16"/>
                <w:szCs w:val="16"/>
                <w:color w:val="auto"/>
              </w:rPr>
              <w:t>Foreign government</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1"/>
              <w:spacing w:after="0"/>
              <w:rPr>
                <w:sz w:val="20"/>
                <w:szCs w:val="20"/>
                <w:color w:val="auto"/>
              </w:rPr>
            </w:pPr>
            <w:r>
              <w:rPr>
                <w:rFonts w:ascii="Arial" w:cs="Arial" w:eastAsia="Arial" w:hAnsi="Arial"/>
                <w:sz w:val="16"/>
                <w:szCs w:val="16"/>
                <w:color w:val="auto"/>
              </w:rPr>
              <w:t>52</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100%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100%</w:t>
            </w:r>
          </w:p>
        </w:tc>
      </w:tr>
      <w:tr>
        <w:trPr>
          <w:trHeight w:val="217"/>
        </w:trPr>
        <w:tc>
          <w:tcPr>
            <w:tcW w:w="20" w:type="dxa"/>
            <w:vAlign w:val="bottom"/>
            <w:shd w:val="clear" w:color="auto" w:fill="CCEEFF"/>
          </w:tcPr>
          <w:p>
            <w:pPr>
              <w:spacing w:after="0"/>
              <w:rPr>
                <w:sz w:val="18"/>
                <w:szCs w:val="18"/>
                <w:color w:val="auto"/>
              </w:rPr>
            </w:pPr>
          </w:p>
        </w:tc>
        <w:tc>
          <w:tcPr>
            <w:tcW w:w="456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Residential MBS</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186</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914</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90%</w:t>
            </w:r>
          </w:p>
        </w:tc>
      </w:tr>
      <w:tr>
        <w:trPr>
          <w:trHeight w:val="215"/>
        </w:trPr>
        <w:tc>
          <w:tcPr>
            <w:tcW w:w="20" w:type="dxa"/>
            <w:vAlign w:val="bottom"/>
          </w:tcPr>
          <w:p>
            <w:pPr>
              <w:spacing w:after="0"/>
              <w:rPr>
                <w:sz w:val="18"/>
                <w:szCs w:val="18"/>
                <w:color w:val="auto"/>
              </w:rPr>
            </w:pPr>
          </w:p>
        </w:tc>
        <w:tc>
          <w:tcPr>
            <w:tcW w:w="4560" w:type="dxa"/>
            <w:vAlign w:val="bottom"/>
            <w:gridSpan w:val="3"/>
          </w:tcPr>
          <w:p>
            <w:pPr>
              <w:ind w:left="340"/>
              <w:spacing w:after="0"/>
              <w:rPr>
                <w:sz w:val="20"/>
                <w:szCs w:val="20"/>
                <w:color w:val="auto"/>
              </w:rPr>
            </w:pPr>
            <w:r>
              <w:rPr>
                <w:rFonts w:ascii="Arial" w:cs="Arial" w:eastAsia="Arial" w:hAnsi="Arial"/>
                <w:sz w:val="16"/>
                <w:szCs w:val="16"/>
                <w:color w:val="auto"/>
              </w:rPr>
              <w:t>Collateralized loan obligations</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1"/>
              <w:spacing w:after="0"/>
              <w:rPr>
                <w:sz w:val="20"/>
                <w:szCs w:val="20"/>
                <w:color w:val="auto"/>
              </w:rPr>
            </w:pPr>
            <w:r>
              <w:rPr>
                <w:rFonts w:ascii="Arial" w:cs="Arial" w:eastAsia="Arial" w:hAnsi="Arial"/>
                <w:sz w:val="16"/>
                <w:szCs w:val="16"/>
                <w:color w:val="auto"/>
              </w:rPr>
              <w:t>124</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100%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147</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98%</w:t>
            </w:r>
          </w:p>
        </w:tc>
      </w:tr>
      <w:tr>
        <w:trPr>
          <w:trHeight w:val="217"/>
        </w:trPr>
        <w:tc>
          <w:tcPr>
            <w:tcW w:w="20" w:type="dxa"/>
            <w:vAlign w:val="bottom"/>
            <w:shd w:val="clear" w:color="auto" w:fill="CCEEFF"/>
          </w:tcPr>
          <w:p>
            <w:pPr>
              <w:spacing w:after="0"/>
              <w:rPr>
                <w:sz w:val="18"/>
                <w:szCs w:val="18"/>
                <w:color w:val="auto"/>
              </w:rPr>
            </w:pPr>
          </w:p>
        </w:tc>
        <w:tc>
          <w:tcPr>
            <w:tcW w:w="456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Other asset-backed securities</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311</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803</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96%</w:t>
            </w:r>
          </w:p>
        </w:tc>
      </w:tr>
      <w:tr>
        <w:trPr>
          <w:trHeight w:val="215"/>
        </w:trPr>
        <w:tc>
          <w:tcPr>
            <w:tcW w:w="20" w:type="dxa"/>
            <w:vAlign w:val="bottom"/>
            <w:tcBorders>
              <w:bottom w:val="single" w:sz="8" w:color="CCEEFF"/>
            </w:tcBorders>
          </w:tcPr>
          <w:p>
            <w:pPr>
              <w:spacing w:after="0"/>
              <w:rPr>
                <w:sz w:val="18"/>
                <w:szCs w:val="18"/>
                <w:color w:val="auto"/>
              </w:rPr>
            </w:pPr>
          </w:p>
        </w:tc>
        <w:tc>
          <w:tcPr>
            <w:tcW w:w="4560" w:type="dxa"/>
            <w:vAlign w:val="bottom"/>
            <w:tcBorders>
              <w:bottom w:val="single" w:sz="8" w:color="CCEEFF"/>
            </w:tcBorders>
            <w:gridSpan w:val="3"/>
          </w:tcPr>
          <w:p>
            <w:pPr>
              <w:ind w:left="340"/>
              <w:spacing w:after="0"/>
              <w:rPr>
                <w:sz w:val="20"/>
                <w:szCs w:val="20"/>
                <w:color w:val="auto"/>
              </w:rPr>
            </w:pPr>
            <w:r>
              <w:rPr>
                <w:rFonts w:ascii="Arial" w:cs="Arial" w:eastAsia="Arial" w:hAnsi="Arial"/>
                <w:sz w:val="16"/>
                <w:szCs w:val="16"/>
                <w:color w:val="auto"/>
              </w:rPr>
              <w:t>Corporate and other</w:t>
            </w: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174</w:t>
            </w:r>
          </w:p>
        </w:tc>
        <w:tc>
          <w:tcPr>
            <w:tcW w:w="13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99%</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794</w:t>
            </w:r>
          </w:p>
        </w:tc>
        <w:tc>
          <w:tcPr>
            <w:tcW w:w="13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97%</w:t>
            </w:r>
          </w:p>
        </w:tc>
      </w:tr>
      <w:tr>
        <w:trPr>
          <w:trHeight w:val="235"/>
        </w:trPr>
        <w:tc>
          <w:tcPr>
            <w:tcW w:w="20" w:type="dxa"/>
            <w:vAlign w:val="bottom"/>
            <w:tcBorders>
              <w:bottom w:val="single" w:sz="8" w:color="CCEEFF"/>
            </w:tcBorders>
            <w:shd w:val="clear" w:color="auto" w:fill="CCEEFF"/>
          </w:tcPr>
          <w:p>
            <w:pPr>
              <w:spacing w:after="0"/>
              <w:rPr>
                <w:sz w:val="20"/>
                <w:szCs w:val="20"/>
                <w:color w:val="auto"/>
              </w:rPr>
            </w:pPr>
          </w:p>
        </w:tc>
        <w:tc>
          <w:tcPr>
            <w:tcW w:w="4560" w:type="dxa"/>
            <w:vAlign w:val="bottom"/>
            <w:tcBorders>
              <w:bottom w:val="single" w:sz="8" w:color="CCEEFF"/>
            </w:tcBorders>
            <w:gridSpan w:val="3"/>
            <w:shd w:val="clear" w:color="auto" w:fill="CCEEFF"/>
          </w:tcPr>
          <w:p>
            <w:pPr>
              <w:ind w:left="660"/>
              <w:spacing w:after="0"/>
              <w:rPr>
                <w:sz w:val="20"/>
                <w:szCs w:val="20"/>
                <w:color w:val="auto"/>
              </w:rPr>
            </w:pPr>
            <w:r>
              <w:rPr>
                <w:rFonts w:ascii="Arial" w:cs="Arial" w:eastAsia="Arial" w:hAnsi="Arial"/>
                <w:sz w:val="16"/>
                <w:szCs w:val="16"/>
                <w:color w:val="auto"/>
              </w:rPr>
              <w:t>Total fixed maturities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909</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3,133</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94%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r>
    </w:tbl>
    <w:p>
      <w:pPr>
        <w:spacing w:after="0" w:line="315" w:lineRule="exact"/>
        <w:rPr>
          <w:sz w:val="20"/>
          <w:szCs w:val="20"/>
          <w:color w:val="auto"/>
        </w:rPr>
      </w:pPr>
    </w:p>
    <w:p>
      <w:pPr>
        <w:ind w:right="120"/>
        <w:spacing w:after="0" w:line="266" w:lineRule="auto"/>
        <w:rPr>
          <w:sz w:val="20"/>
          <w:szCs w:val="20"/>
          <w:color w:val="auto"/>
        </w:rPr>
      </w:pPr>
      <w:r>
        <w:rPr>
          <w:rFonts w:ascii="Arial" w:cs="Arial" w:eastAsia="Arial" w:hAnsi="Arial"/>
          <w:sz w:val="17"/>
          <w:szCs w:val="17"/>
          <w:color w:val="auto"/>
        </w:rPr>
        <w:t>At March 31, 2026, the gross unrealized losses on fixed maturities of $238 million relate to approximately 1,100 securities. Investment grade securities (as determined by nationally recognized rating agencies) represented approximately 97% of the gross unrealized loss and 97% of the fair value of securities with unrealized losses.</w:t>
      </w:r>
    </w:p>
    <w:p>
      <w:pPr>
        <w:spacing w:after="0" w:line="201" w:lineRule="exact"/>
        <w:rPr>
          <w:sz w:val="20"/>
          <w:szCs w:val="20"/>
          <w:color w:val="auto"/>
        </w:rPr>
      </w:pPr>
    </w:p>
    <w:p>
      <w:pPr>
        <w:ind w:right="20"/>
        <w:spacing w:after="0" w:line="274" w:lineRule="auto"/>
        <w:rPr>
          <w:sz w:val="20"/>
          <w:szCs w:val="20"/>
          <w:color w:val="auto"/>
        </w:rPr>
      </w:pPr>
      <w:r>
        <w:rPr>
          <w:rFonts w:ascii="Arial" w:cs="Arial" w:eastAsia="Arial" w:hAnsi="Arial"/>
          <w:sz w:val="17"/>
          <w:szCs w:val="17"/>
          <w:color w:val="auto"/>
        </w:rPr>
        <w:t>To evaluate fixed maturities for expected credit losses (impairment), management considers whether the unrealized loss is credit-driven or a result of changes in market interest rates, the extent to which fair value is less than cost basis, historical operating, balance sheet and cash flow data from the issuer, third party research, communications with industry specialists and discussions with issuer management.</w:t>
      </w:r>
    </w:p>
    <w:p>
      <w:pPr>
        <w:spacing w:after="0" w:line="195"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AFG analyzes its residential MBS for expected credit losses (impairment) each quarter based upon expected future cash flows. Management estimates expected future cash flows based upon its knowledge of the MBS market, cash flow projections received from independent sources (which reflect loan to collateral values, subordination, vintage and geographic concentration), implied cash flows inherent in security ratings and analysis of historical payment data.</w:t>
      </w:r>
    </w:p>
    <w:p>
      <w:pPr>
        <w:spacing w:after="0" w:line="219" w:lineRule="exact"/>
        <w:rPr>
          <w:sz w:val="20"/>
          <w:szCs w:val="20"/>
          <w:color w:val="auto"/>
        </w:rPr>
      </w:pPr>
    </w:p>
    <w:p>
      <w:pPr>
        <w:ind w:right="220"/>
        <w:spacing w:after="0" w:line="284" w:lineRule="auto"/>
        <w:rPr>
          <w:sz w:val="20"/>
          <w:szCs w:val="20"/>
          <w:color w:val="auto"/>
        </w:rPr>
      </w:pPr>
      <w:r>
        <w:rPr>
          <w:rFonts w:ascii="Arial" w:cs="Arial" w:eastAsia="Arial" w:hAnsi="Arial"/>
          <w:sz w:val="17"/>
          <w:szCs w:val="17"/>
          <w:color w:val="auto"/>
        </w:rPr>
        <w:t>Management believes AFG will recover its cost basis (net of any allowance) in the securities with unrealized losses and that AFG has the ability to hold the securities until they recover in value and had no intent to sell them at March 31, 2026.</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0" w:name="page21"/>
    <w:bookmarkEnd w:id="20"/>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color w:val="auto"/>
        </w:rPr>
        <w:t>A progression of the allowance for expected credit losses on available for sale fixed maturity securities is shown below (in millions):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5"/>
                <w:szCs w:val="15"/>
                <w:color w:val="auto"/>
              </w:rPr>
              <w:t>Structured</w:t>
            </w:r>
          </w:p>
        </w:tc>
        <w:tc>
          <w:tcPr>
            <w:tcW w:w="100" w:type="dxa"/>
            <w:vAlign w:val="bottom"/>
          </w:tcPr>
          <w:p>
            <w:pPr>
              <w:spacing w:after="0"/>
              <w:rPr>
                <w:sz w:val="14"/>
                <w:szCs w:val="14"/>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5"/>
                <w:szCs w:val="15"/>
                <w:color w:val="auto"/>
              </w:rPr>
              <w:t>Corporate and</w:t>
            </w: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13"/>
        </w:trPr>
        <w:tc>
          <w:tcPr>
            <w:tcW w:w="7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5"/>
                <w:szCs w:val="15"/>
                <w:color w:val="auto"/>
              </w:rPr>
              <w:t>Securities (*)</w:t>
            </w:r>
          </w:p>
        </w:tc>
        <w:tc>
          <w:tcPr>
            <w:tcW w:w="100" w:type="dxa"/>
            <w:vAlign w:val="bottom"/>
          </w:tcPr>
          <w:p>
            <w:pPr>
              <w:spacing w:after="0"/>
              <w:rPr>
                <w:sz w:val="18"/>
                <w:szCs w:val="18"/>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5"/>
                <w:szCs w:val="15"/>
                <w:color w:val="auto"/>
              </w:rPr>
              <w:t>Other</w:t>
            </w:r>
          </w:p>
        </w:tc>
        <w:tc>
          <w:tcPr>
            <w:tcW w:w="280" w:type="dxa"/>
            <w:vAlign w:val="bottom"/>
          </w:tcPr>
          <w:p>
            <w:pPr>
              <w:spacing w:after="0"/>
              <w:rPr>
                <w:sz w:val="18"/>
                <w:szCs w:val="18"/>
                <w:color w:val="auto"/>
              </w:rPr>
            </w:pPr>
          </w:p>
        </w:tc>
        <w:tc>
          <w:tcPr>
            <w:tcW w:w="940" w:type="dxa"/>
            <w:vAlign w:val="bottom"/>
          </w:tcPr>
          <w:p>
            <w:pPr>
              <w:jc w:val="right"/>
              <w:ind w:right="359"/>
              <w:spacing w:after="0"/>
              <w:rPr>
                <w:sz w:val="20"/>
                <w:szCs w:val="20"/>
                <w:color w:val="auto"/>
              </w:rPr>
            </w:pPr>
            <w:r>
              <w:rPr>
                <w:rFonts w:ascii="Arial" w:cs="Arial" w:eastAsia="Arial" w:hAnsi="Arial"/>
                <w:sz w:val="15"/>
                <w:szCs w:val="15"/>
                <w:color w:val="auto"/>
              </w:rPr>
              <w:t>Total</w:t>
            </w:r>
          </w:p>
        </w:tc>
      </w:tr>
      <w:tr>
        <w:trPr>
          <w:trHeight w:val="213"/>
        </w:trPr>
        <w:tc>
          <w:tcPr>
            <w:tcW w:w="7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December 31, 2025</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15"/>
        </w:trPr>
        <w:tc>
          <w:tcPr>
            <w:tcW w:w="7400" w:type="dxa"/>
            <w:vAlign w:val="bottom"/>
          </w:tcPr>
          <w:p>
            <w:pPr>
              <w:ind w:left="20"/>
              <w:spacing w:after="0"/>
              <w:rPr>
                <w:sz w:val="20"/>
                <w:szCs w:val="20"/>
                <w:color w:val="auto"/>
              </w:rPr>
            </w:pPr>
            <w:r>
              <w:rPr>
                <w:rFonts w:ascii="Arial" w:cs="Arial" w:eastAsia="Arial" w:hAnsi="Arial"/>
                <w:sz w:val="16"/>
                <w:szCs w:val="16"/>
                <w:color w:val="auto"/>
              </w:rPr>
              <w:t>Provision for expected credit losses on securities with no previous allowance</w:t>
            </w:r>
          </w:p>
        </w:tc>
        <w:tc>
          <w:tcPr>
            <w:tcW w:w="1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17"/>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Additions to previously recognized expected credit losses</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7400" w:type="dxa"/>
            <w:vAlign w:val="bottom"/>
          </w:tcPr>
          <w:p>
            <w:pPr>
              <w:ind w:left="20"/>
              <w:spacing w:after="0"/>
              <w:rPr>
                <w:sz w:val="20"/>
                <w:szCs w:val="20"/>
                <w:color w:val="auto"/>
              </w:rPr>
            </w:pPr>
            <w:r>
              <w:rPr>
                <w:rFonts w:ascii="Arial" w:cs="Arial" w:eastAsia="Arial" w:hAnsi="Arial"/>
                <w:sz w:val="16"/>
                <w:szCs w:val="16"/>
                <w:color w:val="auto"/>
              </w:rPr>
              <w:t>Reductions due to sales or redemptions</w:t>
            </w:r>
          </w:p>
        </w:tc>
        <w:tc>
          <w:tcPr>
            <w:tcW w:w="1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5"/>
        </w:trPr>
        <w:tc>
          <w:tcPr>
            <w:tcW w:w="7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March 31, 2026</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7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16"/>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December 31, 2024</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r>
      <w:tr>
        <w:trPr>
          <w:trHeight w:val="215"/>
        </w:trPr>
        <w:tc>
          <w:tcPr>
            <w:tcW w:w="7400" w:type="dxa"/>
            <w:vAlign w:val="bottom"/>
          </w:tcPr>
          <w:p>
            <w:pPr>
              <w:ind w:left="20"/>
              <w:spacing w:after="0"/>
              <w:rPr>
                <w:sz w:val="20"/>
                <w:szCs w:val="20"/>
                <w:color w:val="auto"/>
              </w:rPr>
            </w:pPr>
            <w:r>
              <w:rPr>
                <w:rFonts w:ascii="Arial" w:cs="Arial" w:eastAsia="Arial" w:hAnsi="Arial"/>
                <w:sz w:val="16"/>
                <w:szCs w:val="16"/>
                <w:color w:val="auto"/>
              </w:rPr>
              <w:t>Provision for expected credit losses on securities with no previous allowance</w:t>
            </w:r>
          </w:p>
        </w:tc>
        <w:tc>
          <w:tcPr>
            <w:tcW w:w="1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7"/>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Additions to previously recognized expected credit losses</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15"/>
        </w:trPr>
        <w:tc>
          <w:tcPr>
            <w:tcW w:w="7400" w:type="dxa"/>
            <w:vAlign w:val="bottom"/>
          </w:tcPr>
          <w:p>
            <w:pPr>
              <w:ind w:left="20"/>
              <w:spacing w:after="0"/>
              <w:rPr>
                <w:sz w:val="20"/>
                <w:szCs w:val="20"/>
                <w:color w:val="auto"/>
              </w:rPr>
            </w:pPr>
            <w:r>
              <w:rPr>
                <w:rFonts w:ascii="Arial" w:cs="Arial" w:eastAsia="Arial" w:hAnsi="Arial"/>
                <w:sz w:val="16"/>
                <w:szCs w:val="16"/>
                <w:color w:val="auto"/>
              </w:rPr>
              <w:t>Reductions due to sales or redemptions</w:t>
            </w:r>
          </w:p>
        </w:tc>
        <w:tc>
          <w:tcPr>
            <w:tcW w:w="1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5"/>
        </w:trPr>
        <w:tc>
          <w:tcPr>
            <w:tcW w:w="7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March 31, 2025</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ind w:left="400" w:hanging="392"/>
        <w:spacing w:after="0"/>
        <w:tabs>
          <w:tab w:leader="none" w:pos="4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Includes residential MBS, collateralized loan obligations and other asset-backed securities (“ABS”).</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In the first three months of 2026 and 2025, AFG did not purchase any securities with expected credit losses.</w:t>
      </w:r>
    </w:p>
    <w:p>
      <w:pPr>
        <w:spacing w:after="0" w:line="250" w:lineRule="exact"/>
        <w:rPr>
          <w:sz w:val="20"/>
          <w:szCs w:val="20"/>
          <w:color w:val="auto"/>
        </w:rPr>
      </w:pPr>
    </w:p>
    <w:p>
      <w:pPr>
        <w:ind w:right="80"/>
        <w:spacing w:after="0" w:line="274" w:lineRule="auto"/>
        <w:rPr>
          <w:sz w:val="20"/>
          <w:szCs w:val="20"/>
          <w:color w:val="auto"/>
        </w:rPr>
      </w:pPr>
      <w:r>
        <w:rPr>
          <w:rFonts w:ascii="Arial" w:cs="Arial" w:eastAsia="Arial" w:hAnsi="Arial"/>
          <w:sz w:val="17"/>
          <w:szCs w:val="17"/>
          <w:color w:val="auto"/>
        </w:rPr>
        <w:t>The table below sets forth the scheduled maturities of AFG’s available for sale fixed maturities as of March 31, 2026 (dollars in millions). Securities with sinking funds are reported at average maturity. Actual maturities may differ from contractual maturities because certain securities may be called or prepaid by the issuers.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5"/>
                <w:szCs w:val="15"/>
                <w:color w:val="auto"/>
              </w:rPr>
              <w:t>Amortized</w:t>
            </w: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ind w:left="700"/>
              <w:spacing w:after="0"/>
              <w:rPr>
                <w:sz w:val="20"/>
                <w:szCs w:val="20"/>
                <w:color w:val="auto"/>
              </w:rPr>
            </w:pPr>
            <w:r>
              <w:rPr>
                <w:rFonts w:ascii="Arial" w:cs="Arial" w:eastAsia="Arial" w:hAnsi="Arial"/>
                <w:sz w:val="15"/>
                <w:szCs w:val="15"/>
                <w:color w:val="auto"/>
              </w:rPr>
              <w:t>Fair Value</w:t>
            </w:r>
          </w:p>
        </w:tc>
        <w:tc>
          <w:tcPr>
            <w:tcW w:w="800" w:type="dxa"/>
            <w:vAlign w:val="bottom"/>
            <w:tcBorders>
              <w:bottom w:val="single" w:sz="8" w:color="auto"/>
            </w:tcBorders>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5"/>
                <w:szCs w:val="15"/>
                <w:color w:val="auto"/>
                <w:w w:val="99"/>
              </w:rPr>
              <w:t>Cost, net (*)</w:t>
            </w:r>
          </w:p>
        </w:tc>
        <w:tc>
          <w:tcPr>
            <w:tcW w:w="200" w:type="dxa"/>
            <w:vAlign w:val="bottom"/>
          </w:tcPr>
          <w:p>
            <w:pPr>
              <w:spacing w:after="0"/>
              <w:rPr>
                <w:sz w:val="17"/>
                <w:szCs w:val="17"/>
                <w:color w:val="auto"/>
              </w:rPr>
            </w:pPr>
          </w:p>
        </w:tc>
        <w:tc>
          <w:tcPr>
            <w:tcW w:w="1480" w:type="dxa"/>
            <w:vAlign w:val="bottom"/>
            <w:gridSpan w:val="3"/>
          </w:tcPr>
          <w:p>
            <w:pPr>
              <w:ind w:left="100"/>
              <w:spacing w:after="0"/>
              <w:rPr>
                <w:sz w:val="20"/>
                <w:szCs w:val="20"/>
                <w:color w:val="auto"/>
              </w:rPr>
            </w:pPr>
            <w:r>
              <w:rPr>
                <w:rFonts w:ascii="Arial" w:cs="Arial" w:eastAsia="Arial" w:hAnsi="Arial"/>
                <w:sz w:val="15"/>
                <w:szCs w:val="15"/>
                <w:color w:val="auto"/>
              </w:rPr>
              <w:t>Amount</w:t>
            </w:r>
          </w:p>
        </w:tc>
        <w:tc>
          <w:tcPr>
            <w:tcW w:w="800" w:type="dxa"/>
            <w:vAlign w:val="bottom"/>
          </w:tcPr>
          <w:p>
            <w:pPr>
              <w:jc w:val="right"/>
              <w:ind w:right="480"/>
              <w:spacing w:after="0"/>
              <w:rPr>
                <w:sz w:val="20"/>
                <w:szCs w:val="20"/>
                <w:color w:val="auto"/>
              </w:rPr>
            </w:pPr>
            <w:r>
              <w:rPr>
                <w:rFonts w:ascii="Arial" w:cs="Arial" w:eastAsia="Arial" w:hAnsi="Arial"/>
                <w:sz w:val="15"/>
                <w:szCs w:val="15"/>
                <w:color w:val="auto"/>
              </w:rPr>
              <w:t>%</w:t>
            </w:r>
          </w:p>
        </w:tc>
      </w:tr>
      <w:tr>
        <w:trPr>
          <w:trHeight w:val="157"/>
        </w:trPr>
        <w:tc>
          <w:tcPr>
            <w:tcW w:w="20" w:type="dxa"/>
            <w:vAlign w:val="bottom"/>
            <w:tcBorders>
              <w:top w:val="single" w:sz="8" w:color="CCEEFF"/>
            </w:tcBorders>
            <w:shd w:val="clear" w:color="auto" w:fill="CCEEFF"/>
          </w:tcPr>
          <w:p>
            <w:pPr>
              <w:spacing w:after="0"/>
              <w:rPr>
                <w:sz w:val="13"/>
                <w:szCs w:val="13"/>
                <w:color w:val="auto"/>
              </w:rPr>
            </w:pPr>
          </w:p>
        </w:tc>
        <w:tc>
          <w:tcPr>
            <w:tcW w:w="7440" w:type="dxa"/>
            <w:vAlign w:val="bottom"/>
            <w:tcBorders>
              <w:top w:val="single" w:sz="8" w:color="CCEEFF"/>
            </w:tcBorders>
            <w:gridSpan w:val="2"/>
            <w:shd w:val="clear" w:color="auto" w:fill="CCEEFF"/>
          </w:tcPr>
          <w:p>
            <w:pPr>
              <w:spacing w:after="0" w:line="157" w:lineRule="exact"/>
              <w:rPr>
                <w:sz w:val="20"/>
                <w:szCs w:val="20"/>
                <w:color w:val="auto"/>
              </w:rPr>
            </w:pPr>
            <w:r>
              <w:rPr>
                <w:rFonts w:ascii="Arial" w:cs="Arial" w:eastAsia="Arial" w:hAnsi="Arial"/>
                <w:sz w:val="16"/>
                <w:szCs w:val="16"/>
                <w:color w:val="auto"/>
              </w:rPr>
              <w:t>Maturity</w:t>
            </w:r>
          </w:p>
        </w:tc>
        <w:tc>
          <w:tcPr>
            <w:tcW w:w="16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auto"/>
            </w:tcBorders>
            <w:shd w:val="clear" w:color="auto" w:fill="CCEEFF"/>
          </w:tcPr>
          <w:p>
            <w:pPr>
              <w:spacing w:after="0" w:line="20" w:lineRule="exact"/>
              <w:rPr>
                <w:sz w:val="1"/>
                <w:szCs w:val="1"/>
                <w:color w:val="auto"/>
              </w:rPr>
            </w:pPr>
          </w:p>
        </w:tc>
        <w:tc>
          <w:tcPr>
            <w:tcW w:w="68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7440" w:type="dxa"/>
            <w:vAlign w:val="bottom"/>
            <w:gridSpan w:val="2"/>
          </w:tcPr>
          <w:p>
            <w:pPr>
              <w:spacing w:after="0"/>
              <w:rPr>
                <w:sz w:val="20"/>
                <w:szCs w:val="20"/>
                <w:color w:val="auto"/>
              </w:rPr>
            </w:pPr>
            <w:r>
              <w:rPr>
                <w:rFonts w:ascii="Arial" w:cs="Arial" w:eastAsia="Arial" w:hAnsi="Arial"/>
                <w:sz w:val="16"/>
                <w:szCs w:val="16"/>
                <w:color w:val="auto"/>
              </w:rPr>
              <w:t>One year or less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694</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687</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17"/>
        </w:trPr>
        <w:tc>
          <w:tcPr>
            <w:tcW w:w="20" w:type="dxa"/>
            <w:vAlign w:val="bottom"/>
            <w:shd w:val="clear" w:color="auto" w:fill="CCEEFF"/>
          </w:tcPr>
          <w:p>
            <w:pPr>
              <w:spacing w:after="0"/>
              <w:rPr>
                <w:sz w:val="18"/>
                <w:szCs w:val="18"/>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After one year through five years</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2,123</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r>
      <w:tr>
        <w:trPr>
          <w:trHeight w:val="215"/>
        </w:trPr>
        <w:tc>
          <w:tcPr>
            <w:tcW w:w="20" w:type="dxa"/>
            <w:vAlign w:val="bottom"/>
          </w:tcPr>
          <w:p>
            <w:pPr>
              <w:spacing w:after="0"/>
              <w:rPr>
                <w:sz w:val="18"/>
                <w:szCs w:val="18"/>
                <w:color w:val="auto"/>
              </w:rPr>
            </w:pPr>
          </w:p>
        </w:tc>
        <w:tc>
          <w:tcPr>
            <w:tcW w:w="7440" w:type="dxa"/>
            <w:vAlign w:val="bottom"/>
            <w:gridSpan w:val="2"/>
          </w:tcPr>
          <w:p>
            <w:pPr>
              <w:spacing w:after="0"/>
              <w:rPr>
                <w:sz w:val="20"/>
                <w:szCs w:val="20"/>
                <w:color w:val="auto"/>
              </w:rPr>
            </w:pPr>
            <w:r>
              <w:rPr>
                <w:rFonts w:ascii="Arial" w:cs="Arial" w:eastAsia="Arial" w:hAnsi="Arial"/>
                <w:sz w:val="16"/>
                <w:szCs w:val="16"/>
                <w:color w:val="auto"/>
              </w:rPr>
              <w:t>After five years through ten years</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1,459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1,472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16"/>
        </w:trPr>
        <w:tc>
          <w:tcPr>
            <w:tcW w:w="20" w:type="dxa"/>
            <w:vAlign w:val="bottom"/>
            <w:shd w:val="clear" w:color="auto" w:fill="CCEEFF"/>
          </w:tcPr>
          <w:p>
            <w:pPr>
              <w:spacing w:after="0"/>
              <w:rPr>
                <w:sz w:val="18"/>
                <w:szCs w:val="18"/>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After ten years</w:t>
            </w: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10"/>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4,494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4,482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40%</w:t>
            </w:r>
          </w:p>
        </w:tc>
      </w:tr>
      <w:tr>
        <w:trPr>
          <w:trHeight w:val="217"/>
        </w:trPr>
        <w:tc>
          <w:tcPr>
            <w:tcW w:w="20" w:type="dxa"/>
            <w:vAlign w:val="bottom"/>
            <w:shd w:val="clear" w:color="auto" w:fill="CCEEFF"/>
          </w:tcPr>
          <w:p>
            <w:pPr>
              <w:spacing w:after="0"/>
              <w:rPr>
                <w:sz w:val="18"/>
                <w:szCs w:val="18"/>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CLOs and other ABS (average life of approximately 3.5 years)</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3,755</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r>
      <w:tr>
        <w:trPr>
          <w:trHeight w:val="215"/>
        </w:trPr>
        <w:tc>
          <w:tcPr>
            <w:tcW w:w="20" w:type="dxa"/>
            <w:vAlign w:val="bottom"/>
            <w:tcBorders>
              <w:bottom w:val="single" w:sz="8" w:color="CCEEFF"/>
            </w:tcBorders>
          </w:tcPr>
          <w:p>
            <w:pPr>
              <w:spacing w:after="0"/>
              <w:rPr>
                <w:sz w:val="18"/>
                <w:szCs w:val="18"/>
                <w:color w:val="auto"/>
              </w:rPr>
            </w:pPr>
          </w:p>
        </w:tc>
        <w:tc>
          <w:tcPr>
            <w:tcW w:w="744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Residential MBS (average life of approximately 6 years)</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3,245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3,160</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r>
      <w:tr>
        <w:trPr>
          <w:trHeight w:val="235"/>
        </w:trPr>
        <w:tc>
          <w:tcPr>
            <w:tcW w:w="20" w:type="dxa"/>
            <w:vAlign w:val="bottom"/>
            <w:tcBorders>
              <w:bottom w:val="single" w:sz="8" w:color="CCEEFF"/>
            </w:tcBorders>
            <w:shd w:val="clear" w:color="auto" w:fill="CCEEFF"/>
          </w:tcPr>
          <w:p>
            <w:pPr>
              <w:spacing w:after="0"/>
              <w:rPr>
                <w:sz w:val="20"/>
                <w:szCs w:val="20"/>
                <w:color w:val="auto"/>
              </w:rPr>
            </w:pPr>
          </w:p>
        </w:tc>
        <w:tc>
          <w:tcPr>
            <w:tcW w:w="74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11,523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11,397</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68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ind w:left="400" w:hanging="392"/>
        <w:spacing w:after="0"/>
        <w:tabs>
          <w:tab w:leader="none" w:pos="4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Amortized cost, net of allowance for expected credit losses.</w:t>
      </w:r>
    </w:p>
    <w:p>
      <w:pPr>
        <w:spacing w:after="0" w:line="264" w:lineRule="exact"/>
        <w:rPr>
          <w:sz w:val="20"/>
          <w:szCs w:val="20"/>
          <w:color w:val="auto"/>
        </w:rPr>
      </w:pPr>
    </w:p>
    <w:p>
      <w:pPr>
        <w:ind w:right="140"/>
        <w:spacing w:after="0" w:line="284" w:lineRule="auto"/>
        <w:rPr>
          <w:sz w:val="20"/>
          <w:szCs w:val="20"/>
          <w:color w:val="auto"/>
        </w:rPr>
      </w:pPr>
      <w:r>
        <w:rPr>
          <w:rFonts w:ascii="Arial" w:cs="Arial" w:eastAsia="Arial" w:hAnsi="Arial"/>
          <w:sz w:val="17"/>
          <w:szCs w:val="17"/>
          <w:color w:val="auto"/>
        </w:rPr>
        <w:t>Certain risks are inherent in fixed maturity securities, including loss upon default, price volatility in reaction to changes in interest rates, and general market factors and risks associated with reinvestment of proceeds due to prepayments or redemptions in a period of declining interest rates.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There were no investments in individual issuers that exceeded 10% of shareholders’ equity at March 31, 2026 or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1" w:name="page22"/>
    <w:bookmarkEnd w:id="21"/>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 xml:space="preserve">Net Investment Income </w:t>
      </w:r>
      <w:r>
        <w:rPr>
          <w:rFonts w:ascii="Arial" w:cs="Arial" w:eastAsia="Arial" w:hAnsi="Arial"/>
          <w:sz w:val="17"/>
          <w:szCs w:val="17"/>
          <w:color w:val="000000"/>
        </w:rPr>
        <w:t>The following table shows investment income earned and investment expenses incurred (in millions):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060" w:type="dxa"/>
            <w:vAlign w:val="bottom"/>
          </w:tcPr>
          <w:p>
            <w:pPr>
              <w:spacing w:after="0"/>
              <w:rPr>
                <w:sz w:val="17"/>
                <w:szCs w:val="17"/>
                <w:color w:val="auto"/>
              </w:rPr>
            </w:pPr>
          </w:p>
        </w:tc>
        <w:tc>
          <w:tcPr>
            <w:tcW w:w="2740" w:type="dxa"/>
            <w:vAlign w:val="bottom"/>
            <w:tcBorders>
              <w:bottom w:val="single" w:sz="8" w:color="auto"/>
            </w:tcBorders>
            <w:gridSpan w:val="4"/>
          </w:tcPr>
          <w:p>
            <w:pPr>
              <w:jc w:val="right"/>
              <w:ind w:right="1"/>
              <w:spacing w:after="0"/>
              <w:rPr>
                <w:sz w:val="20"/>
                <w:szCs w:val="20"/>
                <w:color w:val="auto"/>
              </w:rPr>
            </w:pPr>
            <w:r>
              <w:rPr>
                <w:rFonts w:ascii="Arial" w:cs="Arial" w:eastAsia="Arial" w:hAnsi="Arial"/>
                <w:sz w:val="15"/>
                <w:szCs w:val="15"/>
                <w:color w:val="auto"/>
              </w:rPr>
              <w:t>Three months ended March 31,</w:t>
            </w:r>
          </w:p>
        </w:tc>
        <w:tc>
          <w:tcPr>
            <w:tcW w:w="440" w:type="dxa"/>
            <w:vAlign w:val="bottom"/>
            <w:tcBorders>
              <w:bottom w:val="single" w:sz="8" w:color="auto"/>
            </w:tcBorders>
          </w:tcPr>
          <w:p>
            <w:pPr>
              <w:spacing w:after="0"/>
              <w:rPr>
                <w:sz w:val="17"/>
                <w:szCs w:val="17"/>
                <w:color w:val="auto"/>
              </w:rPr>
            </w:pPr>
          </w:p>
        </w:tc>
      </w:tr>
      <w:tr>
        <w:trPr>
          <w:trHeight w:val="198"/>
        </w:trPr>
        <w:tc>
          <w:tcPr>
            <w:tcW w:w="806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ind w:right="61"/>
              <w:spacing w:after="0"/>
              <w:rPr>
                <w:sz w:val="20"/>
                <w:szCs w:val="20"/>
                <w:color w:val="auto"/>
              </w:rPr>
            </w:pPr>
            <w:r>
              <w:rPr>
                <w:rFonts w:ascii="Arial" w:cs="Arial" w:eastAsia="Arial" w:hAnsi="Arial"/>
                <w:sz w:val="15"/>
                <w:szCs w:val="15"/>
                <w:color w:val="auto"/>
              </w:rPr>
              <w:t>2026</w:t>
            </w:r>
          </w:p>
        </w:tc>
        <w:tc>
          <w:tcPr>
            <w:tcW w:w="4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ind w:right="81"/>
              <w:spacing w:after="0"/>
              <w:rPr>
                <w:sz w:val="20"/>
                <w:szCs w:val="20"/>
                <w:color w:val="auto"/>
              </w:rPr>
            </w:pPr>
            <w:r>
              <w:rPr>
                <w:rFonts w:ascii="Arial" w:cs="Arial" w:eastAsia="Arial" w:hAnsi="Arial"/>
                <w:sz w:val="15"/>
                <w:szCs w:val="15"/>
                <w:color w:val="auto"/>
              </w:rPr>
              <w:t>2025</w:t>
            </w:r>
          </w:p>
        </w:tc>
        <w:tc>
          <w:tcPr>
            <w:tcW w:w="440" w:type="dxa"/>
            <w:vAlign w:val="bottom"/>
            <w:tcBorders>
              <w:bottom w:val="single" w:sz="8" w:color="auto"/>
            </w:tcBorders>
          </w:tcPr>
          <w:p>
            <w:pPr>
              <w:spacing w:after="0"/>
              <w:rPr>
                <w:sz w:val="17"/>
                <w:szCs w:val="17"/>
                <w:color w:val="auto"/>
              </w:rPr>
            </w:pPr>
          </w:p>
        </w:tc>
      </w:tr>
      <w:tr>
        <w:trPr>
          <w:trHeight w:val="197"/>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 income:</w:t>
            </w:r>
          </w:p>
        </w:tc>
        <w:tc>
          <w:tcPr>
            <w:tcW w:w="10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r>
      <w:tr>
        <w:trPr>
          <w:trHeight w:val="215"/>
        </w:trPr>
        <w:tc>
          <w:tcPr>
            <w:tcW w:w="8060" w:type="dxa"/>
            <w:vAlign w:val="bottom"/>
          </w:tcPr>
          <w:p>
            <w:pPr>
              <w:ind w:left="360"/>
              <w:spacing w:after="0"/>
              <w:rPr>
                <w:sz w:val="20"/>
                <w:szCs w:val="20"/>
                <w:color w:val="auto"/>
              </w:rPr>
            </w:pPr>
            <w:r>
              <w:rPr>
                <w:rFonts w:ascii="Arial" w:cs="Arial" w:eastAsia="Arial" w:hAnsi="Arial"/>
                <w:sz w:val="16"/>
                <w:szCs w:val="16"/>
                <w:color w:val="auto"/>
              </w:rPr>
              <w:t>Fixed maturities:</w:t>
            </w:r>
          </w:p>
        </w:tc>
        <w:tc>
          <w:tcPr>
            <w:tcW w:w="10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7"/>
        </w:trPr>
        <w:tc>
          <w:tcPr>
            <w:tcW w:w="8060" w:type="dxa"/>
            <w:vAlign w:val="bottom"/>
            <w:shd w:val="clear" w:color="auto" w:fill="CCEEFF"/>
          </w:tcPr>
          <w:p>
            <w:pPr>
              <w:ind w:left="600"/>
              <w:spacing w:after="0"/>
              <w:rPr>
                <w:sz w:val="20"/>
                <w:szCs w:val="20"/>
                <w:color w:val="auto"/>
              </w:rPr>
            </w:pPr>
            <w:r>
              <w:rPr>
                <w:rFonts w:ascii="Arial" w:cs="Arial" w:eastAsia="Arial" w:hAnsi="Arial"/>
                <w:sz w:val="16"/>
                <w:szCs w:val="16"/>
                <w:color w:val="auto"/>
              </w:rPr>
              <w:t>Interest and amortization</w:t>
            </w:r>
          </w:p>
        </w:tc>
        <w:tc>
          <w:tcPr>
            <w:tcW w:w="1080" w:type="dxa"/>
            <w:vAlign w:val="bottom"/>
            <w:shd w:val="clear" w:color="auto" w:fill="CCEEFF"/>
          </w:tcPr>
          <w:p>
            <w:pPr>
              <w:jc w:val="right"/>
              <w:ind w:right="881"/>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21"/>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w:t>
            </w:r>
          </w:p>
        </w:tc>
      </w:tr>
      <w:tr>
        <w:trPr>
          <w:trHeight w:val="215"/>
        </w:trPr>
        <w:tc>
          <w:tcPr>
            <w:tcW w:w="8060" w:type="dxa"/>
            <w:vAlign w:val="bottom"/>
          </w:tcPr>
          <w:p>
            <w:pPr>
              <w:ind w:left="600"/>
              <w:spacing w:after="0"/>
              <w:rPr>
                <w:sz w:val="20"/>
                <w:szCs w:val="20"/>
                <w:color w:val="auto"/>
              </w:rPr>
            </w:pPr>
            <w:r>
              <w:rPr>
                <w:rFonts w:ascii="Arial" w:cs="Arial" w:eastAsia="Arial" w:hAnsi="Arial"/>
                <w:sz w:val="16"/>
                <w:szCs w:val="16"/>
                <w:color w:val="auto"/>
              </w:rPr>
              <w:t>Change in fair value (*)</w:t>
            </w:r>
          </w:p>
        </w:tc>
        <w:tc>
          <w:tcPr>
            <w:tcW w:w="108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17"/>
        </w:trPr>
        <w:tc>
          <w:tcPr>
            <w:tcW w:w="8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Equity securities:</w:t>
            </w:r>
          </w:p>
        </w:tc>
        <w:tc>
          <w:tcPr>
            <w:tcW w:w="10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r>
      <w:tr>
        <w:trPr>
          <w:trHeight w:val="215"/>
        </w:trPr>
        <w:tc>
          <w:tcPr>
            <w:tcW w:w="8060" w:type="dxa"/>
            <w:vAlign w:val="bottom"/>
          </w:tcPr>
          <w:p>
            <w:pPr>
              <w:ind w:left="600"/>
              <w:spacing w:after="0"/>
              <w:rPr>
                <w:sz w:val="20"/>
                <w:szCs w:val="20"/>
                <w:color w:val="auto"/>
              </w:rPr>
            </w:pPr>
            <w:r>
              <w:rPr>
                <w:rFonts w:ascii="Arial" w:cs="Arial" w:eastAsia="Arial" w:hAnsi="Arial"/>
                <w:sz w:val="16"/>
                <w:szCs w:val="16"/>
                <w:color w:val="auto"/>
              </w:rPr>
              <w:t>Dividends</w:t>
            </w:r>
          </w:p>
        </w:tc>
        <w:tc>
          <w:tcPr>
            <w:tcW w:w="10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17"/>
        </w:trPr>
        <w:tc>
          <w:tcPr>
            <w:tcW w:w="8060" w:type="dxa"/>
            <w:vAlign w:val="bottom"/>
            <w:shd w:val="clear" w:color="auto" w:fill="CCEEFF"/>
          </w:tcPr>
          <w:p>
            <w:pPr>
              <w:ind w:left="600"/>
              <w:spacing w:after="0"/>
              <w:rPr>
                <w:sz w:val="20"/>
                <w:szCs w:val="20"/>
                <w:color w:val="auto"/>
              </w:rPr>
            </w:pPr>
            <w:r>
              <w:rPr>
                <w:rFonts w:ascii="Arial" w:cs="Arial" w:eastAsia="Arial" w:hAnsi="Arial"/>
                <w:sz w:val="16"/>
                <w:szCs w:val="16"/>
                <w:color w:val="auto"/>
              </w:rPr>
              <w:t>Change in fair value</w:t>
            </w:r>
          </w:p>
        </w:tc>
        <w:tc>
          <w:tcPr>
            <w:tcW w:w="10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8060" w:type="dxa"/>
            <w:vAlign w:val="bottom"/>
          </w:tcPr>
          <w:p>
            <w:pPr>
              <w:ind w:left="360"/>
              <w:spacing w:after="0"/>
              <w:rPr>
                <w:sz w:val="20"/>
                <w:szCs w:val="20"/>
                <w:color w:val="auto"/>
              </w:rPr>
            </w:pPr>
            <w:r>
              <w:rPr>
                <w:rFonts w:ascii="Arial" w:cs="Arial" w:eastAsia="Arial" w:hAnsi="Arial"/>
                <w:sz w:val="16"/>
                <w:szCs w:val="16"/>
                <w:color w:val="auto"/>
              </w:rPr>
              <w:t>Equity in earnings of partnerships and similar investments</w:t>
            </w:r>
          </w:p>
        </w:tc>
        <w:tc>
          <w:tcPr>
            <w:tcW w:w="10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17"/>
        </w:trPr>
        <w:tc>
          <w:tcPr>
            <w:tcW w:w="8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and cash equivalents</w:t>
            </w:r>
          </w:p>
        </w:tc>
        <w:tc>
          <w:tcPr>
            <w:tcW w:w="10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15"/>
        </w:trPr>
        <w:tc>
          <w:tcPr>
            <w:tcW w:w="8060" w:type="dxa"/>
            <w:vAlign w:val="bottom"/>
          </w:tcPr>
          <w:p>
            <w:pPr>
              <w:ind w:left="360"/>
              <w:spacing w:after="0"/>
              <w:rPr>
                <w:sz w:val="20"/>
                <w:szCs w:val="20"/>
                <w:color w:val="auto"/>
              </w:rPr>
            </w:pPr>
            <w:r>
              <w:rPr>
                <w:rFonts w:ascii="Arial" w:cs="Arial" w:eastAsia="Arial" w:hAnsi="Arial"/>
                <w:sz w:val="16"/>
                <w:szCs w:val="16"/>
                <w:color w:val="auto"/>
              </w:rPr>
              <w:t>Mortgage loans</w:t>
            </w:r>
          </w:p>
        </w:tc>
        <w:tc>
          <w:tcPr>
            <w:tcW w:w="10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17"/>
        </w:trPr>
        <w:tc>
          <w:tcPr>
            <w:tcW w:w="8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w:t>
            </w:r>
          </w:p>
        </w:tc>
        <w:tc>
          <w:tcPr>
            <w:tcW w:w="10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09"/>
        </w:trPr>
        <w:tc>
          <w:tcPr>
            <w:tcW w:w="8060" w:type="dxa"/>
            <w:vAlign w:val="bottom"/>
          </w:tcPr>
          <w:p>
            <w:pPr>
              <w:ind w:left="600"/>
              <w:spacing w:after="0"/>
              <w:rPr>
                <w:sz w:val="20"/>
                <w:szCs w:val="20"/>
                <w:color w:val="auto"/>
              </w:rPr>
            </w:pPr>
            <w:r>
              <w:rPr>
                <w:rFonts w:ascii="Arial" w:cs="Arial" w:eastAsia="Arial" w:hAnsi="Arial"/>
                <w:sz w:val="16"/>
                <w:szCs w:val="16"/>
                <w:color w:val="auto"/>
              </w:rPr>
              <w:t>Gross investment income</w:t>
            </w:r>
          </w:p>
        </w:tc>
        <w:tc>
          <w:tcPr>
            <w:tcW w:w="10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194</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180</w:t>
            </w:r>
          </w:p>
        </w:tc>
      </w:tr>
      <w:tr>
        <w:trPr>
          <w:trHeight w:val="216"/>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 expenses</w:t>
            </w:r>
          </w:p>
        </w:tc>
        <w:tc>
          <w:tcPr>
            <w:tcW w:w="10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r>
      <w:tr>
        <w:trPr>
          <w:trHeight w:val="210"/>
        </w:trPr>
        <w:tc>
          <w:tcPr>
            <w:tcW w:w="8060" w:type="dxa"/>
            <w:vAlign w:val="bottom"/>
          </w:tcPr>
          <w:p>
            <w:pPr>
              <w:ind w:left="600"/>
              <w:spacing w:after="0"/>
              <w:rPr>
                <w:sz w:val="20"/>
                <w:szCs w:val="20"/>
                <w:color w:val="auto"/>
              </w:rPr>
            </w:pPr>
            <w:r>
              <w:rPr>
                <w:rFonts w:ascii="Arial" w:cs="Arial" w:eastAsia="Arial" w:hAnsi="Arial"/>
                <w:sz w:val="16"/>
                <w:szCs w:val="16"/>
                <w:color w:val="auto"/>
              </w:rPr>
              <w:t>Net investment income</w:t>
            </w:r>
          </w:p>
        </w:tc>
        <w:tc>
          <w:tcPr>
            <w:tcW w:w="1080" w:type="dxa"/>
            <w:vAlign w:val="bottom"/>
            <w:tcBorders>
              <w:bottom w:val="single" w:sz="8" w:color="auto"/>
            </w:tcBorders>
          </w:tcPr>
          <w:p>
            <w:pPr>
              <w:jc w:val="right"/>
              <w:ind w:right="881"/>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w:t>
            </w:r>
          </w:p>
        </w:tc>
        <w:tc>
          <w:tcPr>
            <w:tcW w:w="100" w:type="dxa"/>
            <w:vAlign w:val="bottom"/>
          </w:tcPr>
          <w:p>
            <w:pPr>
              <w:spacing w:after="0"/>
              <w:rPr>
                <w:sz w:val="18"/>
                <w:szCs w:val="18"/>
                <w:color w:val="auto"/>
              </w:rPr>
            </w:pPr>
          </w:p>
        </w:tc>
        <w:tc>
          <w:tcPr>
            <w:tcW w:w="1100" w:type="dxa"/>
            <w:vAlign w:val="bottom"/>
            <w:tcBorders>
              <w:bottom w:val="single" w:sz="8" w:color="auto"/>
            </w:tcBorders>
          </w:tcPr>
          <w:p>
            <w:pPr>
              <w:jc w:val="right"/>
              <w:ind w:right="921"/>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w:t>
            </w:r>
          </w:p>
        </w:tc>
      </w:tr>
      <w:tr>
        <w:trPr>
          <w:trHeight w:val="21"/>
        </w:trPr>
        <w:tc>
          <w:tcPr>
            <w:tcW w:w="80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ind w:left="420" w:right="180" w:hanging="412"/>
        <w:spacing w:after="0" w:line="284" w:lineRule="auto"/>
        <w:tabs>
          <w:tab w:leader="none" w:pos="411"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change in the fair value of fixed maturities classified as trading and derivatives embedded in convertible fixed maturities related to limited partnerships and similar investments.</w:t>
      </w:r>
    </w:p>
    <w:p>
      <w:pPr>
        <w:spacing w:after="0" w:line="199" w:lineRule="exact"/>
        <w:rPr>
          <w:sz w:val="20"/>
          <w:szCs w:val="20"/>
          <w:color w:val="auto"/>
        </w:rPr>
      </w:pPr>
    </w:p>
    <w:p>
      <w:pPr>
        <w:ind w:right="160"/>
        <w:spacing w:after="0" w:line="284" w:lineRule="auto"/>
        <w:rPr>
          <w:sz w:val="20"/>
          <w:szCs w:val="20"/>
          <w:color w:val="auto"/>
        </w:rPr>
      </w:pPr>
      <w:r>
        <w:rPr>
          <w:rFonts w:ascii="Arial" w:cs="Arial" w:eastAsia="Arial" w:hAnsi="Arial"/>
          <w:sz w:val="17"/>
          <w:szCs w:val="17"/>
          <w:color w:val="auto"/>
        </w:rPr>
        <w:t>Realized gains (losses) and changes in unrealized appreciation (depreciation) included in AOCI related to fixed maturity securities are summarized as follows (in millions):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8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040" w:type="dxa"/>
            <w:vAlign w:val="bottom"/>
            <w:tcBorders>
              <w:bottom w:val="single" w:sz="8" w:color="auto"/>
            </w:tcBorders>
            <w:gridSpan w:val="9"/>
          </w:tcPr>
          <w:p>
            <w:pPr>
              <w:ind w:left="820"/>
              <w:spacing w:after="0"/>
              <w:rPr>
                <w:sz w:val="20"/>
                <w:szCs w:val="20"/>
                <w:color w:val="auto"/>
              </w:rPr>
            </w:pPr>
            <w:r>
              <w:rPr>
                <w:rFonts w:ascii="Arial" w:cs="Arial" w:eastAsia="Arial" w:hAnsi="Arial"/>
                <w:sz w:val="13"/>
                <w:szCs w:val="13"/>
                <w:color w:val="auto"/>
              </w:rPr>
              <w:t>Three months ended March 31, 2026</w:t>
            </w: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180" w:type="dxa"/>
            <w:vAlign w:val="bottom"/>
            <w:tcBorders>
              <w:bottom w:val="single" w:sz="8" w:color="auto"/>
            </w:tcBorders>
            <w:gridSpan w:val="9"/>
          </w:tcPr>
          <w:p>
            <w:pPr>
              <w:jc w:val="right"/>
              <w:ind w:right="44"/>
              <w:spacing w:after="0"/>
              <w:rPr>
                <w:sz w:val="20"/>
                <w:szCs w:val="20"/>
                <w:color w:val="auto"/>
              </w:rPr>
            </w:pPr>
            <w:r>
              <w:rPr>
                <w:rFonts w:ascii="Arial" w:cs="Arial" w:eastAsia="Arial" w:hAnsi="Arial"/>
                <w:sz w:val="13"/>
                <w:szCs w:val="13"/>
                <w:color w:val="auto"/>
              </w:rPr>
              <w:t>Three months ended March 31, 2025</w:t>
            </w:r>
          </w:p>
        </w:tc>
        <w:tc>
          <w:tcPr>
            <w:tcW w:w="8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8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5"/>
          </w:tcPr>
          <w:p>
            <w:pPr>
              <w:ind w:left="700"/>
              <w:spacing w:after="0"/>
              <w:rPr>
                <w:sz w:val="20"/>
                <w:szCs w:val="20"/>
                <w:color w:val="auto"/>
              </w:rPr>
            </w:pPr>
            <w:r>
              <w:rPr>
                <w:rFonts w:ascii="Arial" w:cs="Arial" w:eastAsia="Arial" w:hAnsi="Arial"/>
                <w:sz w:val="13"/>
                <w:szCs w:val="13"/>
                <w:color w:val="auto"/>
              </w:rPr>
              <w:t>Realized gains (losses)</w:t>
            </w: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5"/>
          </w:tcPr>
          <w:p>
            <w:pPr>
              <w:ind w:left="720"/>
              <w:spacing w:after="0"/>
              <w:rPr>
                <w:sz w:val="20"/>
                <w:szCs w:val="20"/>
                <w:color w:val="auto"/>
              </w:rPr>
            </w:pPr>
            <w:r>
              <w:rPr>
                <w:rFonts w:ascii="Arial" w:cs="Arial" w:eastAsia="Arial" w:hAnsi="Arial"/>
                <w:sz w:val="13"/>
                <w:szCs w:val="13"/>
                <w:color w:val="auto"/>
              </w:rPr>
              <w:t>Realized gains (losses)</w:t>
            </w: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tcPr>
          <w:p>
            <w:pPr>
              <w:jc w:val="center"/>
              <w:ind w:right="220"/>
              <w:spacing w:after="0" w:line="136" w:lineRule="exact"/>
              <w:rPr>
                <w:sz w:val="20"/>
                <w:szCs w:val="20"/>
                <w:color w:val="auto"/>
              </w:rPr>
            </w:pPr>
            <w:r>
              <w:rPr>
                <w:rFonts w:ascii="Arial" w:cs="Arial" w:eastAsia="Arial" w:hAnsi="Arial"/>
                <w:sz w:val="13"/>
                <w:szCs w:val="13"/>
                <w:color w:val="auto"/>
              </w:rPr>
              <w:t>Before</w:t>
            </w:r>
          </w:p>
        </w:tc>
        <w:tc>
          <w:tcPr>
            <w:tcW w:w="140" w:type="dxa"/>
            <w:vAlign w:val="bottom"/>
          </w:tcPr>
          <w:p>
            <w:pPr>
              <w:spacing w:after="0"/>
              <w:rPr>
                <w:sz w:val="11"/>
                <w:szCs w:val="11"/>
                <w:color w:val="auto"/>
              </w:rPr>
            </w:pPr>
          </w:p>
        </w:tc>
        <w:tc>
          <w:tcPr>
            <w:tcW w:w="1000" w:type="dxa"/>
            <w:vAlign w:val="bottom"/>
            <w:gridSpan w:val="2"/>
          </w:tcPr>
          <w:p>
            <w:pPr>
              <w:jc w:val="center"/>
              <w:ind w:right="240"/>
              <w:spacing w:after="0" w:line="136" w:lineRule="exact"/>
              <w:rPr>
                <w:sz w:val="20"/>
                <w:szCs w:val="20"/>
                <w:color w:val="auto"/>
              </w:rPr>
            </w:pPr>
            <w:r>
              <w:rPr>
                <w:rFonts w:ascii="Arial" w:cs="Arial" w:eastAsia="Arial" w:hAnsi="Arial"/>
                <w:sz w:val="13"/>
                <w:szCs w:val="13"/>
                <w:color w:val="auto"/>
              </w:rPr>
              <w:t>Impairment</w:t>
            </w:r>
          </w:p>
        </w:tc>
        <w:tc>
          <w:tcPr>
            <w:tcW w:w="180" w:type="dxa"/>
            <w:vAlign w:val="bottom"/>
          </w:tcPr>
          <w:p>
            <w:pPr>
              <w:spacing w:after="0"/>
              <w:rPr>
                <w:sz w:val="11"/>
                <w:szCs w:val="11"/>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auto"/>
              </w:rPr>
              <w:t>Total</w:t>
            </w:r>
          </w:p>
        </w:tc>
        <w:tc>
          <w:tcPr>
            <w:tcW w:w="120" w:type="dxa"/>
            <w:vAlign w:val="bottom"/>
          </w:tcPr>
          <w:p>
            <w:pPr>
              <w:spacing w:after="0"/>
              <w:rPr>
                <w:sz w:val="11"/>
                <w:szCs w:val="11"/>
                <w:color w:val="auto"/>
              </w:rPr>
            </w:pPr>
          </w:p>
        </w:tc>
        <w:tc>
          <w:tcPr>
            <w:tcW w:w="940" w:type="dxa"/>
            <w:vAlign w:val="bottom"/>
            <w:gridSpan w:val="2"/>
          </w:tcPr>
          <w:p>
            <w:pPr>
              <w:ind w:left="40"/>
              <w:spacing w:after="0" w:line="136" w:lineRule="exact"/>
              <w:rPr>
                <w:sz w:val="20"/>
                <w:szCs w:val="20"/>
                <w:color w:val="auto"/>
              </w:rPr>
            </w:pPr>
            <w:r>
              <w:rPr>
                <w:rFonts w:ascii="Arial" w:cs="Arial" w:eastAsia="Arial" w:hAnsi="Arial"/>
                <w:sz w:val="13"/>
                <w:szCs w:val="13"/>
                <w:color w:val="auto"/>
              </w:rPr>
              <w:t>Change in</w:t>
            </w:r>
          </w:p>
        </w:tc>
        <w:tc>
          <w:tcPr>
            <w:tcW w:w="120" w:type="dxa"/>
            <w:vAlign w:val="bottom"/>
          </w:tcPr>
          <w:p>
            <w:pPr>
              <w:spacing w:after="0"/>
              <w:rPr>
                <w:sz w:val="11"/>
                <w:szCs w:val="11"/>
                <w:color w:val="auto"/>
              </w:rPr>
            </w:pPr>
          </w:p>
        </w:tc>
        <w:tc>
          <w:tcPr>
            <w:tcW w:w="1020" w:type="dxa"/>
            <w:vAlign w:val="bottom"/>
            <w:gridSpan w:val="2"/>
          </w:tcPr>
          <w:p>
            <w:pPr>
              <w:jc w:val="center"/>
              <w:ind w:right="220"/>
              <w:spacing w:after="0" w:line="136" w:lineRule="exact"/>
              <w:rPr>
                <w:sz w:val="20"/>
                <w:szCs w:val="20"/>
                <w:color w:val="auto"/>
              </w:rPr>
            </w:pPr>
            <w:r>
              <w:rPr>
                <w:rFonts w:ascii="Arial" w:cs="Arial" w:eastAsia="Arial" w:hAnsi="Arial"/>
                <w:sz w:val="13"/>
                <w:szCs w:val="13"/>
                <w:color w:val="auto"/>
              </w:rPr>
              <w:t>Before</w:t>
            </w:r>
          </w:p>
        </w:tc>
        <w:tc>
          <w:tcPr>
            <w:tcW w:w="140" w:type="dxa"/>
            <w:vAlign w:val="bottom"/>
          </w:tcPr>
          <w:p>
            <w:pPr>
              <w:spacing w:after="0"/>
              <w:rPr>
                <w:sz w:val="11"/>
                <w:szCs w:val="11"/>
                <w:color w:val="auto"/>
              </w:rPr>
            </w:pPr>
          </w:p>
        </w:tc>
        <w:tc>
          <w:tcPr>
            <w:tcW w:w="1020" w:type="dxa"/>
            <w:vAlign w:val="bottom"/>
            <w:gridSpan w:val="2"/>
          </w:tcPr>
          <w:p>
            <w:pPr>
              <w:jc w:val="center"/>
              <w:ind w:right="240"/>
              <w:spacing w:after="0" w:line="136" w:lineRule="exact"/>
              <w:rPr>
                <w:sz w:val="20"/>
                <w:szCs w:val="20"/>
                <w:color w:val="auto"/>
              </w:rPr>
            </w:pPr>
            <w:r>
              <w:rPr>
                <w:rFonts w:ascii="Arial" w:cs="Arial" w:eastAsia="Arial" w:hAnsi="Arial"/>
                <w:sz w:val="13"/>
                <w:szCs w:val="13"/>
                <w:color w:val="auto"/>
              </w:rPr>
              <w:t>Impairment</w:t>
            </w:r>
          </w:p>
        </w:tc>
        <w:tc>
          <w:tcPr>
            <w:tcW w:w="160" w:type="dxa"/>
            <w:vAlign w:val="bottom"/>
          </w:tcPr>
          <w:p>
            <w:pPr>
              <w:spacing w:after="0"/>
              <w:rPr>
                <w:sz w:val="11"/>
                <w:szCs w:val="11"/>
                <w:color w:val="auto"/>
              </w:rPr>
            </w:pPr>
          </w:p>
        </w:tc>
        <w:tc>
          <w:tcPr>
            <w:tcW w:w="700" w:type="dxa"/>
            <w:vAlign w:val="bottom"/>
            <w:gridSpan w:val="2"/>
            <w:vMerge w:val="restart"/>
          </w:tcPr>
          <w:p>
            <w:pPr>
              <w:ind w:left="80"/>
              <w:spacing w:after="0"/>
              <w:rPr>
                <w:sz w:val="20"/>
                <w:szCs w:val="20"/>
                <w:color w:val="auto"/>
              </w:rPr>
            </w:pPr>
            <w:r>
              <w:rPr>
                <w:rFonts w:ascii="Arial" w:cs="Arial" w:eastAsia="Arial" w:hAnsi="Arial"/>
                <w:sz w:val="13"/>
                <w:szCs w:val="13"/>
                <w:color w:val="auto"/>
              </w:rPr>
              <w:t>Total</w:t>
            </w:r>
          </w:p>
        </w:tc>
        <w:tc>
          <w:tcPr>
            <w:tcW w:w="140" w:type="dxa"/>
            <w:vAlign w:val="bottom"/>
          </w:tcPr>
          <w:p>
            <w:pPr>
              <w:spacing w:after="0"/>
              <w:rPr>
                <w:sz w:val="11"/>
                <w:szCs w:val="11"/>
                <w:color w:val="auto"/>
              </w:rPr>
            </w:pPr>
          </w:p>
        </w:tc>
        <w:tc>
          <w:tcPr>
            <w:tcW w:w="840" w:type="dxa"/>
            <w:vAlign w:val="bottom"/>
          </w:tcPr>
          <w:p>
            <w:pPr>
              <w:jc w:val="right"/>
              <w:ind w:right="106"/>
              <w:spacing w:after="0" w:line="136" w:lineRule="exact"/>
              <w:rPr>
                <w:sz w:val="20"/>
                <w:szCs w:val="20"/>
                <w:color w:val="auto"/>
              </w:rPr>
            </w:pPr>
            <w:r>
              <w:rPr>
                <w:rFonts w:ascii="Arial" w:cs="Arial" w:eastAsia="Arial" w:hAnsi="Arial"/>
                <w:sz w:val="13"/>
                <w:szCs w:val="13"/>
                <w:color w:val="auto"/>
              </w:rPr>
              <w:t>Change in</w:t>
            </w:r>
          </w:p>
        </w:tc>
        <w:tc>
          <w:tcPr>
            <w:tcW w:w="0" w:type="dxa"/>
            <w:vAlign w:val="bottom"/>
          </w:tcPr>
          <w:p>
            <w:pPr>
              <w:spacing w:after="0"/>
              <w:rPr>
                <w:sz w:val="1"/>
                <w:szCs w:val="1"/>
                <w:color w:val="auto"/>
              </w:rPr>
            </w:pPr>
          </w:p>
        </w:tc>
      </w:tr>
      <w:tr>
        <w:trPr>
          <w:trHeight w:val="182"/>
        </w:trPr>
        <w:tc>
          <w:tcPr>
            <w:tcW w:w="2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3"/>
                <w:szCs w:val="13"/>
                <w:color w:val="auto"/>
              </w:rPr>
              <w:t>Impairments</w:t>
            </w:r>
          </w:p>
        </w:tc>
        <w:tc>
          <w:tcPr>
            <w:tcW w:w="14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3"/>
                <w:szCs w:val="13"/>
                <w:color w:val="auto"/>
              </w:rPr>
              <w:t>Allowance</w:t>
            </w:r>
          </w:p>
        </w:tc>
        <w:tc>
          <w:tcPr>
            <w:tcW w:w="180" w:type="dxa"/>
            <w:vAlign w:val="bottom"/>
          </w:tcPr>
          <w:p>
            <w:pPr>
              <w:spacing w:after="0"/>
              <w:rPr>
                <w:sz w:val="15"/>
                <w:szCs w:val="15"/>
                <w:color w:val="auto"/>
              </w:rPr>
            </w:pPr>
          </w:p>
        </w:tc>
        <w:tc>
          <w:tcPr>
            <w:tcW w:w="70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ind w:left="40"/>
              <w:spacing w:after="0"/>
              <w:rPr>
                <w:sz w:val="20"/>
                <w:szCs w:val="20"/>
                <w:color w:val="auto"/>
              </w:rPr>
            </w:pPr>
            <w:r>
              <w:rPr>
                <w:rFonts w:ascii="Arial" w:cs="Arial" w:eastAsia="Arial" w:hAnsi="Arial"/>
                <w:sz w:val="13"/>
                <w:szCs w:val="13"/>
                <w:color w:val="auto"/>
              </w:rPr>
              <w:t>Unrealized</w:t>
            </w:r>
          </w:p>
        </w:tc>
        <w:tc>
          <w:tcPr>
            <w:tcW w:w="120" w:type="dxa"/>
            <w:vAlign w:val="bottom"/>
          </w:tcPr>
          <w:p>
            <w:pPr>
              <w:spacing w:after="0"/>
              <w:rPr>
                <w:sz w:val="15"/>
                <w:szCs w:val="15"/>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3"/>
                <w:szCs w:val="13"/>
                <w:color w:val="auto"/>
              </w:rPr>
              <w:t>Impairments</w:t>
            </w:r>
          </w:p>
        </w:tc>
        <w:tc>
          <w:tcPr>
            <w:tcW w:w="140" w:type="dxa"/>
            <w:vAlign w:val="bottom"/>
          </w:tcPr>
          <w:p>
            <w:pPr>
              <w:spacing w:after="0"/>
              <w:rPr>
                <w:sz w:val="15"/>
                <w:szCs w:val="15"/>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3"/>
                <w:szCs w:val="13"/>
                <w:color w:val="auto"/>
              </w:rPr>
              <w:t>Allowance</w:t>
            </w:r>
          </w:p>
        </w:tc>
        <w:tc>
          <w:tcPr>
            <w:tcW w:w="16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ind w:right="106"/>
              <w:spacing w:after="0"/>
              <w:rPr>
                <w:sz w:val="20"/>
                <w:szCs w:val="20"/>
                <w:color w:val="auto"/>
              </w:rPr>
            </w:pPr>
            <w:r>
              <w:rPr>
                <w:rFonts w:ascii="Arial" w:cs="Arial" w:eastAsia="Arial" w:hAnsi="Arial"/>
                <w:sz w:val="13"/>
                <w:szCs w:val="13"/>
                <w:color w:val="auto"/>
              </w:rPr>
              <w:t>Unrealized</w:t>
            </w:r>
          </w:p>
        </w:tc>
        <w:tc>
          <w:tcPr>
            <w:tcW w:w="0" w:type="dxa"/>
            <w:vAlign w:val="bottom"/>
          </w:tcPr>
          <w:p>
            <w:pPr>
              <w:spacing w:after="0"/>
              <w:rPr>
                <w:sz w:val="1"/>
                <w:szCs w:val="1"/>
                <w:color w:val="auto"/>
              </w:rPr>
            </w:pPr>
          </w:p>
        </w:tc>
      </w:tr>
      <w:tr>
        <w:trPr>
          <w:trHeight w:val="202"/>
        </w:trPr>
        <w:tc>
          <w:tcPr>
            <w:tcW w:w="2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Fixed maturities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w:t>
            </w: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(98)</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76</w:t>
            </w:r>
          </w:p>
        </w:tc>
        <w:tc>
          <w:tcPr>
            <w:tcW w:w="0" w:type="dxa"/>
            <w:vAlign w:val="bottom"/>
          </w:tcPr>
          <w:p>
            <w:pPr>
              <w:spacing w:after="0"/>
              <w:rPr>
                <w:sz w:val="1"/>
                <w:szCs w:val="1"/>
                <w:color w:val="auto"/>
              </w:rPr>
            </w:pPr>
          </w:p>
        </w:tc>
      </w:tr>
      <w:tr>
        <w:trPr>
          <w:trHeight w:val="201"/>
        </w:trPr>
        <w:tc>
          <w:tcPr>
            <w:tcW w:w="2860" w:type="dxa"/>
            <w:vAlign w:val="bottom"/>
          </w:tcPr>
          <w:p>
            <w:pPr>
              <w:ind w:left="20"/>
              <w:spacing w:after="0"/>
              <w:rPr>
                <w:sz w:val="20"/>
                <w:szCs w:val="20"/>
                <w:color w:val="auto"/>
              </w:rPr>
            </w:pPr>
            <w:r>
              <w:rPr>
                <w:rFonts w:ascii="Arial" w:cs="Arial" w:eastAsia="Arial" w:hAnsi="Arial"/>
                <w:sz w:val="15"/>
                <w:szCs w:val="15"/>
                <w:color w:val="auto"/>
              </w:rPr>
              <w:t>Equity securities</w:t>
            </w: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4"/>
        </w:trPr>
        <w:tc>
          <w:tcPr>
            <w:tcW w:w="2860" w:type="dxa"/>
            <w:vAlign w:val="bottom"/>
            <w:shd w:val="clear" w:color="auto" w:fill="CCEEFF"/>
          </w:tcPr>
          <w:p>
            <w:pPr>
              <w:ind w:left="20"/>
              <w:spacing w:after="0"/>
              <w:rPr>
                <w:sz w:val="20"/>
                <w:szCs w:val="20"/>
                <w:color w:val="auto"/>
              </w:rPr>
            </w:pPr>
            <w:r>
              <w:rPr>
                <w:rFonts w:ascii="Arial" w:cs="Arial" w:eastAsia="Arial" w:hAnsi="Arial"/>
                <w:sz w:val="15"/>
                <w:szCs w:val="15"/>
                <w:color w:val="auto"/>
              </w:rPr>
              <w:t>Mortgage loans and other investments</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5"/>
        </w:trPr>
        <w:tc>
          <w:tcPr>
            <w:tcW w:w="2860" w:type="dxa"/>
            <w:vAlign w:val="bottom"/>
          </w:tcPr>
          <w:p>
            <w:pPr>
              <w:ind w:left="180"/>
              <w:spacing w:after="0"/>
              <w:rPr>
                <w:sz w:val="20"/>
                <w:szCs w:val="20"/>
                <w:color w:val="auto"/>
              </w:rPr>
            </w:pPr>
            <w:r>
              <w:rPr>
                <w:rFonts w:ascii="Arial" w:cs="Arial" w:eastAsia="Arial" w:hAnsi="Arial"/>
                <w:sz w:val="15"/>
                <w:szCs w:val="15"/>
                <w:color w:val="auto"/>
              </w:rPr>
              <w:t>Total pretax</w:t>
            </w:r>
          </w:p>
        </w:tc>
        <w:tc>
          <w:tcPr>
            <w:tcW w:w="1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(13)</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(5)</w:t>
            </w: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(18)</w:t>
            </w:r>
          </w:p>
        </w:tc>
        <w:tc>
          <w:tcPr>
            <w:tcW w:w="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(98)</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10</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(7)</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3</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76</w:t>
            </w:r>
          </w:p>
        </w:tc>
        <w:tc>
          <w:tcPr>
            <w:tcW w:w="0" w:type="dxa"/>
            <w:vAlign w:val="bottom"/>
          </w:tcPr>
          <w:p>
            <w:pPr>
              <w:spacing w:after="0"/>
              <w:rPr>
                <w:sz w:val="1"/>
                <w:szCs w:val="1"/>
                <w:color w:val="auto"/>
              </w:rPr>
            </w:pPr>
          </w:p>
        </w:tc>
      </w:tr>
      <w:tr>
        <w:trPr>
          <w:trHeight w:val="204"/>
        </w:trPr>
        <w:tc>
          <w:tcPr>
            <w:tcW w:w="2860" w:type="dxa"/>
            <w:vAlign w:val="bottom"/>
            <w:shd w:val="clear" w:color="auto" w:fill="CCEEFF"/>
          </w:tcPr>
          <w:p>
            <w:pPr>
              <w:ind w:left="20"/>
              <w:spacing w:after="0"/>
              <w:rPr>
                <w:sz w:val="20"/>
                <w:szCs w:val="20"/>
                <w:color w:val="auto"/>
              </w:rPr>
            </w:pPr>
            <w:r>
              <w:rPr>
                <w:rFonts w:ascii="Arial" w:cs="Arial" w:eastAsia="Arial" w:hAnsi="Arial"/>
                <w:sz w:val="15"/>
                <w:szCs w:val="15"/>
                <w:color w:val="auto"/>
              </w:rPr>
              <w:t>Tax effects</w:t>
            </w:r>
          </w:p>
        </w:tc>
        <w:tc>
          <w:tcPr>
            <w:tcW w:w="1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1</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3</w:t>
            </w:r>
          </w:p>
        </w:tc>
        <w:tc>
          <w:tcPr>
            <w:tcW w:w="8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1</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w:t>
            </w:r>
          </w:p>
        </w:tc>
        <w:tc>
          <w:tcPr>
            <w:tcW w:w="0" w:type="dxa"/>
            <w:vAlign w:val="bottom"/>
          </w:tcPr>
          <w:p>
            <w:pPr>
              <w:spacing w:after="0"/>
              <w:rPr>
                <w:sz w:val="1"/>
                <w:szCs w:val="1"/>
                <w:color w:val="auto"/>
              </w:rPr>
            </w:pPr>
          </w:p>
        </w:tc>
      </w:tr>
      <w:tr>
        <w:trPr>
          <w:trHeight w:val="195"/>
        </w:trPr>
        <w:tc>
          <w:tcPr>
            <w:tcW w:w="2860" w:type="dxa"/>
            <w:vAlign w:val="bottom"/>
          </w:tcPr>
          <w:p>
            <w:pPr>
              <w:ind w:left="180"/>
              <w:spacing w:after="0"/>
              <w:rPr>
                <w:sz w:val="20"/>
                <w:szCs w:val="20"/>
                <w:color w:val="auto"/>
              </w:rPr>
            </w:pPr>
            <w:r>
              <w:rPr>
                <w:rFonts w:ascii="Arial" w:cs="Arial" w:eastAsia="Arial" w:hAnsi="Arial"/>
                <w:sz w:val="15"/>
                <w:szCs w:val="15"/>
                <w:color w:val="auto"/>
              </w:rPr>
              <w:t>Net of tax</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w:t>
            </w:r>
          </w:p>
        </w:tc>
        <w:tc>
          <w:tcPr>
            <w:tcW w:w="80" w:type="dxa"/>
            <w:vAlign w:val="bottom"/>
          </w:tcPr>
          <w:p>
            <w:pPr>
              <w:spacing w:after="0"/>
              <w:rPr>
                <w:sz w:val="16"/>
                <w:szCs w:val="16"/>
                <w:color w:val="auto"/>
              </w:rPr>
            </w:pPr>
          </w:p>
        </w:tc>
        <w:tc>
          <w:tcPr>
            <w:tcW w:w="1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95"/>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w:t>
            </w: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(78)</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61</w:t>
            </w:r>
          </w:p>
        </w:tc>
        <w:tc>
          <w:tcPr>
            <w:tcW w:w="0" w:type="dxa"/>
            <w:vAlign w:val="bottom"/>
          </w:tcPr>
          <w:p>
            <w:pPr>
              <w:spacing w:after="0"/>
              <w:rPr>
                <w:sz w:val="1"/>
                <w:szCs w:val="1"/>
                <w:color w:val="auto"/>
              </w:rPr>
            </w:pPr>
          </w:p>
        </w:tc>
      </w:tr>
      <w:tr>
        <w:trPr>
          <w:trHeight w:val="22"/>
        </w:trPr>
        <w:tc>
          <w:tcPr>
            <w:tcW w:w="2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ind w:right="120"/>
        <w:spacing w:after="0" w:line="284" w:lineRule="auto"/>
        <w:rPr>
          <w:sz w:val="20"/>
          <w:szCs w:val="20"/>
          <w:color w:val="auto"/>
        </w:rPr>
      </w:pPr>
      <w:r>
        <w:rPr>
          <w:rFonts w:ascii="Arial" w:cs="Arial" w:eastAsia="Arial" w:hAnsi="Arial"/>
          <w:sz w:val="17"/>
          <w:szCs w:val="17"/>
          <w:color w:val="auto"/>
        </w:rPr>
        <w:t>All equity securities are carried at fair value through net earnings. AFG recorded net holding gains (losses) on equity securities during the first three months of 2026 and 2025 on securities that were still owned at March 31, 2026 and March 31, 2025 as follows (in millions):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060" w:type="dxa"/>
            <w:vAlign w:val="bottom"/>
          </w:tcPr>
          <w:p>
            <w:pPr>
              <w:spacing w:after="0"/>
              <w:rPr>
                <w:sz w:val="17"/>
                <w:szCs w:val="17"/>
                <w:color w:val="auto"/>
              </w:rPr>
            </w:pPr>
          </w:p>
        </w:tc>
        <w:tc>
          <w:tcPr>
            <w:tcW w:w="2800" w:type="dxa"/>
            <w:vAlign w:val="bottom"/>
            <w:tcBorders>
              <w:bottom w:val="single" w:sz="8" w:color="auto"/>
            </w:tcBorders>
            <w:gridSpan w:val="4"/>
          </w:tcPr>
          <w:p>
            <w:pPr>
              <w:jc w:val="right"/>
              <w:ind w:right="61"/>
              <w:spacing w:after="0"/>
              <w:rPr>
                <w:sz w:val="20"/>
                <w:szCs w:val="20"/>
                <w:color w:val="auto"/>
              </w:rPr>
            </w:pPr>
            <w:r>
              <w:rPr>
                <w:rFonts w:ascii="Arial" w:cs="Arial" w:eastAsia="Arial" w:hAnsi="Arial"/>
                <w:sz w:val="15"/>
                <w:szCs w:val="15"/>
                <w:color w:val="auto"/>
              </w:rPr>
              <w:t>Three months ended March 31,</w:t>
            </w:r>
          </w:p>
        </w:tc>
        <w:tc>
          <w:tcPr>
            <w:tcW w:w="380" w:type="dxa"/>
            <w:vAlign w:val="bottom"/>
            <w:tcBorders>
              <w:bottom w:val="single" w:sz="8" w:color="auto"/>
            </w:tcBorders>
          </w:tcPr>
          <w:p>
            <w:pPr>
              <w:spacing w:after="0"/>
              <w:rPr>
                <w:sz w:val="17"/>
                <w:szCs w:val="17"/>
                <w:color w:val="auto"/>
              </w:rPr>
            </w:pPr>
          </w:p>
        </w:tc>
      </w:tr>
      <w:tr>
        <w:trPr>
          <w:trHeight w:val="198"/>
        </w:trPr>
        <w:tc>
          <w:tcPr>
            <w:tcW w:w="806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ind w:right="61"/>
              <w:spacing w:after="0"/>
              <w:rPr>
                <w:sz w:val="20"/>
                <w:szCs w:val="20"/>
                <w:color w:val="auto"/>
              </w:rPr>
            </w:pPr>
            <w:r>
              <w:rPr>
                <w:rFonts w:ascii="Arial" w:cs="Arial" w:eastAsia="Arial" w:hAnsi="Arial"/>
                <w:sz w:val="15"/>
                <w:szCs w:val="15"/>
                <w:color w:val="auto"/>
              </w:rPr>
              <w:t>2026</w:t>
            </w:r>
          </w:p>
        </w:tc>
        <w:tc>
          <w:tcPr>
            <w:tcW w:w="4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ind w:right="141"/>
              <w:spacing w:after="0"/>
              <w:rPr>
                <w:sz w:val="20"/>
                <w:szCs w:val="20"/>
                <w:color w:val="auto"/>
              </w:rPr>
            </w:pPr>
            <w:r>
              <w:rPr>
                <w:rFonts w:ascii="Arial" w:cs="Arial" w:eastAsia="Arial" w:hAnsi="Arial"/>
                <w:sz w:val="15"/>
                <w:szCs w:val="15"/>
                <w:color w:val="auto"/>
              </w:rPr>
              <w:t>2025</w:t>
            </w:r>
          </w:p>
        </w:tc>
        <w:tc>
          <w:tcPr>
            <w:tcW w:w="380" w:type="dxa"/>
            <w:vAlign w:val="bottom"/>
            <w:tcBorders>
              <w:bottom w:val="single" w:sz="8" w:color="auto"/>
            </w:tcBorders>
          </w:tcPr>
          <w:p>
            <w:pPr>
              <w:spacing w:after="0"/>
              <w:rPr>
                <w:sz w:val="17"/>
                <w:szCs w:val="17"/>
                <w:color w:val="auto"/>
              </w:rPr>
            </w:pPr>
          </w:p>
        </w:tc>
      </w:tr>
      <w:tr>
        <w:trPr>
          <w:trHeight w:val="211"/>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Included in realized gains (losses)</w:t>
            </w:r>
          </w:p>
        </w:tc>
        <w:tc>
          <w:tcPr>
            <w:tcW w:w="1080" w:type="dxa"/>
            <w:vAlign w:val="bottom"/>
            <w:shd w:val="clear" w:color="auto" w:fill="CCEEFF"/>
          </w:tcPr>
          <w:p>
            <w:pPr>
              <w:jc w:val="right"/>
              <w:ind w:right="881"/>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981"/>
              <w:spacing w:after="0"/>
              <w:rPr>
                <w:sz w:val="20"/>
                <w:szCs w:val="20"/>
                <w:color w:val="auto"/>
              </w:rPr>
            </w:pPr>
            <w:r>
              <w:rPr>
                <w:rFonts w:ascii="Arial" w:cs="Arial" w:eastAsia="Arial" w:hAnsi="Arial"/>
                <w:sz w:val="16"/>
                <w:szCs w:val="16"/>
                <w:color w:val="auto"/>
                <w:w w:val="89"/>
              </w:rPr>
              <w:t>$</w:t>
            </w:r>
          </w:p>
        </w:tc>
        <w:tc>
          <w:tcPr>
            <w:tcW w:w="380" w:type="dxa"/>
            <w:vAlign w:val="bottom"/>
            <w:shd w:val="clear" w:color="auto" w:fill="CCEEFF"/>
          </w:tcPr>
          <w:p>
            <w:pPr>
              <w:jc w:val="center"/>
              <w:ind w:left="59"/>
              <w:spacing w:after="0"/>
              <w:rPr>
                <w:sz w:val="20"/>
                <w:szCs w:val="20"/>
                <w:color w:val="auto"/>
              </w:rPr>
            </w:pPr>
            <w:r>
              <w:rPr>
                <w:rFonts w:ascii="Arial" w:cs="Arial" w:eastAsia="Arial" w:hAnsi="Arial"/>
                <w:sz w:val="16"/>
                <w:szCs w:val="16"/>
                <w:color w:val="auto"/>
                <w:w w:val="89"/>
              </w:rPr>
              <w:t>7</w:t>
            </w:r>
          </w:p>
        </w:tc>
      </w:tr>
      <w:tr>
        <w:trPr>
          <w:trHeight w:val="215"/>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Included in net investment income</w:t>
            </w:r>
          </w:p>
        </w:tc>
        <w:tc>
          <w:tcPr>
            <w:tcW w:w="10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center"/>
              <w:ind w:left="59"/>
              <w:spacing w:after="0"/>
              <w:rPr>
                <w:sz w:val="20"/>
                <w:szCs w:val="20"/>
                <w:color w:val="auto"/>
              </w:rPr>
            </w:pPr>
            <w:r>
              <w:rPr>
                <w:rFonts w:ascii="Arial" w:cs="Arial" w:eastAsia="Arial" w:hAnsi="Arial"/>
                <w:sz w:val="16"/>
                <w:szCs w:val="16"/>
                <w:color w:val="auto"/>
              </w:rPr>
              <w:t>(1)</w:t>
            </w:r>
          </w:p>
        </w:tc>
      </w:tr>
      <w:tr>
        <w:trPr>
          <w:trHeight w:val="235"/>
        </w:trPr>
        <w:tc>
          <w:tcPr>
            <w:tcW w:w="80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881"/>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981"/>
              <w:spacing w:after="0"/>
              <w:rPr>
                <w:sz w:val="20"/>
                <w:szCs w:val="20"/>
                <w:color w:val="auto"/>
              </w:rPr>
            </w:pPr>
            <w:r>
              <w:rPr>
                <w:rFonts w:ascii="Arial" w:cs="Arial" w:eastAsia="Arial" w:hAnsi="Arial"/>
                <w:sz w:val="16"/>
                <w:szCs w:val="16"/>
                <w:color w:val="auto"/>
                <w:w w:val="89"/>
              </w:rPr>
              <w:t>$</w:t>
            </w:r>
          </w:p>
        </w:tc>
        <w:tc>
          <w:tcPr>
            <w:tcW w:w="380" w:type="dxa"/>
            <w:vAlign w:val="bottom"/>
            <w:tcBorders>
              <w:bottom w:val="single" w:sz="8" w:color="auto"/>
            </w:tcBorders>
            <w:shd w:val="clear" w:color="auto" w:fill="CCEEFF"/>
          </w:tcPr>
          <w:p>
            <w:pPr>
              <w:jc w:val="center"/>
              <w:ind w:left="59"/>
              <w:spacing w:after="0"/>
              <w:rPr>
                <w:sz w:val="20"/>
                <w:szCs w:val="20"/>
                <w:color w:val="auto"/>
              </w:rPr>
            </w:pPr>
            <w:r>
              <w:rPr>
                <w:rFonts w:ascii="Arial" w:cs="Arial" w:eastAsia="Arial" w:hAnsi="Arial"/>
                <w:sz w:val="16"/>
                <w:szCs w:val="16"/>
                <w:color w:val="auto"/>
                <w:w w:val="89"/>
              </w:rPr>
              <w:t>6</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right="140"/>
        <w:spacing w:after="0" w:line="284" w:lineRule="auto"/>
        <w:rPr>
          <w:sz w:val="20"/>
          <w:szCs w:val="20"/>
          <w:color w:val="auto"/>
        </w:rPr>
      </w:pPr>
      <w:r>
        <w:rPr>
          <w:rFonts w:ascii="Arial" w:cs="Arial" w:eastAsia="Arial" w:hAnsi="Arial"/>
          <w:sz w:val="17"/>
          <w:szCs w:val="17"/>
          <w:color w:val="auto"/>
        </w:rPr>
        <w:t>Gross realized gains and losses (excluding changes in impairment allowance and mark-to-market of derivatives) on available for sale fixed maturity investment transactions consisted of the following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120" w:type="dxa"/>
            <w:vAlign w:val="bottom"/>
          </w:tcPr>
          <w:p>
            <w:pPr>
              <w:spacing w:after="0"/>
              <w:rPr>
                <w:sz w:val="17"/>
                <w:szCs w:val="17"/>
                <w:color w:val="auto"/>
              </w:rPr>
            </w:pPr>
          </w:p>
        </w:tc>
        <w:tc>
          <w:tcPr>
            <w:tcW w:w="2760" w:type="dxa"/>
            <w:vAlign w:val="bottom"/>
            <w:tcBorders>
              <w:bottom w:val="single" w:sz="8" w:color="auto"/>
            </w:tcBorders>
            <w:gridSpan w:val="4"/>
          </w:tcPr>
          <w:p>
            <w:pPr>
              <w:jc w:val="right"/>
              <w:ind w:right="61"/>
              <w:spacing w:after="0"/>
              <w:rPr>
                <w:sz w:val="20"/>
                <w:szCs w:val="20"/>
                <w:color w:val="auto"/>
              </w:rPr>
            </w:pPr>
            <w:r>
              <w:rPr>
                <w:rFonts w:ascii="Arial" w:cs="Arial" w:eastAsia="Arial" w:hAnsi="Arial"/>
                <w:sz w:val="15"/>
                <w:szCs w:val="15"/>
                <w:color w:val="auto"/>
              </w:rPr>
              <w:t>Three months ended March 31,</w:t>
            </w:r>
          </w:p>
        </w:tc>
        <w:tc>
          <w:tcPr>
            <w:tcW w:w="360" w:type="dxa"/>
            <w:vAlign w:val="bottom"/>
            <w:tcBorders>
              <w:bottom w:val="single" w:sz="8" w:color="auto"/>
            </w:tcBorders>
          </w:tcPr>
          <w:p>
            <w:pPr>
              <w:spacing w:after="0"/>
              <w:rPr>
                <w:sz w:val="17"/>
                <w:szCs w:val="17"/>
                <w:color w:val="auto"/>
              </w:rPr>
            </w:pPr>
          </w:p>
        </w:tc>
      </w:tr>
      <w:tr>
        <w:trPr>
          <w:trHeight w:val="198"/>
        </w:trPr>
        <w:tc>
          <w:tcPr>
            <w:tcW w:w="812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ind w:right="102"/>
              <w:spacing w:after="0"/>
              <w:rPr>
                <w:sz w:val="20"/>
                <w:szCs w:val="20"/>
                <w:color w:val="auto"/>
              </w:rPr>
            </w:pPr>
            <w:r>
              <w:rPr>
                <w:rFonts w:ascii="Arial" w:cs="Arial" w:eastAsia="Arial" w:hAnsi="Arial"/>
                <w:sz w:val="15"/>
                <w:szCs w:val="15"/>
                <w:color w:val="auto"/>
              </w:rPr>
              <w:t>2026</w:t>
            </w:r>
          </w:p>
        </w:tc>
        <w:tc>
          <w:tcPr>
            <w:tcW w:w="4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ind w:right="141"/>
              <w:spacing w:after="0"/>
              <w:rPr>
                <w:sz w:val="20"/>
                <w:szCs w:val="20"/>
                <w:color w:val="auto"/>
              </w:rPr>
            </w:pPr>
            <w:r>
              <w:rPr>
                <w:rFonts w:ascii="Arial" w:cs="Arial" w:eastAsia="Arial" w:hAnsi="Arial"/>
                <w:sz w:val="15"/>
                <w:szCs w:val="15"/>
                <w:color w:val="auto"/>
              </w:rPr>
              <w:t>2025</w:t>
            </w:r>
          </w:p>
        </w:tc>
        <w:tc>
          <w:tcPr>
            <w:tcW w:w="360" w:type="dxa"/>
            <w:vAlign w:val="bottom"/>
            <w:tcBorders>
              <w:bottom w:val="single" w:sz="8" w:color="auto"/>
            </w:tcBorders>
          </w:tcPr>
          <w:p>
            <w:pPr>
              <w:spacing w:after="0"/>
              <w:rPr>
                <w:sz w:val="17"/>
                <w:szCs w:val="17"/>
                <w:color w:val="auto"/>
              </w:rPr>
            </w:pPr>
          </w:p>
        </w:tc>
      </w:tr>
      <w:tr>
        <w:trPr>
          <w:trHeight w:val="211"/>
        </w:trPr>
        <w:tc>
          <w:tcPr>
            <w:tcW w:w="8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gains</w:t>
            </w:r>
          </w:p>
        </w:tc>
        <w:tc>
          <w:tcPr>
            <w:tcW w:w="1100" w:type="dxa"/>
            <w:vAlign w:val="bottom"/>
            <w:shd w:val="clear" w:color="auto" w:fill="CCEEFF"/>
          </w:tcPr>
          <w:p>
            <w:pPr>
              <w:jc w:val="right"/>
              <w:ind w:right="922"/>
              <w:spacing w:after="0"/>
              <w:rPr>
                <w:sz w:val="20"/>
                <w:szCs w:val="20"/>
                <w:color w:val="auto"/>
              </w:rPr>
            </w:pPr>
            <w:r>
              <w:rPr>
                <w:rFonts w:ascii="Arial" w:cs="Arial" w:eastAsia="Arial" w:hAnsi="Arial"/>
                <w:sz w:val="16"/>
                <w:szCs w:val="16"/>
                <w:color w:val="auto"/>
                <w:w w:val="8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961"/>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w:t>
            </w:r>
          </w:p>
        </w:tc>
      </w:tr>
      <w:tr>
        <w:trPr>
          <w:trHeight w:val="215"/>
        </w:trPr>
        <w:tc>
          <w:tcPr>
            <w:tcW w:w="8120" w:type="dxa"/>
            <w:vAlign w:val="bottom"/>
          </w:tcPr>
          <w:p>
            <w:pPr>
              <w:ind w:left="20"/>
              <w:spacing w:after="0"/>
              <w:rPr>
                <w:sz w:val="20"/>
                <w:szCs w:val="20"/>
                <w:color w:val="auto"/>
              </w:rPr>
            </w:pPr>
            <w:r>
              <w:rPr>
                <w:rFonts w:ascii="Arial" w:cs="Arial" w:eastAsia="Arial" w:hAnsi="Arial"/>
                <w:sz w:val="16"/>
                <w:szCs w:val="16"/>
                <w:color w:val="auto"/>
              </w:rPr>
              <w:t>Gross losses</w:t>
            </w:r>
          </w:p>
        </w:tc>
        <w:tc>
          <w:tcPr>
            <w:tcW w:w="1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60" w:type="dxa"/>
            <w:vAlign w:val="bottom"/>
          </w:tcPr>
          <w:p>
            <w:pPr>
              <w:ind w:left="120"/>
              <w:spacing w:after="0"/>
              <w:rPr>
                <w:sz w:val="20"/>
                <w:szCs w:val="20"/>
                <w:color w:val="auto"/>
              </w:rPr>
            </w:pPr>
            <w:r>
              <w:rPr>
                <w:rFonts w:ascii="Arial" w:cs="Arial" w:eastAsia="Arial" w:hAnsi="Arial"/>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2" w:name="page23"/>
    <w:bookmarkEnd w:id="22"/>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266" w:lineRule="exact"/>
        <w:rPr>
          <w:sz w:val="20"/>
          <w:szCs w:val="20"/>
          <w:color w:val="auto"/>
        </w:rPr>
      </w:pPr>
    </w:p>
    <w:p>
      <w:pPr>
        <w:ind w:left="600" w:hanging="592"/>
        <w:spacing w:after="0"/>
        <w:tabs>
          <w:tab w:leader="none" w:pos="600" w:val="left"/>
        </w:tabs>
        <w:numPr>
          <w:ilvl w:val="0"/>
          <w:numId w:val="15"/>
        </w:numPr>
        <w:rPr>
          <w:rFonts w:ascii="Arial" w:cs="Arial" w:eastAsia="Arial" w:hAnsi="Arial"/>
          <w:sz w:val="29"/>
          <w:szCs w:val="29"/>
          <w:b w:val="1"/>
          <w:bCs w:val="1"/>
          <w:color w:val="003366"/>
        </w:rPr>
      </w:pPr>
      <w:r>
        <w:rPr>
          <w:rFonts w:ascii="Arial" w:cs="Arial" w:eastAsia="Arial" w:hAnsi="Arial"/>
          <w:sz w:val="29"/>
          <w:szCs w:val="29"/>
          <w:b w:val="1"/>
          <w:bCs w:val="1"/>
          <w:color w:val="003366"/>
        </w:rPr>
        <w:t>Derivatives</w:t>
      </w:r>
    </w:p>
    <w:p>
      <w:pPr>
        <w:spacing w:after="0" w:line="272" w:lineRule="exact"/>
        <w:rPr>
          <w:sz w:val="20"/>
          <w:szCs w:val="20"/>
          <w:color w:val="auto"/>
        </w:rPr>
      </w:pPr>
    </w:p>
    <w:p>
      <w:pPr>
        <w:ind w:right="180"/>
        <w:spacing w:after="0" w:line="284" w:lineRule="auto"/>
        <w:rPr>
          <w:sz w:val="20"/>
          <w:szCs w:val="20"/>
          <w:color w:val="auto"/>
        </w:rPr>
      </w:pPr>
      <w:r>
        <w:rPr>
          <w:rFonts w:ascii="Arial" w:cs="Arial" w:eastAsia="Arial" w:hAnsi="Arial"/>
          <w:sz w:val="17"/>
          <w:szCs w:val="17"/>
          <w:color w:val="auto"/>
        </w:rPr>
        <w:t>As discussed under “</w:t>
      </w:r>
      <w:r>
        <w:rPr>
          <w:rFonts w:ascii="Arial" w:cs="Arial" w:eastAsia="Arial" w:hAnsi="Arial"/>
          <w:sz w:val="17"/>
          <w:szCs w:val="17"/>
          <w:i w:val="1"/>
          <w:iCs w:val="1"/>
          <w:color w:val="auto"/>
        </w:rPr>
        <w:t>Derivatives</w:t>
      </w:r>
      <w:r>
        <w:rPr>
          <w:rFonts w:ascii="Arial" w:cs="Arial" w:eastAsia="Arial" w:hAnsi="Arial"/>
          <w:sz w:val="17"/>
          <w:szCs w:val="17"/>
          <w:color w:val="auto"/>
        </w:rPr>
        <w:t xml:space="preserve">” in </w:t>
      </w:r>
      <w:r>
        <w:rPr>
          <w:rFonts w:ascii="Arial" w:cs="Arial" w:eastAsia="Arial" w:hAnsi="Arial"/>
          <w:sz w:val="17"/>
          <w:szCs w:val="17"/>
          <w:i w:val="1"/>
          <w:iCs w:val="1"/>
          <w:color w:val="auto"/>
        </w:rPr>
        <w:t>Note A — “Accounting Policies</w:t>
      </w:r>
      <w:r>
        <w:rPr>
          <w:rFonts w:ascii="Arial" w:cs="Arial" w:eastAsia="Arial" w:hAnsi="Arial"/>
          <w:sz w:val="17"/>
          <w:szCs w:val="17"/>
          <w:color w:val="auto"/>
        </w:rPr>
        <w:t>,” AFG uses derivatives to mitigate certain market risks related to its investment portfolio and deferred compensation obligations to employees.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classification of derivative assets and liabilities included in AFG’s Balance Sheet at fair value (in millions):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26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right"/>
              <w:ind w:right="341"/>
              <w:spacing w:after="0"/>
              <w:rPr>
                <w:sz w:val="20"/>
                <w:szCs w:val="20"/>
                <w:color w:val="auto"/>
              </w:rPr>
            </w:pPr>
            <w:r>
              <w:rPr>
                <w:rFonts w:ascii="Arial" w:cs="Arial" w:eastAsia="Arial" w:hAnsi="Arial"/>
                <w:sz w:val="14"/>
                <w:szCs w:val="14"/>
                <w:color w:val="auto"/>
              </w:rPr>
              <w:t>March 31, 2026</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right"/>
              <w:ind w:right="221"/>
              <w:spacing w:after="0"/>
              <w:rPr>
                <w:sz w:val="20"/>
                <w:szCs w:val="20"/>
                <w:color w:val="auto"/>
              </w:rPr>
            </w:pPr>
            <w:r>
              <w:rPr>
                <w:rFonts w:ascii="Arial" w:cs="Arial" w:eastAsia="Arial" w:hAnsi="Arial"/>
                <w:sz w:val="14"/>
                <w:szCs w:val="14"/>
                <w:color w:val="auto"/>
              </w:rPr>
              <w:t>December 31, 2025</w:t>
            </w:r>
          </w:p>
        </w:tc>
      </w:tr>
      <w:tr>
        <w:trPr>
          <w:trHeight w:val="196"/>
        </w:trPr>
        <w:tc>
          <w:tcPr>
            <w:tcW w:w="5260" w:type="dxa"/>
            <w:vAlign w:val="bottom"/>
          </w:tcPr>
          <w:p>
            <w:pPr>
              <w:spacing w:after="0"/>
              <w:rPr>
                <w:sz w:val="17"/>
                <w:szCs w:val="17"/>
                <w:color w:val="auto"/>
              </w:rPr>
            </w:pPr>
          </w:p>
        </w:tc>
        <w:tc>
          <w:tcPr>
            <w:tcW w:w="2340" w:type="dxa"/>
            <w:vAlign w:val="bottom"/>
            <w:gridSpan w:val="3"/>
          </w:tcPr>
          <w:p>
            <w:pPr>
              <w:ind w:left="20"/>
              <w:spacing w:after="0"/>
              <w:rPr>
                <w:sz w:val="20"/>
                <w:szCs w:val="20"/>
                <w:color w:val="auto"/>
              </w:rPr>
            </w:pPr>
            <w:r>
              <w:rPr>
                <w:rFonts w:ascii="Arial" w:cs="Arial" w:eastAsia="Arial" w:hAnsi="Arial"/>
                <w:sz w:val="14"/>
                <w:szCs w:val="14"/>
                <w:color w:val="auto"/>
              </w:rPr>
              <w:t>Balance Sheet Line</w:t>
            </w:r>
          </w:p>
        </w:tc>
        <w:tc>
          <w:tcPr>
            <w:tcW w:w="800" w:type="dxa"/>
            <w:vAlign w:val="bottom"/>
            <w:gridSpan w:val="2"/>
          </w:tcPr>
          <w:p>
            <w:pPr>
              <w:ind w:left="80"/>
              <w:spacing w:after="0"/>
              <w:rPr>
                <w:sz w:val="20"/>
                <w:szCs w:val="20"/>
                <w:color w:val="auto"/>
              </w:rPr>
            </w:pPr>
            <w:r>
              <w:rPr>
                <w:rFonts w:ascii="Arial" w:cs="Arial" w:eastAsia="Arial" w:hAnsi="Arial"/>
                <w:sz w:val="14"/>
                <w:szCs w:val="14"/>
                <w:color w:val="auto"/>
              </w:rPr>
              <w:t>Asset</w:t>
            </w:r>
          </w:p>
        </w:tc>
        <w:tc>
          <w:tcPr>
            <w:tcW w:w="140" w:type="dxa"/>
            <w:vAlign w:val="bottom"/>
          </w:tcPr>
          <w:p>
            <w:pPr>
              <w:spacing w:after="0"/>
              <w:rPr>
                <w:sz w:val="17"/>
                <w:szCs w:val="17"/>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color w:val="auto"/>
              </w:rPr>
              <w:t>Liability</w:t>
            </w:r>
          </w:p>
        </w:tc>
        <w:tc>
          <w:tcPr>
            <w:tcW w:w="180" w:type="dxa"/>
            <w:vAlign w:val="bottom"/>
          </w:tcPr>
          <w:p>
            <w:pPr>
              <w:spacing w:after="0"/>
              <w:rPr>
                <w:sz w:val="17"/>
                <w:szCs w:val="17"/>
                <w:color w:val="auto"/>
              </w:rPr>
            </w:pPr>
          </w:p>
        </w:tc>
        <w:tc>
          <w:tcPr>
            <w:tcW w:w="780" w:type="dxa"/>
            <w:vAlign w:val="bottom"/>
            <w:gridSpan w:val="2"/>
          </w:tcPr>
          <w:p>
            <w:pPr>
              <w:ind w:left="80"/>
              <w:spacing w:after="0"/>
              <w:rPr>
                <w:sz w:val="20"/>
                <w:szCs w:val="20"/>
                <w:color w:val="auto"/>
              </w:rPr>
            </w:pPr>
            <w:r>
              <w:rPr>
                <w:rFonts w:ascii="Arial" w:cs="Arial" w:eastAsia="Arial" w:hAnsi="Arial"/>
                <w:sz w:val="14"/>
                <w:szCs w:val="14"/>
                <w:color w:val="auto"/>
              </w:rPr>
              <w:t>Asset</w:t>
            </w:r>
          </w:p>
        </w:tc>
        <w:tc>
          <w:tcPr>
            <w:tcW w:w="160" w:type="dxa"/>
            <w:vAlign w:val="bottom"/>
          </w:tcPr>
          <w:p>
            <w:pPr>
              <w:spacing w:after="0"/>
              <w:rPr>
                <w:sz w:val="17"/>
                <w:szCs w:val="17"/>
                <w:color w:val="auto"/>
              </w:rPr>
            </w:pPr>
          </w:p>
        </w:tc>
        <w:tc>
          <w:tcPr>
            <w:tcW w:w="740" w:type="dxa"/>
            <w:vAlign w:val="bottom"/>
          </w:tcPr>
          <w:p>
            <w:pPr>
              <w:jc w:val="right"/>
              <w:ind w:right="121"/>
              <w:spacing w:after="0"/>
              <w:rPr>
                <w:sz w:val="20"/>
                <w:szCs w:val="20"/>
                <w:color w:val="auto"/>
              </w:rPr>
            </w:pPr>
            <w:r>
              <w:rPr>
                <w:rFonts w:ascii="Arial" w:cs="Arial" w:eastAsia="Arial" w:hAnsi="Arial"/>
                <w:sz w:val="14"/>
                <w:szCs w:val="14"/>
                <w:color w:val="auto"/>
              </w:rPr>
              <w:t>Liability</w:t>
            </w:r>
          </w:p>
        </w:tc>
      </w:tr>
      <w:tr>
        <w:trPr>
          <w:trHeight w:val="200"/>
        </w:trPr>
        <w:tc>
          <w:tcPr>
            <w:tcW w:w="5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Derivatives designated and qualifying as cash flow hedges:</w:t>
            </w:r>
          </w:p>
        </w:tc>
        <w:tc>
          <w:tcPr>
            <w:tcW w:w="2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r>
      <w:tr>
        <w:trPr>
          <w:trHeight w:val="215"/>
        </w:trPr>
        <w:tc>
          <w:tcPr>
            <w:tcW w:w="5260" w:type="dxa"/>
            <w:vAlign w:val="bottom"/>
          </w:tcPr>
          <w:p>
            <w:pPr>
              <w:ind w:left="240"/>
              <w:spacing w:after="0"/>
              <w:rPr>
                <w:sz w:val="20"/>
                <w:szCs w:val="20"/>
                <w:color w:val="auto"/>
              </w:rPr>
            </w:pPr>
            <w:r>
              <w:rPr>
                <w:rFonts w:ascii="Arial" w:cs="Arial" w:eastAsia="Arial" w:hAnsi="Arial"/>
                <w:sz w:val="16"/>
                <w:szCs w:val="16"/>
                <w:color w:val="auto"/>
              </w:rPr>
              <w:t>Interest rate swaps</w:t>
            </w:r>
          </w:p>
        </w:tc>
        <w:tc>
          <w:tcPr>
            <w:tcW w:w="2340" w:type="dxa"/>
            <w:vAlign w:val="bottom"/>
            <w:gridSpan w:val="3"/>
          </w:tcPr>
          <w:p>
            <w:pPr>
              <w:ind w:left="20"/>
              <w:spacing w:after="0"/>
              <w:rPr>
                <w:sz w:val="20"/>
                <w:szCs w:val="20"/>
                <w:color w:val="auto"/>
              </w:rPr>
            </w:pPr>
            <w:r>
              <w:rPr>
                <w:rFonts w:ascii="Arial" w:cs="Arial" w:eastAsia="Arial" w:hAnsi="Arial"/>
                <w:sz w:val="16"/>
                <w:szCs w:val="16"/>
                <w:color w:val="auto"/>
              </w:rPr>
              <w:t>Other assets/Other liabilities  $</w:t>
            </w:r>
          </w:p>
        </w:tc>
        <w:tc>
          <w:tcPr>
            <w:tcW w:w="700" w:type="dxa"/>
            <w:vAlign w:val="bottom"/>
          </w:tcPr>
          <w:p>
            <w:pPr>
              <w:jc w:val="right"/>
              <w:ind w:right="2"/>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2"/>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3</w:t>
            </w:r>
          </w:p>
        </w:tc>
      </w:tr>
      <w:tr>
        <w:trPr>
          <w:trHeight w:val="217"/>
        </w:trPr>
        <w:tc>
          <w:tcPr>
            <w:tcW w:w="526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5"/>
        </w:trPr>
        <w:tc>
          <w:tcPr>
            <w:tcW w:w="5260" w:type="dxa"/>
            <w:vAlign w:val="bottom"/>
          </w:tcPr>
          <w:p>
            <w:pPr>
              <w:ind w:left="20"/>
              <w:spacing w:after="0"/>
              <w:rPr>
                <w:sz w:val="20"/>
                <w:szCs w:val="20"/>
                <w:color w:val="auto"/>
              </w:rPr>
            </w:pPr>
            <w:r>
              <w:rPr>
                <w:rFonts w:ascii="Arial" w:cs="Arial" w:eastAsia="Arial" w:hAnsi="Arial"/>
                <w:sz w:val="16"/>
                <w:szCs w:val="16"/>
                <w:color w:val="auto"/>
              </w:rPr>
              <w:t>Derivatives not designated as hedging instruments:</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7"/>
        </w:trPr>
        <w:tc>
          <w:tcPr>
            <w:tcW w:w="52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Fixed maturities with embedded derivatives</w:t>
            </w:r>
          </w:p>
        </w:tc>
        <w:tc>
          <w:tcPr>
            <w:tcW w:w="23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Fixed maturities</w:t>
            </w:r>
          </w:p>
        </w:tc>
        <w:tc>
          <w:tcPr>
            <w:tcW w:w="7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r>
      <w:tr>
        <w:trPr>
          <w:trHeight w:val="215"/>
        </w:trPr>
        <w:tc>
          <w:tcPr>
            <w:tcW w:w="5260" w:type="dxa"/>
            <w:vAlign w:val="bottom"/>
          </w:tcPr>
          <w:p>
            <w:pPr>
              <w:ind w:left="240"/>
              <w:spacing w:after="0"/>
              <w:rPr>
                <w:sz w:val="20"/>
                <w:szCs w:val="20"/>
                <w:color w:val="auto"/>
              </w:rPr>
            </w:pPr>
            <w:r>
              <w:rPr>
                <w:rFonts w:ascii="Arial" w:cs="Arial" w:eastAsia="Arial" w:hAnsi="Arial"/>
                <w:sz w:val="16"/>
                <w:szCs w:val="16"/>
                <w:color w:val="auto"/>
              </w:rPr>
              <w:t>Total return swap</w:t>
            </w:r>
          </w:p>
        </w:tc>
        <w:tc>
          <w:tcPr>
            <w:tcW w:w="2340" w:type="dxa"/>
            <w:vAlign w:val="bottom"/>
            <w:gridSpan w:val="3"/>
          </w:tcPr>
          <w:p>
            <w:pPr>
              <w:ind w:left="20"/>
              <w:spacing w:after="0"/>
              <w:rPr>
                <w:sz w:val="20"/>
                <w:szCs w:val="20"/>
                <w:color w:val="auto"/>
              </w:rPr>
            </w:pPr>
            <w:r>
              <w:rPr>
                <w:rFonts w:ascii="Arial" w:cs="Arial" w:eastAsia="Arial" w:hAnsi="Arial"/>
                <w:sz w:val="16"/>
                <w:szCs w:val="16"/>
                <w:color w:val="auto"/>
              </w:rPr>
              <w:t>Other assets/Other liabilities</w:t>
            </w: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w:t>
            </w:r>
          </w:p>
        </w:tc>
      </w:tr>
      <w:tr>
        <w:trPr>
          <w:trHeight w:val="234"/>
        </w:trPr>
        <w:tc>
          <w:tcPr>
            <w:tcW w:w="5260" w:type="dxa"/>
            <w:vAlign w:val="bottom"/>
            <w:tcBorders>
              <w:top w:val="single" w:sz="8" w:color="CCEEFF"/>
              <w:bottom w:val="single" w:sz="8" w:color="CCEEFF"/>
            </w:tcBorders>
            <w:shd w:val="clear" w:color="auto" w:fill="CCEEFF"/>
          </w:tcPr>
          <w:p>
            <w:pPr>
              <w:spacing w:after="0"/>
              <w:rPr>
                <w:sz w:val="19"/>
                <w:szCs w:val="19"/>
                <w:color w:val="auto"/>
              </w:rPr>
            </w:pPr>
          </w:p>
        </w:tc>
        <w:tc>
          <w:tcPr>
            <w:tcW w:w="20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54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right="80"/>
        <w:spacing w:after="0" w:line="260" w:lineRule="auto"/>
        <w:rPr>
          <w:sz w:val="20"/>
          <w:szCs w:val="20"/>
          <w:color w:val="auto"/>
        </w:rPr>
      </w:pPr>
      <w:r>
        <w:rPr>
          <w:rFonts w:ascii="Arial" w:cs="Arial" w:eastAsia="Arial" w:hAnsi="Arial"/>
          <w:sz w:val="17"/>
          <w:szCs w:val="17"/>
          <w:color w:val="auto"/>
        </w:rPr>
        <w:t>AFG’s interest rate swaps are designated and qualify as highly effective cash flow hedges to mitigate interest rate risk related to certain floating-rate securities included in AFG’s portfolio of fixed maturity securities. The purpose of each of these swaps is to effectively convert a portion of AFG’s floating-rate fixed maturity securities to fixed rates by offsetting the variability in cash flows attributable to changes in the applicable Secured Overnight Financing Rate (“SOFR”).</w:t>
      </w:r>
    </w:p>
    <w:p>
      <w:pPr>
        <w:spacing w:after="0" w:line="219"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Under the terms of the swaps, AFG receives fixed-rate interest payments in exchange for variable interest payments based on SOFR. The notional amounts of the interest rate swaps generally decline over each swap’s respective life (the active swaps expire between October 2026 and October 2034) in anticipation of the expected decline in AFG’s portfolio of fixed maturity securities with floating interest rates based on SOFR. The total outstanding notional amount of AFG’s interest rate swaps was $714 million at March 31, 2026 compared to $464 million at December 31, 2025, reflecting four new swaps entered into in the first three months of 2026 ($300 million notional amount at issuance), partially offset by scheduled amortization. Amounts reclassified from AOCI to net investment income were losses of $1 million and $3 million in the first three months of 2026 and 2025, respectively. Based on a forward interest rate curve at March 31, 2026, management estimates that it will reclassify approximately $3 million of pre-tax net losses on interest rate swaps from AOCI to net investment income over the next twelve months. The actual amount will vary based on changes in SOFR. A collateral receivable supporting these swaps of $16 million and $10 million at March 31, 2026 and December 31, 2025, respectively, is included in other assets in AFG’s Balance Sheet.</w:t>
      </w:r>
    </w:p>
    <w:p>
      <w:pPr>
        <w:spacing w:after="0" w:line="213" w:lineRule="exact"/>
        <w:rPr>
          <w:sz w:val="20"/>
          <w:szCs w:val="20"/>
          <w:color w:val="auto"/>
        </w:rPr>
      </w:pPr>
    </w:p>
    <w:p>
      <w:pPr>
        <w:ind w:right="20"/>
        <w:spacing w:after="0" w:line="274" w:lineRule="auto"/>
        <w:rPr>
          <w:sz w:val="20"/>
          <w:szCs w:val="20"/>
          <w:color w:val="auto"/>
        </w:rPr>
      </w:pPr>
      <w:r>
        <w:rPr>
          <w:rFonts w:ascii="Arial" w:cs="Arial" w:eastAsia="Arial" w:hAnsi="Arial"/>
          <w:sz w:val="17"/>
          <w:szCs w:val="17"/>
          <w:color w:val="auto"/>
        </w:rPr>
        <w:t>The fixed maturities with embedded derivatives consist of convertible fixed maturity securities and interest-only and principal-only MBS. AFG records the change in the fair value of these securities in net earnings. These investments are part of AFG’s overall investment strategy and represent a small component of AFG’s overall investment portfolio.</w:t>
      </w:r>
    </w:p>
    <w:p>
      <w:pPr>
        <w:spacing w:after="0" w:line="195" w:lineRule="exact"/>
        <w:rPr>
          <w:sz w:val="20"/>
          <w:szCs w:val="20"/>
          <w:color w:val="auto"/>
        </w:rPr>
      </w:pPr>
    </w:p>
    <w:p>
      <w:pPr>
        <w:ind w:right="120"/>
        <w:spacing w:after="0" w:line="266" w:lineRule="auto"/>
        <w:rPr>
          <w:sz w:val="20"/>
          <w:szCs w:val="20"/>
          <w:color w:val="auto"/>
        </w:rPr>
      </w:pPr>
      <w:r>
        <w:rPr>
          <w:rFonts w:ascii="Arial" w:cs="Arial" w:eastAsia="Arial" w:hAnsi="Arial"/>
          <w:sz w:val="17"/>
          <w:szCs w:val="17"/>
          <w:color w:val="auto"/>
        </w:rPr>
        <w:t>AFG is exposed to fair value changes from certain equity and fixed maturity market-based exposures related to its deferred compensation obligations to certain employees. To mitigate this risk, AFG entered into a total return swap. AFG’s Balance Sheet includes a $10 million receivable for collateral posted related to the swap (included in other assets) at March 31, 2026, and a liability of less than $1 million to return collateral related to the swap (included in other liabilities) at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3" w:name="page24"/>
    <w:bookmarkEnd w:id="23"/>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gains (losses) included in AFG’s Statement of Earnings for changes in the fair value of derivatives (in millions):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6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4"/>
                <w:szCs w:val="14"/>
                <w:color w:val="auto"/>
              </w:rPr>
              <w:t>Three months ended March 31,</w:t>
            </w:r>
          </w:p>
        </w:tc>
        <w:tc>
          <w:tcPr>
            <w:tcW w:w="0" w:type="dxa"/>
            <w:vAlign w:val="bottom"/>
          </w:tcPr>
          <w:p>
            <w:pPr>
              <w:spacing w:after="0"/>
              <w:rPr>
                <w:sz w:val="1"/>
                <w:szCs w:val="1"/>
                <w:color w:val="auto"/>
              </w:rPr>
            </w:pPr>
          </w:p>
        </w:tc>
      </w:tr>
      <w:tr>
        <w:trPr>
          <w:trHeight w:val="198"/>
        </w:trPr>
        <w:tc>
          <w:tcPr>
            <w:tcW w:w="6260" w:type="dxa"/>
            <w:vAlign w:val="bottom"/>
          </w:tcPr>
          <w:p>
            <w:pPr>
              <w:spacing w:after="0"/>
              <w:rPr>
                <w:sz w:val="17"/>
                <w:szCs w:val="17"/>
                <w:color w:val="auto"/>
              </w:rPr>
            </w:pPr>
          </w:p>
        </w:tc>
        <w:tc>
          <w:tcPr>
            <w:tcW w:w="2340" w:type="dxa"/>
            <w:vAlign w:val="bottom"/>
            <w:gridSpan w:val="2"/>
          </w:tcPr>
          <w:p>
            <w:pPr>
              <w:ind w:left="20"/>
              <w:spacing w:after="0"/>
              <w:rPr>
                <w:sz w:val="20"/>
                <w:szCs w:val="20"/>
                <w:color w:val="auto"/>
              </w:rPr>
            </w:pPr>
            <w:r>
              <w:rPr>
                <w:rFonts w:ascii="Arial" w:cs="Arial" w:eastAsia="Arial" w:hAnsi="Arial"/>
                <w:sz w:val="14"/>
                <w:szCs w:val="14"/>
                <w:color w:val="auto"/>
              </w:rPr>
              <w:t>Statement of Earnings Line</w:t>
            </w:r>
          </w:p>
        </w:tc>
        <w:tc>
          <w:tcPr>
            <w:tcW w:w="220" w:type="dxa"/>
            <w:vAlign w:val="bottom"/>
          </w:tcPr>
          <w:p>
            <w:pPr>
              <w:spacing w:after="0"/>
              <w:rPr>
                <w:sz w:val="17"/>
                <w:szCs w:val="17"/>
                <w:color w:val="auto"/>
              </w:rPr>
            </w:pPr>
          </w:p>
        </w:tc>
        <w:tc>
          <w:tcPr>
            <w:tcW w:w="1060" w:type="dxa"/>
            <w:vAlign w:val="bottom"/>
          </w:tcPr>
          <w:p>
            <w:pPr>
              <w:ind w:left="260"/>
              <w:spacing w:after="0"/>
              <w:rPr>
                <w:sz w:val="20"/>
                <w:szCs w:val="20"/>
                <w:color w:val="auto"/>
              </w:rPr>
            </w:pPr>
            <w:r>
              <w:rPr>
                <w:rFonts w:ascii="Arial" w:cs="Arial" w:eastAsia="Arial" w:hAnsi="Arial"/>
                <w:sz w:val="14"/>
                <w:szCs w:val="14"/>
                <w:color w:val="auto"/>
              </w:rPr>
              <w:t>2026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ind w:right="400"/>
              <w:spacing w:after="0"/>
              <w:rPr>
                <w:sz w:val="20"/>
                <w:szCs w:val="20"/>
                <w:color w:val="auto"/>
              </w:rPr>
            </w:pPr>
            <w:r>
              <w:rPr>
                <w:rFonts w:ascii="Arial" w:cs="Arial" w:eastAsia="Arial" w:hAnsi="Arial"/>
                <w:sz w:val="14"/>
                <w:szCs w:val="14"/>
                <w:color w:val="auto"/>
              </w:rPr>
              <w:t>2025</w:t>
            </w:r>
          </w:p>
        </w:tc>
        <w:tc>
          <w:tcPr>
            <w:tcW w:w="0" w:type="dxa"/>
            <w:vAlign w:val="bottom"/>
          </w:tcPr>
          <w:p>
            <w:pPr>
              <w:spacing w:after="0"/>
              <w:rPr>
                <w:sz w:val="1"/>
                <w:szCs w:val="1"/>
                <w:color w:val="auto"/>
              </w:rPr>
            </w:pPr>
          </w:p>
        </w:tc>
      </w:tr>
      <w:tr>
        <w:trPr>
          <w:trHeight w:val="200"/>
        </w:trPr>
        <w:tc>
          <w:tcPr>
            <w:tcW w:w="6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Qualifying cash flow hedges:</w:t>
            </w:r>
          </w:p>
        </w:tc>
        <w:tc>
          <w:tcPr>
            <w:tcW w:w="22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260" w:type="dxa"/>
            <w:vAlign w:val="bottom"/>
          </w:tcPr>
          <w:p>
            <w:pPr>
              <w:ind w:left="240"/>
              <w:spacing w:after="0"/>
              <w:rPr>
                <w:sz w:val="20"/>
                <w:szCs w:val="20"/>
                <w:color w:val="auto"/>
              </w:rPr>
            </w:pPr>
            <w:r>
              <w:rPr>
                <w:rFonts w:ascii="Arial" w:cs="Arial" w:eastAsia="Arial" w:hAnsi="Arial"/>
                <w:sz w:val="16"/>
                <w:szCs w:val="16"/>
                <w:color w:val="auto"/>
              </w:rPr>
              <w:t>Interest rate swaps</w:t>
            </w:r>
          </w:p>
        </w:tc>
        <w:tc>
          <w:tcPr>
            <w:tcW w:w="2340" w:type="dxa"/>
            <w:vAlign w:val="bottom"/>
            <w:gridSpan w:val="2"/>
          </w:tcPr>
          <w:p>
            <w:pPr>
              <w:ind w:left="20"/>
              <w:spacing w:after="0"/>
              <w:rPr>
                <w:sz w:val="20"/>
                <w:szCs w:val="20"/>
                <w:color w:val="auto"/>
              </w:rPr>
            </w:pPr>
            <w:r>
              <w:rPr>
                <w:rFonts w:ascii="Arial" w:cs="Arial" w:eastAsia="Arial" w:hAnsi="Arial"/>
                <w:sz w:val="16"/>
                <w:szCs w:val="16"/>
                <w:color w:val="auto"/>
              </w:rPr>
              <w:t>Net investment income</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Pr>
          <w:p>
            <w:pPr>
              <w:ind w:left="84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7"/>
        </w:trPr>
        <w:tc>
          <w:tcPr>
            <w:tcW w:w="626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260" w:type="dxa"/>
            <w:vAlign w:val="bottom"/>
          </w:tcPr>
          <w:p>
            <w:pPr>
              <w:ind w:left="20"/>
              <w:spacing w:after="0"/>
              <w:rPr>
                <w:sz w:val="20"/>
                <w:szCs w:val="20"/>
                <w:color w:val="auto"/>
              </w:rPr>
            </w:pPr>
            <w:r>
              <w:rPr>
                <w:rFonts w:ascii="Arial" w:cs="Arial" w:eastAsia="Arial" w:hAnsi="Arial"/>
                <w:sz w:val="16"/>
                <w:szCs w:val="16"/>
                <w:color w:val="auto"/>
              </w:rPr>
              <w:t>Non-designated hedges:</w:t>
            </w:r>
          </w:p>
        </w:tc>
        <w:tc>
          <w:tcPr>
            <w:tcW w:w="2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6260" w:type="dxa"/>
            <w:vAlign w:val="bottom"/>
            <w:vMerge w:val="restart"/>
            <w:shd w:val="clear" w:color="auto" w:fill="CCEEFF"/>
          </w:tcPr>
          <w:p>
            <w:pPr>
              <w:ind w:left="240"/>
              <w:spacing w:after="0"/>
              <w:rPr>
                <w:sz w:val="20"/>
                <w:szCs w:val="20"/>
                <w:color w:val="auto"/>
              </w:rPr>
            </w:pPr>
            <w:r>
              <w:rPr>
                <w:rFonts w:ascii="Arial" w:cs="Arial" w:eastAsia="Arial" w:hAnsi="Arial"/>
                <w:sz w:val="16"/>
                <w:szCs w:val="16"/>
                <w:color w:val="auto"/>
              </w:rPr>
              <w:t>Fixed maturities with embedded derivatives</w:t>
            </w:r>
          </w:p>
        </w:tc>
        <w:tc>
          <w:tcPr>
            <w:tcW w:w="2340" w:type="dxa"/>
            <w:vAlign w:val="bottom"/>
            <w:gridSpan w:val="2"/>
            <w:shd w:val="clear" w:color="auto" w:fill="CCEEFF"/>
          </w:tcPr>
          <w:p>
            <w:pPr>
              <w:ind w:left="20"/>
              <w:spacing w:after="0" w:line="163" w:lineRule="exact"/>
              <w:rPr>
                <w:sz w:val="20"/>
                <w:szCs w:val="20"/>
                <w:color w:val="auto"/>
              </w:rPr>
            </w:pPr>
            <w:r>
              <w:rPr>
                <w:rFonts w:ascii="Arial" w:cs="Arial" w:eastAsia="Arial" w:hAnsi="Arial"/>
                <w:sz w:val="16"/>
                <w:szCs w:val="16"/>
                <w:color w:val="auto"/>
              </w:rPr>
              <w:t>Realized gains (losses) on</w:t>
            </w:r>
          </w:p>
        </w:tc>
        <w:tc>
          <w:tcPr>
            <w:tcW w:w="22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ind w:left="840"/>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6"/>
        </w:trPr>
        <w:tc>
          <w:tcPr>
            <w:tcW w:w="6260" w:type="dxa"/>
            <w:vAlign w:val="bottom"/>
            <w:vMerge w:val="continue"/>
            <w:shd w:val="clear" w:color="auto" w:fill="CCEEFF"/>
          </w:tcPr>
          <w:p>
            <w:pPr>
              <w:spacing w:after="0"/>
              <w:rPr>
                <w:sz w:val="18"/>
                <w:szCs w:val="18"/>
                <w:color w:val="auto"/>
              </w:rPr>
            </w:pPr>
          </w:p>
        </w:tc>
        <w:tc>
          <w:tcPr>
            <w:tcW w:w="23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securities</w:t>
            </w:r>
          </w:p>
        </w:tc>
        <w:tc>
          <w:tcPr>
            <w:tcW w:w="22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260" w:type="dxa"/>
            <w:vAlign w:val="bottom"/>
          </w:tcPr>
          <w:p>
            <w:pPr>
              <w:ind w:left="240"/>
              <w:spacing w:after="0"/>
              <w:rPr>
                <w:sz w:val="20"/>
                <w:szCs w:val="20"/>
                <w:color w:val="auto"/>
              </w:rPr>
            </w:pPr>
            <w:r>
              <w:rPr>
                <w:rFonts w:ascii="Arial" w:cs="Arial" w:eastAsia="Arial" w:hAnsi="Arial"/>
                <w:sz w:val="16"/>
                <w:szCs w:val="16"/>
                <w:color w:val="auto"/>
              </w:rPr>
              <w:t>Fixed maturities with embedded derivatives</w:t>
            </w:r>
          </w:p>
        </w:tc>
        <w:tc>
          <w:tcPr>
            <w:tcW w:w="2340" w:type="dxa"/>
            <w:vAlign w:val="bottom"/>
            <w:gridSpan w:val="2"/>
          </w:tcPr>
          <w:p>
            <w:pPr>
              <w:ind w:left="20"/>
              <w:spacing w:after="0"/>
              <w:rPr>
                <w:sz w:val="20"/>
                <w:szCs w:val="20"/>
                <w:color w:val="auto"/>
              </w:rPr>
            </w:pPr>
            <w:r>
              <w:rPr>
                <w:rFonts w:ascii="Arial" w:cs="Arial" w:eastAsia="Arial" w:hAnsi="Arial"/>
                <w:sz w:val="16"/>
                <w:szCs w:val="16"/>
                <w:color w:val="auto"/>
              </w:rPr>
              <w:t>Net investment income</w:t>
            </w:r>
          </w:p>
        </w:tc>
        <w:tc>
          <w:tcPr>
            <w:tcW w:w="220" w:type="dxa"/>
            <w:vAlign w:val="bottom"/>
          </w:tcPr>
          <w:p>
            <w:pPr>
              <w:spacing w:after="0"/>
              <w:rPr>
                <w:sz w:val="18"/>
                <w:szCs w:val="18"/>
                <w:color w:val="auto"/>
              </w:rPr>
            </w:pPr>
          </w:p>
        </w:tc>
        <w:tc>
          <w:tcPr>
            <w:tcW w:w="116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7"/>
        </w:trPr>
        <w:tc>
          <w:tcPr>
            <w:tcW w:w="62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Total return swap</w:t>
            </w:r>
          </w:p>
        </w:tc>
        <w:tc>
          <w:tcPr>
            <w:tcW w:w="2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expenses</w:t>
            </w:r>
          </w:p>
        </w:tc>
        <w:tc>
          <w:tcPr>
            <w:tcW w:w="2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9"/>
        </w:trPr>
        <w:tc>
          <w:tcPr>
            <w:tcW w:w="6260" w:type="dxa"/>
            <w:vAlign w:val="bottom"/>
            <w:tcBorders>
              <w:bottom w:val="single" w:sz="8" w:color="CCEEFF"/>
            </w:tcBorders>
          </w:tcPr>
          <w:p>
            <w:pPr>
              <w:ind w:left="400"/>
              <w:spacing w:after="0"/>
              <w:rPr>
                <w:sz w:val="20"/>
                <w:szCs w:val="20"/>
                <w:color w:val="auto"/>
              </w:rPr>
            </w:pPr>
            <w:r>
              <w:rPr>
                <w:rFonts w:ascii="Arial" w:cs="Arial" w:eastAsia="Arial" w:hAnsi="Arial"/>
                <w:sz w:val="16"/>
                <w:szCs w:val="16"/>
                <w:color w:val="auto"/>
              </w:rPr>
              <w:t>Earnings (losses) on non-designated hedges</w:t>
            </w:r>
          </w:p>
        </w:tc>
        <w:tc>
          <w:tcPr>
            <w:tcW w:w="22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ind w:left="840"/>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35"/>
        </w:trPr>
        <w:tc>
          <w:tcPr>
            <w:tcW w:w="62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Total earnings (losses) on derivatives</w:t>
            </w:r>
          </w:p>
        </w:tc>
        <w:tc>
          <w:tcPr>
            <w:tcW w:w="22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3" w:lineRule="exact"/>
        <w:rPr>
          <w:sz w:val="20"/>
          <w:szCs w:val="20"/>
          <w:color w:val="auto"/>
        </w:rPr>
      </w:pPr>
    </w:p>
    <w:p>
      <w:pPr>
        <w:ind w:left="560" w:hanging="552"/>
        <w:spacing w:after="0"/>
        <w:tabs>
          <w:tab w:leader="none" w:pos="560" w:val="left"/>
        </w:tabs>
        <w:numPr>
          <w:ilvl w:val="0"/>
          <w:numId w:val="16"/>
        </w:numPr>
        <w:rPr>
          <w:rFonts w:ascii="Arial" w:cs="Arial" w:eastAsia="Arial" w:hAnsi="Arial"/>
          <w:sz w:val="29"/>
          <w:szCs w:val="29"/>
          <w:b w:val="1"/>
          <w:bCs w:val="1"/>
          <w:color w:val="003366"/>
        </w:rPr>
      </w:pPr>
      <w:r>
        <w:rPr>
          <w:rFonts w:ascii="Arial" w:cs="Arial" w:eastAsia="Arial" w:hAnsi="Arial"/>
          <w:sz w:val="29"/>
          <w:szCs w:val="29"/>
          <w:b w:val="1"/>
          <w:bCs w:val="1"/>
          <w:color w:val="003366"/>
        </w:rPr>
        <w:t>Managed Investment Entities</w:t>
      </w:r>
    </w:p>
    <w:p>
      <w:pPr>
        <w:spacing w:after="0" w:line="259" w:lineRule="exact"/>
        <w:rPr>
          <w:sz w:val="20"/>
          <w:szCs w:val="20"/>
          <w:color w:val="auto"/>
        </w:rPr>
      </w:pPr>
    </w:p>
    <w:p>
      <w:pPr>
        <w:ind w:right="40"/>
        <w:spacing w:after="0" w:line="260" w:lineRule="auto"/>
        <w:rPr>
          <w:sz w:val="20"/>
          <w:szCs w:val="20"/>
          <w:color w:val="auto"/>
        </w:rPr>
      </w:pPr>
      <w:r>
        <w:rPr>
          <w:rFonts w:ascii="Arial" w:cs="Arial" w:eastAsia="Arial" w:hAnsi="Arial"/>
          <w:sz w:val="17"/>
          <w:szCs w:val="17"/>
          <w:color w:val="auto"/>
        </w:rPr>
        <w:t>AFG is the investment manager and it has investments ranging from 5.4% to 100% of the most subordinate debt tranche of ten active collateralized loan obligations (“CLOs”), which are considered variable interest entities. AFG also owns portions of the senior debt tranches of certain of these CLOs. Upon formation, these entities issued securities in various senior and subordinate classes and invested the proceeds primarily in secured bank loans, which serve as collateral for the debt securities issued by each CLO. None of the collateral was purchased from AFG. AFG’s investments in the subordinate debt tranches of these entities receive residual income from the CLOs only after the CLOs pay expenses (including management fees to AFG) and interest on and returns of capital to senior levels of debt securities. There are no contractual requirements for AFG to provide additional funding for these entities. AFG has not provided and does not intend to provide any financial support to these entities.</w:t>
      </w:r>
    </w:p>
    <w:p>
      <w:pPr>
        <w:spacing w:after="0" w:line="205"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AFG’s maximum exposure to economic loss on the CLOs that it manages is limited to its investment in those CLOs, which had an aggregate fair value of $133 million (including $112 million invested in the most subordinate tranches and $10 million invested in a temporary warehousing entity) at March 31, 2026.</w:t>
      </w:r>
    </w:p>
    <w:p>
      <w:pPr>
        <w:spacing w:after="0" w:line="201" w:lineRule="exact"/>
        <w:rPr>
          <w:sz w:val="20"/>
          <w:szCs w:val="20"/>
          <w:color w:val="auto"/>
        </w:rPr>
      </w:pPr>
    </w:p>
    <w:p>
      <w:pPr>
        <w:ind w:right="160"/>
        <w:spacing w:after="0" w:line="301" w:lineRule="auto"/>
        <w:rPr>
          <w:sz w:val="20"/>
          <w:szCs w:val="20"/>
          <w:color w:val="auto"/>
        </w:rPr>
      </w:pPr>
      <w:r>
        <w:rPr>
          <w:rFonts w:ascii="Arial" w:cs="Arial" w:eastAsia="Arial" w:hAnsi="Arial"/>
          <w:sz w:val="17"/>
          <w:szCs w:val="17"/>
          <w:color w:val="auto"/>
        </w:rPr>
        <w:t>In the first three months of 2025, AFG formed one new CLO, which issued $406 million face amount of liabilities (including $40 million face amount purchased by AFG). In the first three months of 2025, one CLO was substantially liquidated in accordance with the CLO indenture.</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4" w:name="page25"/>
    <w:bookmarkEnd w:id="24"/>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shows a progression of the fair value of AFG's investment in CLO tranches and temporary warehousing entities (in millions):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220" w:type="dxa"/>
            <w:vAlign w:val="bottom"/>
          </w:tcPr>
          <w:p>
            <w:pPr>
              <w:spacing w:after="0"/>
              <w:rPr>
                <w:sz w:val="16"/>
                <w:szCs w:val="16"/>
                <w:color w:val="auto"/>
              </w:rPr>
            </w:pPr>
          </w:p>
        </w:tc>
        <w:tc>
          <w:tcPr>
            <w:tcW w:w="2600" w:type="dxa"/>
            <w:vAlign w:val="bottom"/>
            <w:tcBorders>
              <w:bottom w:val="single" w:sz="8" w:color="auto"/>
            </w:tcBorders>
            <w:gridSpan w:val="4"/>
          </w:tcPr>
          <w:p>
            <w:pPr>
              <w:jc w:val="right"/>
              <w:ind w:right="2"/>
              <w:spacing w:after="0"/>
              <w:rPr>
                <w:sz w:val="20"/>
                <w:szCs w:val="20"/>
                <w:color w:val="auto"/>
              </w:rPr>
            </w:pPr>
            <w:r>
              <w:rPr>
                <w:rFonts w:ascii="Arial" w:cs="Arial" w:eastAsia="Arial" w:hAnsi="Arial"/>
                <w:sz w:val="14"/>
                <w:szCs w:val="14"/>
                <w:color w:val="auto"/>
              </w:rPr>
              <w:t>Three months ended March 31,</w:t>
            </w:r>
          </w:p>
        </w:tc>
        <w:tc>
          <w:tcPr>
            <w:tcW w:w="420" w:type="dxa"/>
            <w:vAlign w:val="bottom"/>
            <w:tcBorders>
              <w:bottom w:val="single" w:sz="8" w:color="auto"/>
            </w:tcBorders>
          </w:tcPr>
          <w:p>
            <w:pPr>
              <w:spacing w:after="0"/>
              <w:rPr>
                <w:sz w:val="16"/>
                <w:szCs w:val="16"/>
                <w:color w:val="auto"/>
              </w:rPr>
            </w:pPr>
          </w:p>
        </w:tc>
      </w:tr>
      <w:tr>
        <w:trPr>
          <w:trHeight w:val="196"/>
        </w:trPr>
        <w:tc>
          <w:tcPr>
            <w:tcW w:w="822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ind w:right="44"/>
              <w:spacing w:after="0"/>
              <w:rPr>
                <w:sz w:val="20"/>
                <w:szCs w:val="20"/>
                <w:color w:val="auto"/>
              </w:rPr>
            </w:pPr>
            <w:r>
              <w:rPr>
                <w:rFonts w:ascii="Arial" w:cs="Arial" w:eastAsia="Arial" w:hAnsi="Arial"/>
                <w:sz w:val="14"/>
                <w:szCs w:val="14"/>
                <w:color w:val="auto"/>
              </w:rPr>
              <w:t>2026</w:t>
            </w: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color w:val="auto"/>
              </w:rPr>
              <w:t>2025</w:t>
            </w:r>
          </w:p>
        </w:tc>
        <w:tc>
          <w:tcPr>
            <w:tcW w:w="420" w:type="dxa"/>
            <w:vAlign w:val="bottom"/>
            <w:tcBorders>
              <w:bottom w:val="single" w:sz="8" w:color="auto"/>
            </w:tcBorders>
          </w:tcPr>
          <w:p>
            <w:pPr>
              <w:spacing w:after="0"/>
              <w:rPr>
                <w:sz w:val="17"/>
                <w:szCs w:val="17"/>
                <w:color w:val="auto"/>
              </w:rPr>
            </w:pPr>
          </w:p>
        </w:tc>
      </w:tr>
      <w:tr>
        <w:trPr>
          <w:trHeight w:val="213"/>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beginning of period</w:t>
            </w:r>
          </w:p>
        </w:tc>
        <w:tc>
          <w:tcPr>
            <w:tcW w:w="1020" w:type="dxa"/>
            <w:vAlign w:val="bottom"/>
            <w:shd w:val="clear" w:color="auto" w:fill="CCEEFF"/>
          </w:tcPr>
          <w:p>
            <w:pPr>
              <w:jc w:val="right"/>
              <w:ind w:right="824"/>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42"/>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w:t>
            </w:r>
          </w:p>
        </w:tc>
      </w:tr>
      <w:tr>
        <w:trPr>
          <w:trHeight w:val="215"/>
        </w:trPr>
        <w:tc>
          <w:tcPr>
            <w:tcW w:w="8220" w:type="dxa"/>
            <w:vAlign w:val="bottom"/>
          </w:tcPr>
          <w:p>
            <w:pPr>
              <w:ind w:left="20"/>
              <w:spacing w:after="0"/>
              <w:rPr>
                <w:sz w:val="20"/>
                <w:szCs w:val="20"/>
                <w:color w:val="auto"/>
              </w:rPr>
            </w:pPr>
            <w:r>
              <w:rPr>
                <w:rFonts w:ascii="Arial" w:cs="Arial" w:eastAsia="Arial" w:hAnsi="Arial"/>
                <w:sz w:val="16"/>
                <w:szCs w:val="16"/>
                <w:color w:val="auto"/>
              </w:rPr>
              <w:t>Purchases</w:t>
            </w:r>
          </w:p>
        </w:tc>
        <w:tc>
          <w:tcPr>
            <w:tcW w:w="10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217"/>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Sales</w:t>
            </w:r>
          </w:p>
        </w:tc>
        <w:tc>
          <w:tcPr>
            <w:tcW w:w="10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r>
      <w:tr>
        <w:trPr>
          <w:trHeight w:val="215"/>
        </w:trPr>
        <w:tc>
          <w:tcPr>
            <w:tcW w:w="8220" w:type="dxa"/>
            <w:vAlign w:val="bottom"/>
          </w:tcPr>
          <w:p>
            <w:pPr>
              <w:ind w:left="20"/>
              <w:spacing w:after="0"/>
              <w:rPr>
                <w:sz w:val="20"/>
                <w:szCs w:val="20"/>
                <w:color w:val="auto"/>
              </w:rPr>
            </w:pPr>
            <w:r>
              <w:rPr>
                <w:rFonts w:ascii="Arial" w:cs="Arial" w:eastAsia="Arial" w:hAnsi="Arial"/>
                <w:sz w:val="16"/>
                <w:szCs w:val="16"/>
                <w:color w:val="auto"/>
              </w:rPr>
              <w:t>Distributions</w:t>
            </w:r>
          </w:p>
        </w:tc>
        <w:tc>
          <w:tcPr>
            <w:tcW w:w="10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16"/>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CLO earnings (losses) attributable to AFG</w:t>
            </w:r>
          </w:p>
        </w:tc>
        <w:tc>
          <w:tcPr>
            <w:tcW w:w="10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10"/>
        </w:trPr>
        <w:tc>
          <w:tcPr>
            <w:tcW w:w="8220" w:type="dxa"/>
            <w:vAlign w:val="bottom"/>
          </w:tcPr>
          <w:p>
            <w:pPr>
              <w:ind w:left="20"/>
              <w:spacing w:after="0"/>
              <w:rPr>
                <w:sz w:val="20"/>
                <w:szCs w:val="20"/>
                <w:color w:val="auto"/>
              </w:rPr>
            </w:pPr>
            <w:r>
              <w:rPr>
                <w:rFonts w:ascii="Arial" w:cs="Arial" w:eastAsia="Arial" w:hAnsi="Arial"/>
                <w:sz w:val="16"/>
                <w:szCs w:val="16"/>
                <w:color w:val="auto"/>
              </w:rPr>
              <w:t>Balance at end of period</w:t>
            </w:r>
          </w:p>
        </w:tc>
        <w:tc>
          <w:tcPr>
            <w:tcW w:w="1020" w:type="dxa"/>
            <w:vAlign w:val="bottom"/>
            <w:tcBorders>
              <w:bottom w:val="single" w:sz="8" w:color="auto"/>
            </w:tcBorders>
          </w:tcPr>
          <w:p>
            <w:pPr>
              <w:jc w:val="right"/>
              <w:ind w:right="824"/>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w:t>
            </w:r>
          </w:p>
        </w:tc>
        <w:tc>
          <w:tcPr>
            <w:tcW w:w="100" w:type="dxa"/>
            <w:vAlign w:val="bottom"/>
          </w:tcPr>
          <w:p>
            <w:pPr>
              <w:spacing w:after="0"/>
              <w:rPr>
                <w:sz w:val="18"/>
                <w:szCs w:val="18"/>
                <w:color w:val="auto"/>
              </w:rPr>
            </w:pPr>
          </w:p>
        </w:tc>
        <w:tc>
          <w:tcPr>
            <w:tcW w:w="1040" w:type="dxa"/>
            <w:vAlign w:val="bottom"/>
            <w:tcBorders>
              <w:bottom w:val="single" w:sz="8" w:color="auto"/>
            </w:tcBorders>
          </w:tcPr>
          <w:p>
            <w:pPr>
              <w:jc w:val="right"/>
              <w:ind w:right="842"/>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w:t>
            </w:r>
          </w:p>
        </w:tc>
      </w:tr>
      <w:tr>
        <w:trPr>
          <w:trHeight w:val="20"/>
        </w:trPr>
        <w:tc>
          <w:tcPr>
            <w:tcW w:w="8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The revenues and expenses of the CLOs are separately identified in AFG’s Statement of Earnings, after the elimination of management fees and earnings attributable to AFG as measured by the change in the fair value of AFG’s investments in the CLOs. Selected financial information related to the CLOs is shown below (in millions):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220" w:type="dxa"/>
            <w:vAlign w:val="bottom"/>
          </w:tcPr>
          <w:p>
            <w:pPr>
              <w:spacing w:after="0"/>
              <w:rPr>
                <w:sz w:val="16"/>
                <w:szCs w:val="16"/>
                <w:color w:val="auto"/>
              </w:rPr>
            </w:pPr>
          </w:p>
        </w:tc>
        <w:tc>
          <w:tcPr>
            <w:tcW w:w="2620" w:type="dxa"/>
            <w:vAlign w:val="bottom"/>
            <w:tcBorders>
              <w:bottom w:val="single" w:sz="8" w:color="auto"/>
            </w:tcBorders>
            <w:gridSpan w:val="4"/>
          </w:tcPr>
          <w:p>
            <w:pPr>
              <w:jc w:val="right"/>
              <w:ind w:right="24"/>
              <w:spacing w:after="0"/>
              <w:rPr>
                <w:sz w:val="20"/>
                <w:szCs w:val="20"/>
                <w:color w:val="auto"/>
              </w:rPr>
            </w:pPr>
            <w:r>
              <w:rPr>
                <w:rFonts w:ascii="Arial" w:cs="Arial" w:eastAsia="Arial" w:hAnsi="Arial"/>
                <w:sz w:val="14"/>
                <w:szCs w:val="14"/>
                <w:color w:val="auto"/>
              </w:rPr>
              <w:t>Three months ended March 31,</w:t>
            </w:r>
          </w:p>
        </w:tc>
        <w:tc>
          <w:tcPr>
            <w:tcW w:w="400" w:type="dxa"/>
            <w:vAlign w:val="bottom"/>
            <w:tcBorders>
              <w:bottom w:val="single" w:sz="8" w:color="auto"/>
            </w:tcBorders>
          </w:tcPr>
          <w:p>
            <w:pPr>
              <w:spacing w:after="0"/>
              <w:rPr>
                <w:sz w:val="16"/>
                <w:szCs w:val="16"/>
                <w:color w:val="auto"/>
              </w:rPr>
            </w:pPr>
          </w:p>
        </w:tc>
      </w:tr>
      <w:tr>
        <w:trPr>
          <w:trHeight w:val="196"/>
        </w:trPr>
        <w:tc>
          <w:tcPr>
            <w:tcW w:w="822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ind w:right="45"/>
              <w:spacing w:after="0"/>
              <w:rPr>
                <w:sz w:val="20"/>
                <w:szCs w:val="20"/>
                <w:color w:val="auto"/>
              </w:rPr>
            </w:pPr>
            <w:r>
              <w:rPr>
                <w:rFonts w:ascii="Arial" w:cs="Arial" w:eastAsia="Arial" w:hAnsi="Arial"/>
                <w:sz w:val="14"/>
                <w:szCs w:val="14"/>
                <w:color w:val="auto"/>
              </w:rPr>
              <w:t>2026</w:t>
            </w: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ind w:right="84"/>
              <w:spacing w:after="0"/>
              <w:rPr>
                <w:sz w:val="20"/>
                <w:szCs w:val="20"/>
                <w:color w:val="auto"/>
              </w:rPr>
            </w:pPr>
            <w:r>
              <w:rPr>
                <w:rFonts w:ascii="Arial" w:cs="Arial" w:eastAsia="Arial" w:hAnsi="Arial"/>
                <w:sz w:val="14"/>
                <w:szCs w:val="14"/>
                <w:color w:val="auto"/>
              </w:rPr>
              <w:t>2025</w:t>
            </w:r>
          </w:p>
        </w:tc>
        <w:tc>
          <w:tcPr>
            <w:tcW w:w="400" w:type="dxa"/>
            <w:vAlign w:val="bottom"/>
            <w:tcBorders>
              <w:bottom w:val="single" w:sz="8" w:color="auto"/>
            </w:tcBorders>
          </w:tcPr>
          <w:p>
            <w:pPr>
              <w:spacing w:after="0"/>
              <w:rPr>
                <w:sz w:val="17"/>
                <w:szCs w:val="17"/>
                <w:color w:val="auto"/>
              </w:rPr>
            </w:pPr>
          </w:p>
        </w:tc>
      </w:tr>
      <w:tr>
        <w:trPr>
          <w:trHeight w:val="200"/>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Gains (losses) on change in fair value of assets/liabilities (*):</w:t>
            </w:r>
          </w:p>
        </w:tc>
        <w:tc>
          <w:tcPr>
            <w:tcW w:w="10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r>
      <w:tr>
        <w:trPr>
          <w:trHeight w:val="215"/>
        </w:trPr>
        <w:tc>
          <w:tcPr>
            <w:tcW w:w="8220" w:type="dxa"/>
            <w:vAlign w:val="bottom"/>
          </w:tcPr>
          <w:p>
            <w:pPr>
              <w:ind w:left="240"/>
              <w:spacing w:after="0"/>
              <w:rPr>
                <w:sz w:val="20"/>
                <w:szCs w:val="20"/>
                <w:color w:val="auto"/>
              </w:rPr>
            </w:pPr>
            <w:r>
              <w:rPr>
                <w:rFonts w:ascii="Arial" w:cs="Arial" w:eastAsia="Arial" w:hAnsi="Arial"/>
                <w:sz w:val="16"/>
                <w:szCs w:val="16"/>
                <w:color w:val="auto"/>
              </w:rPr>
              <w:t>Assets</w:t>
            </w:r>
          </w:p>
        </w:tc>
        <w:tc>
          <w:tcPr>
            <w:tcW w:w="1020" w:type="dxa"/>
            <w:vAlign w:val="bottom"/>
          </w:tcPr>
          <w:p>
            <w:pPr>
              <w:jc w:val="right"/>
              <w:ind w:right="825"/>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18"/>
                <w:szCs w:val="18"/>
                <w:color w:val="auto"/>
              </w:rPr>
            </w:pPr>
          </w:p>
        </w:tc>
        <w:tc>
          <w:tcPr>
            <w:tcW w:w="1060" w:type="dxa"/>
            <w:vAlign w:val="bottom"/>
          </w:tcPr>
          <w:p>
            <w:pPr>
              <w:jc w:val="right"/>
              <w:ind w:right="864"/>
              <w:spacing w:after="0"/>
              <w:rPr>
                <w:sz w:val="20"/>
                <w:szCs w:val="20"/>
                <w:color w:val="auto"/>
              </w:rPr>
            </w:pPr>
            <w:r>
              <w:rPr>
                <w:rFonts w:ascii="Arial" w:cs="Arial" w:eastAsia="Arial" w:hAnsi="Arial"/>
                <w:sz w:val="16"/>
                <w:szCs w:val="16"/>
                <w:color w:val="auto"/>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(57)</w:t>
            </w:r>
          </w:p>
        </w:tc>
      </w:tr>
      <w:tr>
        <w:trPr>
          <w:trHeight w:val="217"/>
        </w:trPr>
        <w:tc>
          <w:tcPr>
            <w:tcW w:w="82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Liabilities</w:t>
            </w:r>
          </w:p>
        </w:tc>
        <w:tc>
          <w:tcPr>
            <w:tcW w:w="10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r>
      <w:tr>
        <w:trPr>
          <w:trHeight w:val="215"/>
        </w:trPr>
        <w:tc>
          <w:tcPr>
            <w:tcW w:w="8220" w:type="dxa"/>
            <w:vAlign w:val="bottom"/>
          </w:tcPr>
          <w:p>
            <w:pPr>
              <w:ind w:left="20"/>
              <w:spacing w:after="0"/>
              <w:rPr>
                <w:sz w:val="20"/>
                <w:szCs w:val="20"/>
                <w:color w:val="auto"/>
              </w:rPr>
            </w:pPr>
            <w:r>
              <w:rPr>
                <w:rFonts w:ascii="Arial" w:cs="Arial" w:eastAsia="Arial" w:hAnsi="Arial"/>
                <w:sz w:val="16"/>
                <w:szCs w:val="16"/>
                <w:color w:val="auto"/>
              </w:rPr>
              <w:t>Management fees paid to AFG</w:t>
            </w:r>
          </w:p>
        </w:tc>
        <w:tc>
          <w:tcPr>
            <w:tcW w:w="10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17"/>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CLO earnings (losses) attributable to AFG</w:t>
            </w:r>
          </w:p>
        </w:tc>
        <w:tc>
          <w:tcPr>
            <w:tcW w:w="10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r>
    </w:tbl>
    <w:p>
      <w:pPr>
        <w:spacing w:after="0" w:line="140" w:lineRule="exact"/>
        <w:rPr>
          <w:sz w:val="20"/>
          <w:szCs w:val="20"/>
          <w:color w:val="auto"/>
        </w:rPr>
      </w:pPr>
    </w:p>
    <w:p>
      <w:pPr>
        <w:ind w:left="400" w:hanging="392"/>
        <w:spacing w:after="0"/>
        <w:tabs>
          <w:tab w:leader="none" w:pos="4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Included in revenues in AFG’s Statement of Earnings.</w:t>
      </w:r>
    </w:p>
    <w:p>
      <w:pPr>
        <w:spacing w:after="0" w:line="250" w:lineRule="exact"/>
        <w:rPr>
          <w:sz w:val="20"/>
          <w:szCs w:val="20"/>
          <w:color w:val="auto"/>
        </w:rPr>
      </w:pPr>
    </w:p>
    <w:p>
      <w:pPr>
        <w:ind w:right="380"/>
        <w:spacing w:after="0" w:line="261" w:lineRule="auto"/>
        <w:rPr>
          <w:sz w:val="20"/>
          <w:szCs w:val="20"/>
          <w:color w:val="auto"/>
        </w:rPr>
      </w:pPr>
      <w:r>
        <w:rPr>
          <w:rFonts w:ascii="Arial" w:cs="Arial" w:eastAsia="Arial" w:hAnsi="Arial"/>
          <w:sz w:val="17"/>
          <w:szCs w:val="17"/>
          <w:color w:val="auto"/>
        </w:rPr>
        <w:t>The aggregate unpaid principal balance of the CLOs’ fixed maturity investments exceeded the fair value of the investments by $147 million and $77 million at March 31, 2026 and December 31, 2025, respectively. Excluding the most subordinated tranches, the aggregate unpaid principal balance of the CLOs’ debt exceeded the carrying value by $21 million at March 31, 2026 and the carrying value of the CLOs’ debt exceeded the aggregate unpaid principal balance by $13 million at December 31, 2025. At March 31, 2026 and December 31, 2025, the CLO assets did not include any loans in default for which the CLOs are not accruing interest.</w:t>
      </w:r>
    </w:p>
    <w:p>
      <w:pPr>
        <w:spacing w:after="0" w:line="206" w:lineRule="exact"/>
        <w:rPr>
          <w:sz w:val="20"/>
          <w:szCs w:val="20"/>
          <w:color w:val="auto"/>
        </w:rPr>
      </w:pPr>
    </w:p>
    <w:p>
      <w:pPr>
        <w:ind w:right="240"/>
        <w:spacing w:after="0" w:line="284" w:lineRule="auto"/>
        <w:rPr>
          <w:sz w:val="20"/>
          <w:szCs w:val="20"/>
          <w:color w:val="auto"/>
        </w:rPr>
      </w:pPr>
      <w:r>
        <w:rPr>
          <w:rFonts w:ascii="Arial" w:cs="Arial" w:eastAsia="Arial" w:hAnsi="Arial"/>
          <w:sz w:val="17"/>
          <w:szCs w:val="17"/>
          <w:color w:val="auto"/>
        </w:rPr>
        <w:t>In addition to the CLOs that it manages, AFG had investments in CLOs that are managed by third parties (therefore not consolidated), which are included in available for sale fixed maturity securities and had a fair value of $1.18 billion at March 31, 2026 and $1.16 billion December 31, 2025.</w:t>
      </w:r>
    </w:p>
    <w:p>
      <w:pPr>
        <w:spacing w:after="0" w:line="187" w:lineRule="exact"/>
        <w:rPr>
          <w:sz w:val="20"/>
          <w:szCs w:val="20"/>
          <w:color w:val="auto"/>
        </w:rPr>
      </w:pPr>
    </w:p>
    <w:p>
      <w:pPr>
        <w:ind w:left="640" w:hanging="632"/>
        <w:spacing w:after="0"/>
        <w:tabs>
          <w:tab w:leader="none" w:pos="640" w:val="left"/>
        </w:tabs>
        <w:numPr>
          <w:ilvl w:val="0"/>
          <w:numId w:val="18"/>
        </w:numPr>
        <w:rPr>
          <w:rFonts w:ascii="Arial" w:cs="Arial" w:eastAsia="Arial" w:hAnsi="Arial"/>
          <w:sz w:val="29"/>
          <w:szCs w:val="29"/>
          <w:b w:val="1"/>
          <w:bCs w:val="1"/>
          <w:color w:val="003366"/>
        </w:rPr>
      </w:pPr>
      <w:r>
        <w:rPr>
          <w:rFonts w:ascii="Arial" w:cs="Arial" w:eastAsia="Arial" w:hAnsi="Arial"/>
          <w:sz w:val="29"/>
          <w:szCs w:val="29"/>
          <w:b w:val="1"/>
          <w:bCs w:val="1"/>
          <w:color w:val="003366"/>
        </w:rPr>
        <w:t>Goodwill and Other Intangibles</w:t>
      </w: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color w:val="auto"/>
        </w:rPr>
        <w:t>There were no changes in the goodwill balance of $327 million during the first three months of 2026.</w:t>
      </w:r>
    </w:p>
    <w:p>
      <w:pPr>
        <w:spacing w:after="0" w:line="250" w:lineRule="exact"/>
        <w:rPr>
          <w:sz w:val="20"/>
          <w:szCs w:val="20"/>
          <w:color w:val="auto"/>
        </w:rPr>
      </w:pPr>
    </w:p>
    <w:p>
      <w:pPr>
        <w:ind w:right="80"/>
        <w:spacing w:after="0" w:line="274" w:lineRule="auto"/>
        <w:rPr>
          <w:sz w:val="20"/>
          <w:szCs w:val="20"/>
          <w:color w:val="auto"/>
        </w:rPr>
      </w:pPr>
      <w:r>
        <w:rPr>
          <w:rFonts w:ascii="Arial" w:cs="Arial" w:eastAsia="Arial" w:hAnsi="Arial"/>
          <w:sz w:val="17"/>
          <w:szCs w:val="17"/>
          <w:color w:val="auto"/>
        </w:rPr>
        <w:t>Included in other assets in AFG’s Balance Sheet is $184 million at March 31, 2026 and $189 million at December 31, 2025 of amortizable intangible assets related to acquisitions. These amounts are net of accumulated amortization of $80 million and $75 million, respectively. Amortization of intangibles was $5 million in both the first three months of 2026 and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5" w:name="page26"/>
    <w:bookmarkEnd w:id="25"/>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266" w:lineRule="exact"/>
        <w:rPr>
          <w:sz w:val="20"/>
          <w:szCs w:val="20"/>
          <w:color w:val="auto"/>
        </w:rPr>
      </w:pPr>
    </w:p>
    <w:p>
      <w:pPr>
        <w:ind w:left="620" w:hanging="612"/>
        <w:spacing w:after="0"/>
        <w:tabs>
          <w:tab w:leader="none" w:pos="620" w:val="left"/>
        </w:tabs>
        <w:numPr>
          <w:ilvl w:val="0"/>
          <w:numId w:val="19"/>
        </w:numPr>
        <w:rPr>
          <w:rFonts w:ascii="Arial" w:cs="Arial" w:eastAsia="Arial" w:hAnsi="Arial"/>
          <w:sz w:val="29"/>
          <w:szCs w:val="29"/>
          <w:b w:val="1"/>
          <w:bCs w:val="1"/>
          <w:color w:val="003366"/>
        </w:rPr>
      </w:pPr>
      <w:r>
        <w:rPr>
          <w:rFonts w:ascii="Arial" w:cs="Arial" w:eastAsia="Arial" w:hAnsi="Arial"/>
          <w:sz w:val="29"/>
          <w:szCs w:val="29"/>
          <w:b w:val="1"/>
          <w:bCs w:val="1"/>
          <w:color w:val="003366"/>
        </w:rPr>
        <w:t>Long-Term Debt</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color w:val="auto"/>
        </w:rPr>
        <w:t>Long-term debt consisted of the following (in millions):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20" w:type="dxa"/>
            <w:vAlign w:val="bottom"/>
          </w:tcPr>
          <w:p>
            <w:pPr>
              <w:spacing w:after="0"/>
              <w:rPr>
                <w:sz w:val="16"/>
                <w:szCs w:val="16"/>
                <w:color w:val="auto"/>
              </w:rPr>
            </w:pPr>
          </w:p>
        </w:tc>
        <w:tc>
          <w:tcPr>
            <w:tcW w:w="46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color w:val="auto"/>
              </w:rPr>
              <w:t>March 31, 2026</w:t>
            </w: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6"/>
          </w:tcPr>
          <w:p>
            <w:pPr>
              <w:jc w:val="center"/>
              <w:ind w:right="19"/>
              <w:spacing w:after="0"/>
              <w:rPr>
                <w:sz w:val="20"/>
                <w:szCs w:val="20"/>
                <w:color w:val="auto"/>
              </w:rPr>
            </w:pPr>
            <w:r>
              <w:rPr>
                <w:rFonts w:ascii="Arial" w:cs="Arial" w:eastAsia="Arial" w:hAnsi="Arial"/>
                <w:sz w:val="14"/>
                <w:szCs w:val="14"/>
                <w:color w:val="auto"/>
              </w:rPr>
              <w:t>December 31, 2025</w:t>
            </w: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720" w:type="dxa"/>
            <w:vAlign w:val="bottom"/>
          </w:tcPr>
          <w:p>
            <w:pPr>
              <w:spacing w:after="0"/>
              <w:rPr>
                <w:sz w:val="13"/>
                <w:szCs w:val="13"/>
                <w:color w:val="auto"/>
              </w:rPr>
            </w:pPr>
          </w:p>
        </w:tc>
        <w:tc>
          <w:tcPr>
            <w:tcW w:w="4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vMerge w:val="restart"/>
          </w:tcPr>
          <w:p>
            <w:pPr>
              <w:jc w:val="right"/>
              <w:ind w:right="60"/>
              <w:spacing w:after="0"/>
              <w:rPr>
                <w:sz w:val="20"/>
                <w:szCs w:val="20"/>
                <w:color w:val="auto"/>
              </w:rPr>
            </w:pPr>
            <w:r>
              <w:rPr>
                <w:rFonts w:ascii="Arial" w:cs="Arial" w:eastAsia="Arial" w:hAnsi="Arial"/>
                <w:sz w:val="14"/>
                <w:szCs w:val="14"/>
                <w:color w:val="auto"/>
              </w:rPr>
              <w:t>Principal</w:t>
            </w:r>
          </w:p>
        </w:tc>
        <w:tc>
          <w:tcPr>
            <w:tcW w:w="100" w:type="dxa"/>
            <w:vAlign w:val="bottom"/>
          </w:tcPr>
          <w:p>
            <w:pPr>
              <w:spacing w:after="0"/>
              <w:rPr>
                <w:sz w:val="13"/>
                <w:szCs w:val="13"/>
                <w:color w:val="auto"/>
              </w:rPr>
            </w:pPr>
          </w:p>
        </w:tc>
        <w:tc>
          <w:tcPr>
            <w:tcW w:w="1040" w:type="dxa"/>
            <w:vAlign w:val="bottom"/>
            <w:gridSpan w:val="3"/>
          </w:tcPr>
          <w:p>
            <w:pPr>
              <w:jc w:val="center"/>
              <w:ind w:right="80"/>
              <w:spacing w:after="0" w:line="151" w:lineRule="exact"/>
              <w:rPr>
                <w:sz w:val="20"/>
                <w:szCs w:val="20"/>
                <w:color w:val="auto"/>
              </w:rPr>
            </w:pPr>
            <w:r>
              <w:rPr>
                <w:rFonts w:ascii="Arial" w:cs="Arial" w:eastAsia="Arial" w:hAnsi="Arial"/>
                <w:sz w:val="14"/>
                <w:szCs w:val="14"/>
                <w:color w:val="auto"/>
              </w:rPr>
              <w:t>Discount and</w:t>
            </w:r>
          </w:p>
        </w:tc>
        <w:tc>
          <w:tcPr>
            <w:tcW w:w="140" w:type="dxa"/>
            <w:vAlign w:val="bottom"/>
          </w:tcPr>
          <w:p>
            <w:pPr>
              <w:spacing w:after="0"/>
              <w:rPr>
                <w:sz w:val="13"/>
                <w:szCs w:val="13"/>
                <w:color w:val="auto"/>
              </w:rPr>
            </w:pPr>
          </w:p>
        </w:tc>
        <w:tc>
          <w:tcPr>
            <w:tcW w:w="840" w:type="dxa"/>
            <w:vAlign w:val="bottom"/>
            <w:gridSpan w:val="2"/>
          </w:tcPr>
          <w:p>
            <w:pPr>
              <w:jc w:val="center"/>
              <w:ind w:right="260"/>
              <w:spacing w:after="0" w:line="151" w:lineRule="exact"/>
              <w:rPr>
                <w:sz w:val="20"/>
                <w:szCs w:val="20"/>
                <w:color w:val="auto"/>
              </w:rPr>
            </w:pPr>
            <w:r>
              <w:rPr>
                <w:rFonts w:ascii="Arial" w:cs="Arial" w:eastAsia="Arial" w:hAnsi="Arial"/>
                <w:sz w:val="14"/>
                <w:szCs w:val="14"/>
                <w:color w:val="auto"/>
              </w:rPr>
              <w:t>Carrying</w:t>
            </w:r>
          </w:p>
        </w:tc>
        <w:tc>
          <w:tcPr>
            <w:tcW w:w="120" w:type="dxa"/>
            <w:vAlign w:val="bottom"/>
          </w:tcPr>
          <w:p>
            <w:pPr>
              <w:spacing w:after="0"/>
              <w:rPr>
                <w:sz w:val="13"/>
                <w:szCs w:val="13"/>
                <w:color w:val="auto"/>
              </w:rPr>
            </w:pPr>
          </w:p>
        </w:tc>
        <w:tc>
          <w:tcPr>
            <w:tcW w:w="700" w:type="dxa"/>
            <w:vAlign w:val="bottom"/>
            <w:vMerge w:val="restart"/>
          </w:tcPr>
          <w:p>
            <w:pPr>
              <w:jc w:val="right"/>
              <w:ind w:right="20"/>
              <w:spacing w:after="0"/>
              <w:rPr>
                <w:sz w:val="20"/>
                <w:szCs w:val="20"/>
                <w:color w:val="auto"/>
              </w:rPr>
            </w:pPr>
            <w:r>
              <w:rPr>
                <w:rFonts w:ascii="Arial" w:cs="Arial" w:eastAsia="Arial" w:hAnsi="Arial"/>
                <w:sz w:val="14"/>
                <w:szCs w:val="14"/>
                <w:color w:val="auto"/>
              </w:rPr>
              <w:t>Principal</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3"/>
          </w:tcPr>
          <w:p>
            <w:pPr>
              <w:jc w:val="center"/>
              <w:ind w:right="100"/>
              <w:spacing w:after="0" w:line="151" w:lineRule="exact"/>
              <w:rPr>
                <w:sz w:val="20"/>
                <w:szCs w:val="20"/>
                <w:color w:val="auto"/>
              </w:rPr>
            </w:pPr>
            <w:r>
              <w:rPr>
                <w:rFonts w:ascii="Arial" w:cs="Arial" w:eastAsia="Arial" w:hAnsi="Arial"/>
                <w:sz w:val="14"/>
                <w:szCs w:val="14"/>
                <w:color w:val="auto"/>
              </w:rPr>
              <w:t>Discount and</w:t>
            </w:r>
          </w:p>
        </w:tc>
        <w:tc>
          <w:tcPr>
            <w:tcW w:w="140" w:type="dxa"/>
            <w:vAlign w:val="bottom"/>
          </w:tcPr>
          <w:p>
            <w:pPr>
              <w:spacing w:after="0"/>
              <w:rPr>
                <w:sz w:val="13"/>
                <w:szCs w:val="13"/>
                <w:color w:val="auto"/>
              </w:rPr>
            </w:pPr>
          </w:p>
        </w:tc>
        <w:tc>
          <w:tcPr>
            <w:tcW w:w="740" w:type="dxa"/>
            <w:vAlign w:val="bottom"/>
          </w:tcPr>
          <w:p>
            <w:pPr>
              <w:jc w:val="right"/>
              <w:ind w:right="80"/>
              <w:spacing w:after="0" w:line="151" w:lineRule="exact"/>
              <w:rPr>
                <w:sz w:val="20"/>
                <w:szCs w:val="20"/>
                <w:color w:val="auto"/>
              </w:rPr>
            </w:pPr>
            <w:r>
              <w:rPr>
                <w:rFonts w:ascii="Arial" w:cs="Arial" w:eastAsia="Arial" w:hAnsi="Arial"/>
                <w:sz w:val="14"/>
                <w:szCs w:val="14"/>
                <w:color w:val="auto"/>
              </w:rPr>
              <w:t>Carrying</w:t>
            </w:r>
          </w:p>
        </w:tc>
        <w:tc>
          <w:tcPr>
            <w:tcW w:w="0" w:type="dxa"/>
            <w:vAlign w:val="bottom"/>
          </w:tcPr>
          <w:p>
            <w:pPr>
              <w:spacing w:after="0"/>
              <w:rPr>
                <w:sz w:val="1"/>
                <w:szCs w:val="1"/>
                <w:color w:val="auto"/>
              </w:rPr>
            </w:pPr>
          </w:p>
        </w:tc>
      </w:tr>
      <w:tr>
        <w:trPr>
          <w:trHeight w:val="185"/>
        </w:trPr>
        <w:tc>
          <w:tcPr>
            <w:tcW w:w="720" w:type="dxa"/>
            <w:vAlign w:val="bottom"/>
          </w:tcPr>
          <w:p>
            <w:pPr>
              <w:spacing w:after="0"/>
              <w:rPr>
                <w:sz w:val="16"/>
                <w:szCs w:val="16"/>
                <w:color w:val="auto"/>
              </w:rPr>
            </w:pPr>
          </w:p>
        </w:tc>
        <w:tc>
          <w:tcPr>
            <w:tcW w:w="4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3"/>
          </w:tcPr>
          <w:p>
            <w:pPr>
              <w:jc w:val="center"/>
              <w:ind w:right="100"/>
              <w:spacing w:after="0"/>
              <w:rPr>
                <w:sz w:val="20"/>
                <w:szCs w:val="20"/>
                <w:color w:val="auto"/>
              </w:rPr>
            </w:pPr>
            <w:r>
              <w:rPr>
                <w:rFonts w:ascii="Arial" w:cs="Arial" w:eastAsia="Arial" w:hAnsi="Arial"/>
                <w:sz w:val="14"/>
                <w:szCs w:val="14"/>
                <w:color w:val="auto"/>
              </w:rPr>
              <w:t>Issue Costs</w:t>
            </w:r>
          </w:p>
        </w:tc>
        <w:tc>
          <w:tcPr>
            <w:tcW w:w="140" w:type="dxa"/>
            <w:vAlign w:val="bottom"/>
          </w:tcPr>
          <w:p>
            <w:pPr>
              <w:spacing w:after="0"/>
              <w:rPr>
                <w:sz w:val="16"/>
                <w:szCs w:val="16"/>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4"/>
                <w:szCs w:val="14"/>
                <w:color w:val="auto"/>
              </w:rPr>
              <w:t>Value</w:t>
            </w:r>
          </w:p>
        </w:tc>
        <w:tc>
          <w:tcPr>
            <w:tcW w:w="1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color w:val="auto"/>
              </w:rPr>
              <w:t>Issue Costs</w:t>
            </w:r>
          </w:p>
        </w:tc>
        <w:tc>
          <w:tcPr>
            <w:tcW w:w="140" w:type="dxa"/>
            <w:vAlign w:val="bottom"/>
          </w:tcPr>
          <w:p>
            <w:pPr>
              <w:spacing w:after="0"/>
              <w:rPr>
                <w:sz w:val="16"/>
                <w:szCs w:val="16"/>
                <w:color w:val="auto"/>
              </w:rPr>
            </w:pPr>
          </w:p>
        </w:tc>
        <w:tc>
          <w:tcPr>
            <w:tcW w:w="740" w:type="dxa"/>
            <w:vAlign w:val="bottom"/>
          </w:tcPr>
          <w:p>
            <w:pPr>
              <w:jc w:val="right"/>
              <w:ind w:right="180"/>
              <w:spacing w:after="0"/>
              <w:rPr>
                <w:sz w:val="20"/>
                <w:szCs w:val="20"/>
                <w:color w:val="auto"/>
              </w:rPr>
            </w:pPr>
            <w:r>
              <w:rPr>
                <w:rFonts w:ascii="Arial" w:cs="Arial" w:eastAsia="Arial" w:hAnsi="Arial"/>
                <w:sz w:val="14"/>
                <w:szCs w:val="14"/>
                <w:color w:val="auto"/>
              </w:rPr>
              <w:t>Value</w:t>
            </w:r>
          </w:p>
        </w:tc>
        <w:tc>
          <w:tcPr>
            <w:tcW w:w="0" w:type="dxa"/>
            <w:vAlign w:val="bottom"/>
          </w:tcPr>
          <w:p>
            <w:pPr>
              <w:spacing w:after="0"/>
              <w:rPr>
                <w:sz w:val="1"/>
                <w:szCs w:val="1"/>
                <w:color w:val="auto"/>
              </w:rPr>
            </w:pPr>
          </w:p>
        </w:tc>
      </w:tr>
      <w:tr>
        <w:trPr>
          <w:trHeight w:val="196"/>
        </w:trPr>
        <w:tc>
          <w:tcPr>
            <w:tcW w:w="53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Direct Senior Obligations of AFG:</w:t>
            </w: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720" w:type="dxa"/>
            <w:vAlign w:val="bottom"/>
          </w:tcPr>
          <w:p>
            <w:pPr>
              <w:ind w:left="220"/>
              <w:spacing w:after="0"/>
              <w:rPr>
                <w:sz w:val="20"/>
                <w:szCs w:val="20"/>
                <w:color w:val="auto"/>
              </w:rPr>
            </w:pPr>
            <w:r>
              <w:rPr>
                <w:rFonts w:ascii="Arial" w:cs="Arial" w:eastAsia="Arial" w:hAnsi="Arial"/>
                <w:sz w:val="16"/>
                <w:szCs w:val="16"/>
                <w:color w:val="auto"/>
              </w:rPr>
              <w:t>4.50%</w:t>
            </w:r>
          </w:p>
        </w:tc>
        <w:tc>
          <w:tcPr>
            <w:tcW w:w="4640" w:type="dxa"/>
            <w:vAlign w:val="bottom"/>
          </w:tcPr>
          <w:p>
            <w:pPr>
              <w:ind w:left="20"/>
              <w:spacing w:after="0"/>
              <w:rPr>
                <w:sz w:val="20"/>
                <w:szCs w:val="20"/>
                <w:color w:val="auto"/>
              </w:rPr>
            </w:pPr>
            <w:r>
              <w:rPr>
                <w:rFonts w:ascii="Arial" w:cs="Arial" w:eastAsia="Arial" w:hAnsi="Arial"/>
                <w:sz w:val="16"/>
                <w:szCs w:val="16"/>
                <w:color w:val="auto"/>
              </w:rPr>
              <w:t>Senior Notes due June 2047</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567</w:t>
            </w:r>
          </w:p>
        </w:tc>
        <w:tc>
          <w:tcPr>
            <w:tcW w:w="460" w:type="dxa"/>
            <w:vAlign w:val="bottom"/>
            <w:gridSpan w:val="2"/>
          </w:tcPr>
          <w:p>
            <w:pPr>
              <w:jc w:val="right"/>
              <w:ind w:right="185"/>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566</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567</w:t>
            </w:r>
          </w:p>
        </w:tc>
        <w:tc>
          <w:tcPr>
            <w:tcW w:w="26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566</w:t>
            </w:r>
          </w:p>
        </w:tc>
        <w:tc>
          <w:tcPr>
            <w:tcW w:w="0" w:type="dxa"/>
            <w:vAlign w:val="bottom"/>
          </w:tcPr>
          <w:p>
            <w:pPr>
              <w:spacing w:after="0"/>
              <w:rPr>
                <w:sz w:val="1"/>
                <w:szCs w:val="1"/>
                <w:color w:val="auto"/>
              </w:rPr>
            </w:pPr>
          </w:p>
        </w:tc>
      </w:tr>
      <w:tr>
        <w:trPr>
          <w:trHeight w:val="217"/>
        </w:trPr>
        <w:tc>
          <w:tcPr>
            <w:tcW w:w="7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5.00%</w:t>
            </w:r>
          </w:p>
        </w:tc>
        <w:tc>
          <w:tcPr>
            <w:tcW w:w="4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Senior Notes due September 2035</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w:t>
            </w:r>
          </w:p>
        </w:tc>
        <w:tc>
          <w:tcPr>
            <w:tcW w:w="0" w:type="dxa"/>
            <w:vAlign w:val="bottom"/>
          </w:tcPr>
          <w:p>
            <w:pPr>
              <w:spacing w:after="0"/>
              <w:rPr>
                <w:sz w:val="1"/>
                <w:szCs w:val="1"/>
                <w:color w:val="auto"/>
              </w:rPr>
            </w:pPr>
          </w:p>
        </w:tc>
      </w:tr>
      <w:tr>
        <w:trPr>
          <w:trHeight w:val="215"/>
        </w:trPr>
        <w:tc>
          <w:tcPr>
            <w:tcW w:w="720" w:type="dxa"/>
            <w:vAlign w:val="bottom"/>
          </w:tcPr>
          <w:p>
            <w:pPr>
              <w:ind w:left="220"/>
              <w:spacing w:after="0"/>
              <w:rPr>
                <w:sz w:val="20"/>
                <w:szCs w:val="20"/>
                <w:color w:val="auto"/>
              </w:rPr>
            </w:pPr>
            <w:r>
              <w:rPr>
                <w:rFonts w:ascii="Arial" w:cs="Arial" w:eastAsia="Arial" w:hAnsi="Arial"/>
                <w:sz w:val="16"/>
                <w:szCs w:val="16"/>
                <w:color w:val="auto"/>
              </w:rPr>
              <w:t>5.25%</w:t>
            </w:r>
          </w:p>
        </w:tc>
        <w:tc>
          <w:tcPr>
            <w:tcW w:w="4640" w:type="dxa"/>
            <w:vAlign w:val="bottom"/>
          </w:tcPr>
          <w:p>
            <w:pPr>
              <w:ind w:left="20"/>
              <w:spacing w:after="0"/>
              <w:rPr>
                <w:sz w:val="20"/>
                <w:szCs w:val="20"/>
                <w:color w:val="auto"/>
              </w:rPr>
            </w:pPr>
            <w:r>
              <w:rPr>
                <w:rFonts w:ascii="Arial" w:cs="Arial" w:eastAsia="Arial" w:hAnsi="Arial"/>
                <w:sz w:val="16"/>
                <w:szCs w:val="16"/>
                <w:color w:val="auto"/>
              </w:rPr>
              <w:t>Senior Notes due April 2030</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253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250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253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250</w:t>
            </w:r>
          </w:p>
        </w:tc>
        <w:tc>
          <w:tcPr>
            <w:tcW w:w="0" w:type="dxa"/>
            <w:vAlign w:val="bottom"/>
          </w:tcPr>
          <w:p>
            <w:pPr>
              <w:spacing w:after="0"/>
              <w:rPr>
                <w:sz w:val="1"/>
                <w:szCs w:val="1"/>
                <w:color w:val="auto"/>
              </w:rPr>
            </w:pPr>
          </w:p>
        </w:tc>
      </w:tr>
      <w:tr>
        <w:trPr>
          <w:trHeight w:val="216"/>
        </w:trPr>
        <w:tc>
          <w:tcPr>
            <w:tcW w:w="7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4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9"/>
        </w:trPr>
        <w:tc>
          <w:tcPr>
            <w:tcW w:w="720" w:type="dxa"/>
            <w:vAlign w:val="bottom"/>
            <w:tcBorders>
              <w:bottom w:val="single" w:sz="8" w:color="CCEEFF"/>
            </w:tcBorders>
          </w:tcPr>
          <w:p>
            <w:pPr>
              <w:spacing w:after="0"/>
              <w:rPr>
                <w:sz w:val="18"/>
                <w:szCs w:val="18"/>
                <w:color w:val="auto"/>
              </w:rPr>
            </w:pPr>
          </w:p>
        </w:tc>
        <w:tc>
          <w:tcPr>
            <w:tcW w:w="46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1,173</w:t>
            </w:r>
          </w:p>
        </w:tc>
        <w:tc>
          <w:tcPr>
            <w:tcW w:w="10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1,163</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1,173</w:t>
            </w:r>
          </w:p>
        </w:tc>
        <w:tc>
          <w:tcPr>
            <w:tcW w:w="6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1,163</w:t>
            </w:r>
          </w:p>
        </w:tc>
        <w:tc>
          <w:tcPr>
            <w:tcW w:w="0" w:type="dxa"/>
            <w:vAlign w:val="bottom"/>
          </w:tcPr>
          <w:p>
            <w:pPr>
              <w:spacing w:after="0"/>
              <w:rPr>
                <w:sz w:val="1"/>
                <w:szCs w:val="1"/>
                <w:color w:val="auto"/>
              </w:rPr>
            </w:pPr>
          </w:p>
        </w:tc>
      </w:tr>
      <w:tr>
        <w:trPr>
          <w:trHeight w:val="197"/>
        </w:trPr>
        <w:tc>
          <w:tcPr>
            <w:tcW w:w="720" w:type="dxa"/>
            <w:vAlign w:val="bottom"/>
            <w:shd w:val="clear" w:color="auto" w:fill="CCEEFF"/>
          </w:tcPr>
          <w:p>
            <w:pPr>
              <w:spacing w:after="0"/>
              <w:rPr>
                <w:sz w:val="17"/>
                <w:szCs w:val="17"/>
                <w:color w:val="auto"/>
              </w:rPr>
            </w:pPr>
          </w:p>
        </w:tc>
        <w:tc>
          <w:tcPr>
            <w:tcW w:w="4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60" w:type="dxa"/>
            <w:vAlign w:val="bottom"/>
            <w:gridSpan w:val="2"/>
          </w:tcPr>
          <w:p>
            <w:pPr>
              <w:ind w:left="20"/>
              <w:spacing w:after="0"/>
              <w:rPr>
                <w:sz w:val="20"/>
                <w:szCs w:val="20"/>
                <w:color w:val="auto"/>
              </w:rPr>
            </w:pPr>
            <w:r>
              <w:rPr>
                <w:rFonts w:ascii="Arial" w:cs="Arial" w:eastAsia="Arial" w:hAnsi="Arial"/>
                <w:sz w:val="16"/>
                <w:szCs w:val="16"/>
                <w:b w:val="1"/>
                <w:bCs w:val="1"/>
                <w:color w:val="auto"/>
              </w:rPr>
              <w:t>Direct Subordinated Obligations of AFG:</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4.50%</w:t>
            </w:r>
          </w:p>
        </w:tc>
        <w:tc>
          <w:tcPr>
            <w:tcW w:w="4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Subordinated Debentures due September 2060</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w:t>
            </w:r>
          </w:p>
        </w:tc>
        <w:tc>
          <w:tcPr>
            <w:tcW w:w="0" w:type="dxa"/>
            <w:vAlign w:val="bottom"/>
          </w:tcPr>
          <w:p>
            <w:pPr>
              <w:spacing w:after="0"/>
              <w:rPr>
                <w:sz w:val="1"/>
                <w:szCs w:val="1"/>
                <w:color w:val="auto"/>
              </w:rPr>
            </w:pPr>
          </w:p>
        </w:tc>
      </w:tr>
      <w:tr>
        <w:trPr>
          <w:trHeight w:val="215"/>
        </w:trPr>
        <w:tc>
          <w:tcPr>
            <w:tcW w:w="5360" w:type="dxa"/>
            <w:vAlign w:val="bottom"/>
            <w:gridSpan w:val="2"/>
          </w:tcPr>
          <w:p>
            <w:pPr>
              <w:ind w:left="220"/>
              <w:spacing w:after="0"/>
              <w:rPr>
                <w:sz w:val="20"/>
                <w:szCs w:val="20"/>
                <w:color w:val="auto"/>
              </w:rPr>
            </w:pPr>
            <w:r>
              <w:rPr>
                <w:rFonts w:ascii="Arial" w:cs="Arial" w:eastAsia="Arial" w:hAnsi="Arial"/>
                <w:sz w:val="16"/>
                <w:szCs w:val="16"/>
                <w:color w:val="auto"/>
              </w:rPr>
              <w:t>5.125% Subordinated Debentures due December 2059</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200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195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195</w:t>
            </w:r>
          </w:p>
        </w:tc>
        <w:tc>
          <w:tcPr>
            <w:tcW w:w="0" w:type="dxa"/>
            <w:vAlign w:val="bottom"/>
          </w:tcPr>
          <w:p>
            <w:pPr>
              <w:spacing w:after="0"/>
              <w:rPr>
                <w:sz w:val="1"/>
                <w:szCs w:val="1"/>
                <w:color w:val="auto"/>
              </w:rPr>
            </w:pPr>
          </w:p>
        </w:tc>
      </w:tr>
      <w:tr>
        <w:trPr>
          <w:trHeight w:val="217"/>
        </w:trPr>
        <w:tc>
          <w:tcPr>
            <w:tcW w:w="53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5.625% Subordinated Debentures due June 2060</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0" w:type="dxa"/>
            <w:vAlign w:val="bottom"/>
          </w:tcPr>
          <w:p>
            <w:pPr>
              <w:spacing w:after="0"/>
              <w:rPr>
                <w:sz w:val="1"/>
                <w:szCs w:val="1"/>
                <w:color w:val="auto"/>
              </w:rPr>
            </w:pPr>
          </w:p>
        </w:tc>
      </w:tr>
      <w:tr>
        <w:trPr>
          <w:trHeight w:val="215"/>
        </w:trPr>
        <w:tc>
          <w:tcPr>
            <w:tcW w:w="536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5.875% Subordinated Debentures due March 2059</w:t>
            </w: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w:t>
            </w:r>
          </w:p>
        </w:tc>
        <w:tc>
          <w:tcPr>
            <w:tcW w:w="0" w:type="dxa"/>
            <w:vAlign w:val="bottom"/>
          </w:tcPr>
          <w:p>
            <w:pPr>
              <w:spacing w:after="0"/>
              <w:rPr>
                <w:sz w:val="1"/>
                <w:szCs w:val="1"/>
                <w:color w:val="auto"/>
              </w:rPr>
            </w:pPr>
          </w:p>
        </w:tc>
      </w:tr>
      <w:tr>
        <w:trPr>
          <w:trHeight w:val="210"/>
        </w:trPr>
        <w:tc>
          <w:tcPr>
            <w:tcW w:w="720" w:type="dxa"/>
            <w:vAlign w:val="bottom"/>
            <w:shd w:val="clear" w:color="auto" w:fill="CCEEFF"/>
          </w:tcPr>
          <w:p>
            <w:pPr>
              <w:spacing w:after="0"/>
              <w:rPr>
                <w:sz w:val="18"/>
                <w:szCs w:val="18"/>
                <w:color w:val="auto"/>
              </w:rPr>
            </w:pPr>
          </w:p>
        </w:tc>
        <w:tc>
          <w:tcPr>
            <w:tcW w:w="46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675</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657</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675</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657</w:t>
            </w:r>
          </w:p>
        </w:tc>
        <w:tc>
          <w:tcPr>
            <w:tcW w:w="0" w:type="dxa"/>
            <w:vAlign w:val="bottom"/>
          </w:tcPr>
          <w:p>
            <w:pPr>
              <w:spacing w:after="0"/>
              <w:rPr>
                <w:sz w:val="1"/>
                <w:szCs w:val="1"/>
                <w:color w:val="auto"/>
              </w:rPr>
            </w:pPr>
          </w:p>
        </w:tc>
      </w:tr>
      <w:tr>
        <w:trPr>
          <w:trHeight w:val="209"/>
        </w:trPr>
        <w:tc>
          <w:tcPr>
            <w:tcW w:w="7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1,848</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85"/>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1,820</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1,848</w:t>
            </w:r>
          </w:p>
        </w:tc>
        <w:tc>
          <w:tcPr>
            <w:tcW w:w="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1,820</w:t>
            </w:r>
          </w:p>
        </w:tc>
        <w:tc>
          <w:tcPr>
            <w:tcW w:w="0" w:type="dxa"/>
            <w:vAlign w:val="bottom"/>
          </w:tcPr>
          <w:p>
            <w:pPr>
              <w:spacing w:after="0"/>
              <w:rPr>
                <w:sz w:val="1"/>
                <w:szCs w:val="1"/>
                <w:color w:val="auto"/>
              </w:rPr>
            </w:pPr>
          </w:p>
        </w:tc>
      </w:tr>
      <w:tr>
        <w:trPr>
          <w:trHeight w:val="21"/>
        </w:trPr>
        <w:tc>
          <w:tcPr>
            <w:tcW w:w="7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Scheduled principal payments on debt for the balance of 2026, the subsequent five years and thereafter are as follows: 2026 — none; 2027 — none; 2028 — none; 2029 — none; 2030 — $253 million; 2031 — none and thereafter — $1.60 billion.</w:t>
      </w:r>
    </w:p>
    <w:p>
      <w:pPr>
        <w:spacing w:after="0" w:line="185" w:lineRule="exact"/>
        <w:rPr>
          <w:sz w:val="20"/>
          <w:szCs w:val="20"/>
          <w:color w:val="auto"/>
        </w:rPr>
      </w:pPr>
    </w:p>
    <w:p>
      <w:pPr>
        <w:ind w:right="240"/>
        <w:spacing w:after="0" w:line="274" w:lineRule="auto"/>
        <w:rPr>
          <w:sz w:val="20"/>
          <w:szCs w:val="20"/>
          <w:color w:val="auto"/>
        </w:rPr>
      </w:pPr>
      <w:r>
        <w:rPr>
          <w:rFonts w:ascii="Arial" w:cs="Arial" w:eastAsia="Arial" w:hAnsi="Arial"/>
          <w:sz w:val="17"/>
          <w:szCs w:val="17"/>
          <w:color w:val="auto"/>
        </w:rPr>
        <w:t>AFG can borrow up to $450 million under its revolving credit facility, which expires in June 2028. Amounts borrowed under this agreement bear interest at rates ranging from 1.00% to 1.75% (currently 1.25%) over a SOFR-based floating rate. No amounts were borrowed under this facility at March 31, 2026 or December 31, 2025.</w:t>
      </w:r>
    </w:p>
    <w:p>
      <w:pPr>
        <w:spacing w:after="0" w:line="183" w:lineRule="exact"/>
        <w:rPr>
          <w:sz w:val="20"/>
          <w:szCs w:val="20"/>
          <w:color w:val="auto"/>
        </w:rPr>
      </w:pPr>
    </w:p>
    <w:p>
      <w:pPr>
        <w:ind w:left="480" w:hanging="472"/>
        <w:spacing w:after="0"/>
        <w:tabs>
          <w:tab w:leader="none" w:pos="480" w:val="left"/>
        </w:tabs>
        <w:numPr>
          <w:ilvl w:val="0"/>
          <w:numId w:val="20"/>
        </w:numPr>
        <w:rPr>
          <w:rFonts w:ascii="Arial" w:cs="Arial" w:eastAsia="Arial" w:hAnsi="Arial"/>
          <w:sz w:val="29"/>
          <w:szCs w:val="29"/>
          <w:b w:val="1"/>
          <w:bCs w:val="1"/>
          <w:color w:val="003366"/>
        </w:rPr>
      </w:pPr>
      <w:r>
        <w:rPr>
          <w:rFonts w:ascii="Arial" w:cs="Arial" w:eastAsia="Arial" w:hAnsi="Arial"/>
          <w:sz w:val="29"/>
          <w:szCs w:val="29"/>
          <w:b w:val="1"/>
          <w:bCs w:val="1"/>
          <w:color w:val="003366"/>
        </w:rPr>
        <w:t>Shareholders’ Equity</w:t>
      </w:r>
    </w:p>
    <w:p>
      <w:pPr>
        <w:spacing w:after="0" w:line="272" w:lineRule="exact"/>
        <w:rPr>
          <w:sz w:val="20"/>
          <w:szCs w:val="20"/>
          <w:color w:val="auto"/>
        </w:rPr>
      </w:pPr>
    </w:p>
    <w:p>
      <w:pPr>
        <w:ind w:right="420"/>
        <w:spacing w:after="0" w:line="284" w:lineRule="auto"/>
        <w:rPr>
          <w:sz w:val="20"/>
          <w:szCs w:val="20"/>
          <w:color w:val="auto"/>
        </w:rPr>
      </w:pPr>
      <w:r>
        <w:rPr>
          <w:rFonts w:ascii="Arial" w:cs="Arial" w:eastAsia="Arial" w:hAnsi="Arial"/>
          <w:sz w:val="17"/>
          <w:szCs w:val="17"/>
          <w:color w:val="auto"/>
        </w:rPr>
        <w:t>AFG is authorized to issue 12.5 million shares of Voting Preferred Stock and 12.5 million shares of Nonvoting Preferred Stock, each without par value.</w:t>
      </w:r>
    </w:p>
    <w:p>
      <w:pPr>
        <w:spacing w:after="0" w:line="184" w:lineRule="exact"/>
        <w:rPr>
          <w:sz w:val="20"/>
          <w:szCs w:val="20"/>
          <w:color w:val="auto"/>
        </w:rPr>
      </w:pPr>
    </w:p>
    <w:p>
      <w:pPr>
        <w:ind w:right="300"/>
        <w:spacing w:after="0" w:line="249" w:lineRule="auto"/>
        <w:rPr>
          <w:sz w:val="20"/>
          <w:szCs w:val="20"/>
          <w:color w:val="auto"/>
        </w:rPr>
      </w:pPr>
      <w:r>
        <w:rPr>
          <w:rFonts w:ascii="Arial" w:cs="Arial" w:eastAsia="Arial" w:hAnsi="Arial"/>
          <w:sz w:val="20"/>
          <w:szCs w:val="20"/>
          <w:b w:val="1"/>
          <w:bCs w:val="1"/>
          <w:color w:val="003366"/>
        </w:rPr>
        <w:t xml:space="preserve">Accumulated Other Comprehensive Income (Loss), Net of Tax (“AOCI”) </w:t>
      </w:r>
      <w:r>
        <w:rPr>
          <w:rFonts w:ascii="Arial" w:cs="Arial" w:eastAsia="Arial" w:hAnsi="Arial"/>
          <w:sz w:val="17"/>
          <w:szCs w:val="17"/>
          <w:color w:val="000000"/>
        </w:rPr>
        <w:t>Comprehensive income is defined as all changes in</w:t>
      </w:r>
      <w:r>
        <w:rPr>
          <w:rFonts w:ascii="Arial" w:cs="Arial" w:eastAsia="Arial" w:hAnsi="Arial"/>
          <w:sz w:val="20"/>
          <w:szCs w:val="20"/>
          <w:b w:val="1"/>
          <w:bCs w:val="1"/>
          <w:color w:val="003366"/>
        </w:rPr>
        <w:t xml:space="preserve"> </w:t>
      </w:r>
      <w:r>
        <w:rPr>
          <w:rFonts w:ascii="Arial" w:cs="Arial" w:eastAsia="Arial" w:hAnsi="Arial"/>
          <w:sz w:val="17"/>
          <w:szCs w:val="17"/>
          <w:color w:val="000000"/>
        </w:rPr>
        <w:t>shareholders’ equity except those arising from transactions with shareholders. Comprehensive income includes net earnings and other comprehensive income (loss), which consists primarily of changes in net unrealized gains or losses on available for sale fixed maturity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6" w:name="page27"/>
    <w:bookmarkEnd w:id="26"/>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color w:val="auto"/>
        </w:rPr>
        <w:t>The progression of the components of accumulated other comprehensive income (loss) is as follows (in millions):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80" w:type="dxa"/>
            <w:vAlign w:val="bottom"/>
            <w:gridSpan w:val="8"/>
          </w:tcPr>
          <w:p>
            <w:pPr>
              <w:jc w:val="center"/>
              <w:ind w:right="280"/>
              <w:spacing w:after="0"/>
              <w:rPr>
                <w:sz w:val="20"/>
                <w:szCs w:val="20"/>
                <w:color w:val="auto"/>
              </w:rPr>
            </w:pPr>
            <w:r>
              <w:rPr>
                <w:rFonts w:ascii="Arial" w:cs="Arial" w:eastAsia="Arial" w:hAnsi="Arial"/>
                <w:sz w:val="14"/>
                <w:szCs w:val="14"/>
                <w:color w:val="auto"/>
              </w:rPr>
              <w:t>Other Comprehensive Income (Loss)</w:t>
            </w: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20"/>
              <w:spacing w:after="0" w:line="139" w:lineRule="exact"/>
              <w:rPr>
                <w:sz w:val="20"/>
                <w:szCs w:val="20"/>
                <w:color w:val="auto"/>
              </w:rPr>
            </w:pPr>
            <w:r>
              <w:rPr>
                <w:rFonts w:ascii="Arial" w:cs="Arial" w:eastAsia="Arial" w:hAnsi="Arial"/>
                <w:sz w:val="14"/>
                <w:szCs w:val="14"/>
                <w:color w:val="auto"/>
                <w:w w:val="99"/>
              </w:rPr>
              <w:t>AOCI</w:t>
            </w:r>
          </w:p>
        </w:tc>
        <w:tc>
          <w:tcPr>
            <w:tcW w:w="2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vMerge w:val="restart"/>
          </w:tcPr>
          <w:p>
            <w:pPr>
              <w:jc w:val="right"/>
              <w:ind w:right="4"/>
              <w:spacing w:after="0"/>
              <w:rPr>
                <w:sz w:val="20"/>
                <w:szCs w:val="20"/>
                <w:color w:val="auto"/>
              </w:rPr>
            </w:pPr>
            <w:r>
              <w:rPr>
                <w:rFonts w:ascii="Arial" w:cs="Arial" w:eastAsia="Arial" w:hAnsi="Arial"/>
                <w:sz w:val="14"/>
                <w:szCs w:val="14"/>
                <w:color w:val="auto"/>
              </w:rPr>
              <w:t>AOCI Ending</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rPr>
              <w:t>Beginning</w:t>
            </w:r>
          </w:p>
        </w:tc>
        <w:tc>
          <w:tcPr>
            <w:tcW w:w="200" w:type="dxa"/>
            <w:vAlign w:val="bottom"/>
          </w:tcPr>
          <w:p>
            <w:pPr>
              <w:spacing w:after="0"/>
              <w:rPr>
                <w:sz w:val="12"/>
                <w:szCs w:val="12"/>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4"/>
                <w:szCs w:val="14"/>
                <w:color w:val="auto"/>
              </w:rPr>
              <w:t>Pretax</w:t>
            </w:r>
          </w:p>
        </w:tc>
        <w:tc>
          <w:tcPr>
            <w:tcW w:w="240" w:type="dxa"/>
            <w:vAlign w:val="bottom"/>
          </w:tcPr>
          <w:p>
            <w:pPr>
              <w:spacing w:after="0"/>
              <w:rPr>
                <w:sz w:val="12"/>
                <w:szCs w:val="12"/>
                <w:color w:val="auto"/>
              </w:rPr>
            </w:pPr>
          </w:p>
        </w:tc>
        <w:tc>
          <w:tcPr>
            <w:tcW w:w="860" w:type="dxa"/>
            <w:vAlign w:val="bottom"/>
            <w:gridSpan w:val="2"/>
            <w:vMerge w:val="restart"/>
          </w:tcPr>
          <w:p>
            <w:pPr>
              <w:jc w:val="center"/>
              <w:ind w:right="340"/>
              <w:spacing w:after="0"/>
              <w:rPr>
                <w:sz w:val="20"/>
                <w:szCs w:val="20"/>
                <w:color w:val="auto"/>
              </w:rPr>
            </w:pPr>
            <w:r>
              <w:rPr>
                <w:rFonts w:ascii="Arial" w:cs="Arial" w:eastAsia="Arial" w:hAnsi="Arial"/>
                <w:sz w:val="14"/>
                <w:szCs w:val="14"/>
                <w:color w:val="auto"/>
              </w:rPr>
              <w:t>Tax</w:t>
            </w:r>
          </w:p>
        </w:tc>
        <w:tc>
          <w:tcPr>
            <w:tcW w:w="140" w:type="dxa"/>
            <w:vAlign w:val="bottom"/>
          </w:tcPr>
          <w:p>
            <w:pPr>
              <w:spacing w:after="0"/>
              <w:rPr>
                <w:sz w:val="12"/>
                <w:szCs w:val="12"/>
                <w:color w:val="auto"/>
              </w:rPr>
            </w:pPr>
          </w:p>
        </w:tc>
        <w:tc>
          <w:tcPr>
            <w:tcW w:w="940" w:type="dxa"/>
            <w:vAlign w:val="bottom"/>
            <w:gridSpan w:val="2"/>
            <w:vMerge w:val="restart"/>
          </w:tcPr>
          <w:p>
            <w:pPr>
              <w:ind w:left="40"/>
              <w:spacing w:after="0"/>
              <w:rPr>
                <w:sz w:val="20"/>
                <w:szCs w:val="20"/>
                <w:color w:val="auto"/>
              </w:rPr>
            </w:pPr>
            <w:r>
              <w:rPr>
                <w:rFonts w:ascii="Arial" w:cs="Arial" w:eastAsia="Arial" w:hAnsi="Arial"/>
                <w:sz w:val="14"/>
                <w:szCs w:val="14"/>
                <w:color w:val="auto"/>
              </w:rPr>
              <w:t>Net of tax</w:t>
            </w: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color w:val="auto"/>
              </w:rPr>
              <w:t>Balance</w:t>
            </w:r>
          </w:p>
        </w:tc>
        <w:tc>
          <w:tcPr>
            <w:tcW w:w="2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ind w:right="164"/>
              <w:spacing w:after="0"/>
              <w:rPr>
                <w:sz w:val="20"/>
                <w:szCs w:val="20"/>
                <w:color w:val="auto"/>
              </w:rPr>
            </w:pPr>
            <w:r>
              <w:rPr>
                <w:rFonts w:ascii="Arial" w:cs="Arial" w:eastAsia="Arial" w:hAnsi="Arial"/>
                <w:sz w:val="14"/>
                <w:szCs w:val="14"/>
                <w:color w:val="auto"/>
              </w:rPr>
              <w:t>Balance</w:t>
            </w:r>
          </w:p>
        </w:tc>
        <w:tc>
          <w:tcPr>
            <w:tcW w:w="0" w:type="dxa"/>
            <w:vAlign w:val="bottom"/>
          </w:tcPr>
          <w:p>
            <w:pPr>
              <w:spacing w:after="0"/>
              <w:rPr>
                <w:sz w:val="1"/>
                <w:szCs w:val="1"/>
                <w:color w:val="auto"/>
              </w:rPr>
            </w:pPr>
          </w:p>
        </w:tc>
      </w:tr>
      <w:tr>
        <w:trPr>
          <w:trHeight w:val="142"/>
        </w:trPr>
        <w:tc>
          <w:tcPr>
            <w:tcW w:w="20" w:type="dxa"/>
            <w:vAlign w:val="bottom"/>
            <w:tcBorders>
              <w:top w:val="single" w:sz="8" w:color="CCEEFF"/>
            </w:tcBorders>
            <w:shd w:val="clear" w:color="auto" w:fill="CCEEFF"/>
          </w:tcPr>
          <w:p>
            <w:pPr>
              <w:spacing w:after="0"/>
              <w:rPr>
                <w:sz w:val="12"/>
                <w:szCs w:val="12"/>
                <w:color w:val="auto"/>
              </w:rPr>
            </w:pPr>
          </w:p>
        </w:tc>
        <w:tc>
          <w:tcPr>
            <w:tcW w:w="5820" w:type="dxa"/>
            <w:vAlign w:val="bottom"/>
            <w:tcBorders>
              <w:top w:val="single" w:sz="8" w:color="CCEEFF"/>
            </w:tcBorders>
            <w:gridSpan w:val="2"/>
            <w:shd w:val="clear" w:color="auto" w:fill="CCEEFF"/>
          </w:tcPr>
          <w:p>
            <w:pPr>
              <w:spacing w:after="0" w:line="142" w:lineRule="exact"/>
              <w:rPr>
                <w:sz w:val="20"/>
                <w:szCs w:val="20"/>
                <w:color w:val="auto"/>
              </w:rPr>
            </w:pPr>
            <w:r>
              <w:rPr>
                <w:rFonts w:ascii="Arial" w:cs="Arial" w:eastAsia="Arial" w:hAnsi="Arial"/>
                <w:sz w:val="15"/>
                <w:szCs w:val="15"/>
                <w:b w:val="1"/>
                <w:bCs w:val="1"/>
                <w:color w:val="auto"/>
              </w:rPr>
              <w:t>Three months ended March 31, 2026</w:t>
            </w:r>
          </w:p>
        </w:tc>
        <w:tc>
          <w:tcPr>
            <w:tcW w:w="14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640" w:type="dxa"/>
            <w:vAlign w:val="bottom"/>
            <w:tcBorders>
              <w:top w:val="single" w:sz="8" w:color="auto"/>
            </w:tcBorders>
            <w:shd w:val="clear" w:color="auto" w:fill="CCEEFF"/>
          </w:tcPr>
          <w:p>
            <w:pPr>
              <w:spacing w:after="0" w:line="20" w:lineRule="exact"/>
              <w:rPr>
                <w:sz w:val="1"/>
                <w:szCs w:val="1"/>
                <w:color w:val="auto"/>
              </w:rPr>
            </w:pPr>
          </w:p>
        </w:tc>
        <w:tc>
          <w:tcPr>
            <w:tcW w:w="3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5820" w:type="dxa"/>
            <w:vAlign w:val="bottom"/>
            <w:gridSpan w:val="2"/>
          </w:tcPr>
          <w:p>
            <w:pPr>
              <w:spacing w:after="0"/>
              <w:rPr>
                <w:sz w:val="20"/>
                <w:szCs w:val="20"/>
                <w:color w:val="auto"/>
              </w:rPr>
            </w:pPr>
            <w:r>
              <w:rPr>
                <w:rFonts w:ascii="Arial" w:cs="Arial" w:eastAsia="Arial" w:hAnsi="Arial"/>
                <w:sz w:val="15"/>
                <w:szCs w:val="15"/>
                <w:color w:val="auto"/>
              </w:rPr>
              <w:t>Net unrealized gains (losses) on securities:</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582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Unrealized holding gains (losses) on securities arising during the period</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(82)</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Borders>
              <w:bottom w:val="single" w:sz="8" w:color="CCEEFF"/>
            </w:tcBorders>
          </w:tcPr>
          <w:p>
            <w:pPr>
              <w:spacing w:after="0"/>
              <w:rPr>
                <w:sz w:val="17"/>
                <w:szCs w:val="17"/>
                <w:color w:val="auto"/>
              </w:rPr>
            </w:pPr>
          </w:p>
        </w:tc>
        <w:tc>
          <w:tcPr>
            <w:tcW w:w="5820" w:type="dxa"/>
            <w:vAlign w:val="bottom"/>
            <w:tcBorders>
              <w:bottom w:val="single" w:sz="8" w:color="CCEEFF"/>
            </w:tcBorders>
            <w:gridSpan w:val="2"/>
          </w:tcPr>
          <w:p>
            <w:pPr>
              <w:ind w:left="160"/>
              <w:spacing w:after="0"/>
              <w:rPr>
                <w:sz w:val="20"/>
                <w:szCs w:val="20"/>
                <w:color w:val="auto"/>
              </w:rPr>
            </w:pPr>
            <w:r>
              <w:rPr>
                <w:rFonts w:ascii="Arial" w:cs="Arial" w:eastAsia="Arial" w:hAnsi="Arial"/>
                <w:sz w:val="15"/>
                <w:szCs w:val="15"/>
                <w:color w:val="auto"/>
              </w:rPr>
              <w:t>Reclassification adjustment for realized (gains) losses included in net earnings (*)</w:t>
            </w:r>
          </w:p>
        </w:tc>
        <w:tc>
          <w:tcPr>
            <w:tcW w:w="14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4</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5820" w:type="dxa"/>
            <w:vAlign w:val="bottom"/>
            <w:gridSpan w:val="2"/>
            <w:shd w:val="clear" w:color="auto" w:fill="CCEEFF"/>
          </w:tcPr>
          <w:p>
            <w:pPr>
              <w:ind w:left="500"/>
              <w:spacing w:after="0"/>
              <w:rPr>
                <w:sz w:val="20"/>
                <w:szCs w:val="20"/>
                <w:color w:val="auto"/>
              </w:rPr>
            </w:pPr>
            <w:r>
              <w:rPr>
                <w:rFonts w:ascii="Arial" w:cs="Arial" w:eastAsia="Arial" w:hAnsi="Arial"/>
                <w:sz w:val="15"/>
                <w:szCs w:val="15"/>
                <w:color w:val="auto"/>
              </w:rPr>
              <w:t>Total net unrealized gains (losses) on securities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(78)</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820" w:type="dxa"/>
            <w:vAlign w:val="bottom"/>
            <w:gridSpan w:val="2"/>
          </w:tcPr>
          <w:p>
            <w:pPr>
              <w:spacing w:after="0"/>
              <w:rPr>
                <w:sz w:val="20"/>
                <w:szCs w:val="20"/>
                <w:color w:val="auto"/>
              </w:rPr>
            </w:pPr>
            <w:r>
              <w:rPr>
                <w:rFonts w:ascii="Arial" w:cs="Arial" w:eastAsia="Arial" w:hAnsi="Arial"/>
                <w:sz w:val="15"/>
                <w:szCs w:val="15"/>
                <w:color w:val="auto"/>
              </w:rPr>
              <w:t>Net unrealized gains (losses) on cash flow hedges:</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582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Unrealized holding gains (losses) on cash flow hedges arising during the period</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820" w:type="dxa"/>
            <w:vAlign w:val="bottom"/>
            <w:gridSpan w:val="2"/>
          </w:tcPr>
          <w:p>
            <w:pPr>
              <w:ind w:left="160"/>
              <w:spacing w:after="0"/>
              <w:rPr>
                <w:sz w:val="20"/>
                <w:szCs w:val="20"/>
                <w:color w:val="auto"/>
              </w:rPr>
            </w:pPr>
            <w:r>
              <w:rPr>
                <w:rFonts w:ascii="Arial" w:cs="Arial" w:eastAsia="Arial" w:hAnsi="Arial"/>
                <w:sz w:val="15"/>
                <w:szCs w:val="15"/>
                <w:color w:val="auto"/>
              </w:rPr>
              <w:t>Reclassification adjustment for investment income included in net earnings (*)</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860" w:type="dxa"/>
            <w:vAlign w:val="bottom"/>
          </w:tcPr>
          <w:p>
            <w:pPr>
              <w:jc w:val="right"/>
              <w:ind w:right="4"/>
              <w:spacing w:after="0"/>
              <w:rPr>
                <w:sz w:val="20"/>
                <w:szCs w:val="20"/>
                <w:color w:val="auto"/>
              </w:rPr>
            </w:pPr>
            <w:r>
              <w:rPr>
                <w:rFonts w:ascii="Arial" w:cs="Arial" w:eastAsia="Arial" w:hAnsi="Arial"/>
                <w:sz w:val="15"/>
                <w:szCs w:val="15"/>
                <w:color w:val="auto"/>
              </w:rPr>
              <w:t>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Borders>
              <w:top w:val="single" w:sz="8" w:color="CCEEFF"/>
            </w:tcBorders>
            <w:shd w:val="clear" w:color="auto" w:fill="CCEEFF"/>
          </w:tcPr>
          <w:p>
            <w:pPr>
              <w:spacing w:after="0"/>
              <w:rPr>
                <w:sz w:val="17"/>
                <w:szCs w:val="17"/>
                <w:color w:val="auto"/>
              </w:rPr>
            </w:pPr>
          </w:p>
        </w:tc>
        <w:tc>
          <w:tcPr>
            <w:tcW w:w="5820" w:type="dxa"/>
            <w:vAlign w:val="bottom"/>
            <w:tcBorders>
              <w:top w:val="single" w:sz="8" w:color="CCEEFF"/>
            </w:tcBorders>
            <w:gridSpan w:val="2"/>
            <w:shd w:val="clear" w:color="auto" w:fill="CCEEFF"/>
          </w:tcPr>
          <w:p>
            <w:pPr>
              <w:ind w:left="500"/>
              <w:spacing w:after="0"/>
              <w:rPr>
                <w:sz w:val="20"/>
                <w:szCs w:val="20"/>
                <w:color w:val="auto"/>
              </w:rPr>
            </w:pPr>
            <w:r>
              <w:rPr>
                <w:rFonts w:ascii="Arial" w:cs="Arial" w:eastAsia="Arial" w:hAnsi="Arial"/>
                <w:sz w:val="15"/>
                <w:szCs w:val="15"/>
                <w:color w:val="auto"/>
              </w:rPr>
              <w:t>Total net unrealized gains (losses) on cash flow hedges</w:t>
            </w:r>
          </w:p>
        </w:tc>
        <w:tc>
          <w:tcPr>
            <w:tcW w:w="14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820" w:type="dxa"/>
            <w:vAlign w:val="bottom"/>
            <w:gridSpan w:val="2"/>
          </w:tcPr>
          <w:p>
            <w:pPr>
              <w:spacing w:after="0"/>
              <w:rPr>
                <w:sz w:val="20"/>
                <w:szCs w:val="20"/>
                <w:color w:val="auto"/>
              </w:rPr>
            </w:pPr>
            <w:r>
              <w:rPr>
                <w:rFonts w:ascii="Arial" w:cs="Arial" w:eastAsia="Arial" w:hAnsi="Arial"/>
                <w:sz w:val="15"/>
                <w:szCs w:val="15"/>
                <w:color w:val="auto"/>
              </w:rPr>
              <w:t>Foreign currency translation adjustments</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(28)</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(28)</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Pension and other postretirement plan adjustments</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820" w:type="dxa"/>
            <w:vAlign w:val="bottom"/>
            <w:gridSpan w:val="2"/>
          </w:tcPr>
          <w:p>
            <w:pPr>
              <w:ind w:left="760"/>
              <w:spacing w:after="0"/>
              <w:rPr>
                <w:sz w:val="20"/>
                <w:szCs w:val="20"/>
                <w:color w:val="auto"/>
              </w:rPr>
            </w:pPr>
            <w:r>
              <w:rPr>
                <w:rFonts w:ascii="Arial" w:cs="Arial" w:eastAsia="Arial" w:hAnsi="Arial"/>
                <w:sz w:val="15"/>
                <w:szCs w:val="15"/>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(50)</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(97)</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5"/>
                <w:szCs w:val="15"/>
                <w:color w:val="auto"/>
                <w:w w:val="9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20</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(77)</w:t>
            </w: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(127)</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640" w:type="dxa"/>
            <w:vAlign w:val="bottom"/>
            <w:tcBorders>
              <w:bottom w:val="single" w:sz="8" w:color="CCEEFF"/>
            </w:tcBorders>
          </w:tcPr>
          <w:p>
            <w:pPr>
              <w:spacing w:after="0" w:line="20" w:lineRule="exact"/>
              <w:rPr>
                <w:sz w:val="1"/>
                <w:szCs w:val="1"/>
                <w:color w:val="auto"/>
              </w:rPr>
            </w:pPr>
          </w:p>
        </w:tc>
        <w:tc>
          <w:tcPr>
            <w:tcW w:w="31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2640" w:type="dxa"/>
            <w:vAlign w:val="bottom"/>
            <w:shd w:val="clear" w:color="auto" w:fill="CCEEFF"/>
          </w:tcPr>
          <w:p>
            <w:pPr>
              <w:spacing w:after="0"/>
              <w:rPr>
                <w:sz w:val="15"/>
                <w:szCs w:val="15"/>
                <w:color w:val="auto"/>
              </w:rPr>
            </w:pPr>
          </w:p>
        </w:tc>
        <w:tc>
          <w:tcPr>
            <w:tcW w:w="3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20" w:type="dxa"/>
            <w:vAlign w:val="bottom"/>
            <w:gridSpan w:val="2"/>
          </w:tcPr>
          <w:p>
            <w:pPr>
              <w:spacing w:after="0" w:line="162" w:lineRule="exact"/>
              <w:rPr>
                <w:sz w:val="20"/>
                <w:szCs w:val="20"/>
                <w:color w:val="auto"/>
              </w:rPr>
            </w:pPr>
            <w:r>
              <w:rPr>
                <w:rFonts w:ascii="Arial" w:cs="Arial" w:eastAsia="Arial" w:hAnsi="Arial"/>
                <w:sz w:val="15"/>
                <w:szCs w:val="15"/>
                <w:b w:val="1"/>
                <w:bCs w:val="1"/>
                <w:color w:val="auto"/>
              </w:rPr>
              <w:t>Three months ended March 31, 2025</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640" w:type="dxa"/>
            <w:vAlign w:val="bottom"/>
            <w:tcBorders>
              <w:top w:val="single" w:sz="8" w:color="auto"/>
            </w:tcBorders>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Net unrealized gains (losses) on securities:</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820" w:type="dxa"/>
            <w:vAlign w:val="bottom"/>
            <w:gridSpan w:val="2"/>
          </w:tcPr>
          <w:p>
            <w:pPr>
              <w:ind w:left="160"/>
              <w:spacing w:after="0"/>
              <w:rPr>
                <w:sz w:val="20"/>
                <w:szCs w:val="20"/>
                <w:color w:val="auto"/>
              </w:rPr>
            </w:pPr>
            <w:r>
              <w:rPr>
                <w:rFonts w:ascii="Arial" w:cs="Arial" w:eastAsia="Arial" w:hAnsi="Arial"/>
                <w:sz w:val="15"/>
                <w:szCs w:val="15"/>
                <w:color w:val="auto"/>
              </w:rPr>
              <w:t>Unrealized holding gains (losses) on securities arising during the period</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69</w:t>
            </w:r>
          </w:p>
        </w:tc>
        <w:tc>
          <w:tcPr>
            <w:tcW w:w="100" w:type="dxa"/>
            <w:vAlign w:val="bottom"/>
          </w:tcPr>
          <w:p>
            <w:pPr>
              <w:spacing w:after="0"/>
              <w:rPr>
                <w:sz w:val="17"/>
                <w:szCs w:val="17"/>
                <w:color w:val="auto"/>
              </w:rPr>
            </w:pPr>
          </w:p>
        </w:tc>
        <w:tc>
          <w:tcPr>
            <w:tcW w:w="240" w:type="dxa"/>
            <w:vAlign w:val="bottom"/>
          </w:tcPr>
          <w:p>
            <w:pPr>
              <w:jc w:val="right"/>
              <w:ind w:right="64"/>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(14)</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ind w:right="4"/>
              <w:spacing w:after="0"/>
              <w:rPr>
                <w:sz w:val="20"/>
                <w:szCs w:val="20"/>
                <w:color w:val="auto"/>
              </w:rPr>
            </w:pPr>
            <w:r>
              <w:rPr>
                <w:rFonts w:ascii="Arial" w:cs="Arial" w:eastAsia="Arial" w:hAnsi="Arial"/>
                <w:sz w:val="15"/>
                <w:szCs w:val="15"/>
                <w:color w:val="auto"/>
              </w:rPr>
              <w:t>55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582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Reclassification adjustment for realized (gains) losses included in net earnings (*)</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6</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820" w:type="dxa"/>
            <w:vAlign w:val="bottom"/>
            <w:gridSpan w:val="2"/>
          </w:tcPr>
          <w:p>
            <w:pPr>
              <w:ind w:left="500"/>
              <w:spacing w:after="0"/>
              <w:rPr>
                <w:sz w:val="20"/>
                <w:szCs w:val="20"/>
                <w:color w:val="auto"/>
              </w:rPr>
            </w:pPr>
            <w:r>
              <w:rPr>
                <w:rFonts w:ascii="Arial" w:cs="Arial" w:eastAsia="Arial" w:hAnsi="Arial"/>
                <w:sz w:val="15"/>
                <w:szCs w:val="15"/>
                <w:color w:val="auto"/>
              </w:rPr>
              <w:t>Total net unrealized gains (losses) on securities</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(202)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76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4"/>
              <w:spacing w:after="0"/>
              <w:rPr>
                <w:sz w:val="20"/>
                <w:szCs w:val="20"/>
                <w:color w:val="auto"/>
              </w:rPr>
            </w:pPr>
            <w:r>
              <w:rPr>
                <w:rFonts w:ascii="Arial" w:cs="Arial" w:eastAsia="Arial" w:hAnsi="Arial"/>
                <w:sz w:val="15"/>
                <w:szCs w:val="15"/>
                <w:color w:val="auto"/>
              </w:rPr>
              <w:t>61</w:t>
            </w:r>
          </w:p>
        </w:tc>
        <w:tc>
          <w:tcPr>
            <w:tcW w:w="8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(141)</w:t>
            </w: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Net unrealized gains (losses) on cash flow hedges:</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820" w:type="dxa"/>
            <w:vAlign w:val="bottom"/>
            <w:gridSpan w:val="2"/>
          </w:tcPr>
          <w:p>
            <w:pPr>
              <w:ind w:left="160"/>
              <w:spacing w:after="0"/>
              <w:rPr>
                <w:sz w:val="20"/>
                <w:szCs w:val="20"/>
                <w:color w:val="auto"/>
              </w:rPr>
            </w:pPr>
            <w:r>
              <w:rPr>
                <w:rFonts w:ascii="Arial" w:cs="Arial" w:eastAsia="Arial" w:hAnsi="Arial"/>
                <w:sz w:val="15"/>
                <w:szCs w:val="15"/>
                <w:color w:val="auto"/>
              </w:rPr>
              <w:t>Unrealized holding gains (losses) on cash flow hedges arising during the period</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860" w:type="dxa"/>
            <w:vAlign w:val="bottom"/>
          </w:tcPr>
          <w:p>
            <w:pPr>
              <w:jc w:val="right"/>
              <w:ind w:right="4"/>
              <w:spacing w:after="0"/>
              <w:rPr>
                <w:sz w:val="20"/>
                <w:szCs w:val="20"/>
                <w:color w:val="auto"/>
              </w:rPr>
            </w:pPr>
            <w:r>
              <w:rPr>
                <w:rFonts w:ascii="Arial" w:cs="Arial" w:eastAsia="Arial" w:hAnsi="Arial"/>
                <w:sz w:val="15"/>
                <w:szCs w:val="15"/>
                <w:color w:val="auto"/>
              </w:rPr>
              <w:t>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582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Reclassification adjustment for investment income included in net earnings (*)</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820" w:type="dxa"/>
            <w:vAlign w:val="bottom"/>
            <w:gridSpan w:val="2"/>
          </w:tcPr>
          <w:p>
            <w:pPr>
              <w:ind w:left="500"/>
              <w:spacing w:after="0"/>
              <w:rPr>
                <w:sz w:val="20"/>
                <w:szCs w:val="20"/>
                <w:color w:val="auto"/>
              </w:rPr>
            </w:pPr>
            <w:r>
              <w:rPr>
                <w:rFonts w:ascii="Arial" w:cs="Arial" w:eastAsia="Arial" w:hAnsi="Arial"/>
                <w:sz w:val="15"/>
                <w:szCs w:val="15"/>
                <w:color w:val="auto"/>
              </w:rPr>
              <w:t>Total net unrealized gains (losses) on cash flow hedges</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4"/>
              <w:spacing w:after="0"/>
              <w:rPr>
                <w:sz w:val="20"/>
                <w:szCs w:val="20"/>
                <w:color w:val="auto"/>
              </w:rPr>
            </w:pPr>
            <w:r>
              <w:rPr>
                <w:rFonts w:ascii="Arial" w:cs="Arial" w:eastAsia="Arial" w:hAnsi="Arial"/>
                <w:sz w:val="15"/>
                <w:szCs w:val="15"/>
                <w:color w:val="auto"/>
              </w:rPr>
              <w:t>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(7)</w:t>
            </w: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Foreign currency translation adjustments</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820" w:type="dxa"/>
            <w:vAlign w:val="bottom"/>
            <w:gridSpan w:val="2"/>
          </w:tcPr>
          <w:p>
            <w:pPr>
              <w:spacing w:after="0"/>
              <w:rPr>
                <w:sz w:val="20"/>
                <w:szCs w:val="20"/>
                <w:color w:val="auto"/>
              </w:rPr>
            </w:pPr>
            <w:r>
              <w:rPr>
                <w:rFonts w:ascii="Arial" w:cs="Arial" w:eastAsia="Arial" w:hAnsi="Arial"/>
                <w:sz w:val="15"/>
                <w:szCs w:val="15"/>
                <w:color w:val="auto"/>
              </w:rPr>
              <w:t>Pension and other postretirement plan adjustments</w:t>
            </w:r>
          </w:p>
        </w:tc>
        <w:tc>
          <w:tcPr>
            <w:tcW w:w="140" w:type="dxa"/>
            <w:vAlign w:val="bottom"/>
          </w:tcPr>
          <w:p>
            <w:pPr>
              <w:spacing w:after="0"/>
              <w:rPr>
                <w:sz w:val="17"/>
                <w:szCs w:val="17"/>
                <w:color w:val="auto"/>
              </w:rPr>
            </w:pPr>
          </w:p>
        </w:tc>
        <w:tc>
          <w:tcPr>
            <w:tcW w:w="880" w:type="dxa"/>
            <w:vAlign w:val="bottom"/>
          </w:tcPr>
          <w:p>
            <w:pPr>
              <w:jc w:val="right"/>
              <w:ind w:right="5"/>
              <w:spacing w:after="0"/>
              <w:rPr>
                <w:sz w:val="20"/>
                <w:szCs w:val="20"/>
                <w:color w:val="auto"/>
              </w:rPr>
            </w:pPr>
            <w:r>
              <w:rPr>
                <w:rFonts w:ascii="Arial" w:cs="Arial" w:eastAsia="Arial" w:hAnsi="Arial"/>
                <w:sz w:val="15"/>
                <w:szCs w:val="15"/>
                <w:color w:val="auto"/>
              </w:rPr>
              <w:t>2</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22"/>
        </w:trPr>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5820" w:type="dxa"/>
            <w:vAlign w:val="bottom"/>
            <w:tcBorders>
              <w:top w:val="single" w:sz="8" w:color="CCEEFF"/>
              <w:bottom w:val="single" w:sz="8" w:color="CCEEFF"/>
            </w:tcBorders>
            <w:gridSpan w:val="2"/>
            <w:shd w:val="clear" w:color="auto" w:fill="CCEEFF"/>
          </w:tcPr>
          <w:p>
            <w:pPr>
              <w:ind w:left="760"/>
              <w:spacing w:after="0"/>
              <w:rPr>
                <w:sz w:val="20"/>
                <w:szCs w:val="20"/>
                <w:color w:val="auto"/>
              </w:rPr>
            </w:pPr>
            <w:r>
              <w:rPr>
                <w:rFonts w:ascii="Arial" w:cs="Arial" w:eastAsia="Arial" w:hAnsi="Arial"/>
                <w:sz w:val="15"/>
                <w:szCs w:val="15"/>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61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640" w:type="dxa"/>
            <w:vAlign w:val="bottom"/>
            <w:tcBorders>
              <w:top w:val="single" w:sz="8" w:color="CCEEFF"/>
            </w:tcBorders>
          </w:tcPr>
          <w:p>
            <w:pPr>
              <w:spacing w:after="0" w:line="20" w:lineRule="exact"/>
              <w:rPr>
                <w:sz w:val="1"/>
                <w:szCs w:val="1"/>
                <w:color w:val="auto"/>
              </w:rPr>
            </w:pPr>
          </w:p>
        </w:tc>
        <w:tc>
          <w:tcPr>
            <w:tcW w:w="3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ind w:left="400" w:hanging="392"/>
        <w:spacing w:after="0"/>
        <w:tabs>
          <w:tab w:leader="none" w:pos="4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reclassification adjustments affected the following lines in AFG’s Statement of Earnings:</w:t>
      </w:r>
    </w:p>
    <w:p>
      <w:pPr>
        <w:sectPr>
          <w:pgSz w:w="11900" w:h="16838" w:orient="portrait"/>
          <w:cols w:equalWidth="0" w:num="1">
            <w:col w:w="11240"/>
          </w:cols>
          <w:pgMar w:left="320" w:top="115" w:right="339" w:bottom="1440" w:gutter="0" w:footer="0" w:header="0"/>
        </w:sectPr>
      </w:pPr>
    </w:p>
    <w:p>
      <w:pPr>
        <w:spacing w:after="0" w:line="52" w:lineRule="exact"/>
        <w:rPr>
          <w:sz w:val="20"/>
          <w:szCs w:val="20"/>
          <w:color w:val="auto"/>
        </w:rPr>
      </w:pPr>
    </w:p>
    <w:p>
      <w:pPr>
        <w:ind w:left="520"/>
        <w:spacing w:after="0"/>
        <w:rPr>
          <w:sz w:val="20"/>
          <w:szCs w:val="20"/>
          <w:color w:val="auto"/>
        </w:rPr>
      </w:pPr>
      <w:r>
        <w:rPr>
          <w:rFonts w:ascii="Arial" w:cs="Arial" w:eastAsia="Arial" w:hAnsi="Arial"/>
          <w:sz w:val="15"/>
          <w:szCs w:val="15"/>
          <w:color w:val="auto"/>
        </w:rPr>
        <w:t>OCI component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21590</wp:posOffset>
            </wp:positionV>
            <wp:extent cx="302577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025775" cy="8255"/>
                    </a:xfrm>
                    <a:prstGeom prst="rect">
                      <a:avLst/>
                    </a:prstGeom>
                    <a:noFill/>
                  </pic:spPr>
                </pic:pic>
              </a:graphicData>
            </a:graphic>
          </wp:anchor>
        </w:drawing>
      </w:r>
    </w:p>
    <w:p>
      <w:pPr>
        <w:spacing w:after="0" w:line="24" w:lineRule="exact"/>
        <w:rPr>
          <w:sz w:val="20"/>
          <w:szCs w:val="20"/>
          <w:color w:val="auto"/>
        </w:rPr>
      </w:pPr>
    </w:p>
    <w:p>
      <w:pPr>
        <w:ind w:left="520" w:right="160"/>
        <w:spacing w:after="0" w:line="321" w:lineRule="auto"/>
        <w:rPr>
          <w:sz w:val="20"/>
          <w:szCs w:val="20"/>
          <w:color w:val="auto"/>
        </w:rPr>
      </w:pPr>
      <w:r>
        <w:rPr>
          <w:rFonts w:ascii="Arial" w:cs="Arial" w:eastAsia="Arial" w:hAnsi="Arial"/>
          <w:sz w:val="15"/>
          <w:szCs w:val="15"/>
          <w:color w:val="auto"/>
        </w:rPr>
        <w:t>Pretax - Net unrealized gains (losses) on securities Pretax - Net unrealized gains (losses) on cash flow hedges Tax</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Affected line in the statement of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21590</wp:posOffset>
            </wp:positionV>
            <wp:extent cx="326580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color w:val="auto"/>
        </w:rPr>
        <w:t>Realized gains (losses) on securities</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Net investment income</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Provision for income taxes</w:t>
      </w:r>
    </w:p>
    <w:p>
      <w:pPr>
        <w:spacing w:after="0" w:line="200" w:lineRule="exact"/>
        <w:rPr>
          <w:sz w:val="20"/>
          <w:szCs w:val="20"/>
          <w:color w:val="auto"/>
        </w:rPr>
      </w:pPr>
    </w:p>
    <w:p>
      <w:pPr>
        <w:sectPr>
          <w:pgSz w:w="11900" w:h="16838" w:orient="portrait"/>
          <w:cols w:equalWidth="0" w:num="2">
            <w:col w:w="4660" w:space="720"/>
            <w:col w:w="5860"/>
          </w:cols>
          <w:pgMar w:left="320" w:top="115" w:right="339" w:bottom="1440" w:gutter="0" w:footer="0" w:header="0"/>
          <w:type w:val="continuous"/>
        </w:sectPr>
      </w:pPr>
    </w:p>
    <w:p>
      <w:pPr>
        <w:spacing w:after="0" w:line="188" w:lineRule="exact"/>
        <w:rPr>
          <w:sz w:val="20"/>
          <w:szCs w:val="20"/>
          <w:color w:val="auto"/>
        </w:rPr>
      </w:pPr>
    </w:p>
    <w:p>
      <w:pPr>
        <w:ind w:right="20"/>
        <w:spacing w:after="0" w:line="241" w:lineRule="auto"/>
        <w:rPr>
          <w:sz w:val="20"/>
          <w:szCs w:val="20"/>
          <w:color w:val="auto"/>
        </w:rPr>
      </w:pPr>
      <w:r>
        <w:rPr>
          <w:rFonts w:ascii="Arial" w:cs="Arial" w:eastAsia="Arial" w:hAnsi="Arial"/>
          <w:sz w:val="20"/>
          <w:szCs w:val="20"/>
          <w:b w:val="1"/>
          <w:bCs w:val="1"/>
          <w:color w:val="003366"/>
        </w:rPr>
        <w:t xml:space="preserve">Stock Incentive Plan </w:t>
      </w:r>
      <w:r>
        <w:rPr>
          <w:rFonts w:ascii="Arial" w:cs="Arial" w:eastAsia="Arial" w:hAnsi="Arial"/>
          <w:sz w:val="17"/>
          <w:szCs w:val="17"/>
          <w:color w:val="000000"/>
        </w:rPr>
        <w:t>Under AFG’s stock incentive plan, employees of AFG and its subsidiaries are eligible to receive equity awards in the form</w:t>
      </w:r>
      <w:r>
        <w:rPr>
          <w:rFonts w:ascii="Arial" w:cs="Arial" w:eastAsia="Arial" w:hAnsi="Arial"/>
          <w:sz w:val="20"/>
          <w:szCs w:val="20"/>
          <w:b w:val="1"/>
          <w:bCs w:val="1"/>
          <w:color w:val="003366"/>
        </w:rPr>
        <w:t xml:space="preserve"> </w:t>
      </w:r>
      <w:r>
        <w:rPr>
          <w:rFonts w:ascii="Arial" w:cs="Arial" w:eastAsia="Arial" w:hAnsi="Arial"/>
          <w:sz w:val="17"/>
          <w:szCs w:val="17"/>
          <w:color w:val="000000"/>
        </w:rPr>
        <w:t>of stock options, stock appreciation rights, restricted stock awards, restricted stock units and stock awards. In the first three months of 2026, AFG issued 150,544 shares of restricted Common Stock (fair value of $132.82 per share) under the stock incentive plan.</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Total compensation expense related to the stock incentive plan was $5 million and $4 million in the first three months of 2026 and 2025,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266" w:lineRule="exact"/>
        <w:rPr>
          <w:sz w:val="20"/>
          <w:szCs w:val="20"/>
          <w:color w:val="auto"/>
        </w:rPr>
      </w:pPr>
    </w:p>
    <w:p>
      <w:pPr>
        <w:ind w:left="560" w:hanging="552"/>
        <w:spacing w:after="0"/>
        <w:tabs>
          <w:tab w:leader="none" w:pos="560" w:val="left"/>
        </w:tabs>
        <w:numPr>
          <w:ilvl w:val="0"/>
          <w:numId w:val="22"/>
        </w:numPr>
        <w:rPr>
          <w:rFonts w:ascii="Arial" w:cs="Arial" w:eastAsia="Arial" w:hAnsi="Arial"/>
          <w:sz w:val="29"/>
          <w:szCs w:val="29"/>
          <w:b w:val="1"/>
          <w:bCs w:val="1"/>
          <w:color w:val="003366"/>
        </w:rPr>
      </w:pPr>
      <w:r>
        <w:rPr>
          <w:rFonts w:ascii="Arial" w:cs="Arial" w:eastAsia="Arial" w:hAnsi="Arial"/>
          <w:sz w:val="29"/>
          <w:szCs w:val="29"/>
          <w:b w:val="1"/>
          <w:bCs w:val="1"/>
          <w:color w:val="003366"/>
        </w:rPr>
        <w:t>Income Taxes</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reconciliation of income taxes at the statutory rate of 21% to the provision for income taxes as shown in AFG’s Statement of</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Earnings (dollars in millions):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0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220" w:type="dxa"/>
            <w:vAlign w:val="bottom"/>
            <w:tcBorders>
              <w:bottom w:val="single" w:sz="8" w:color="auto"/>
            </w:tcBorders>
            <w:gridSpan w:val="7"/>
          </w:tcPr>
          <w:p>
            <w:pPr>
              <w:jc w:val="right"/>
              <w:ind w:right="940"/>
              <w:spacing w:after="0"/>
              <w:rPr>
                <w:sz w:val="20"/>
                <w:szCs w:val="20"/>
                <w:color w:val="auto"/>
              </w:rPr>
            </w:pPr>
            <w:r>
              <w:rPr>
                <w:rFonts w:ascii="Arial" w:cs="Arial" w:eastAsia="Arial" w:hAnsi="Arial"/>
                <w:sz w:val="15"/>
                <w:szCs w:val="15"/>
                <w:color w:val="auto"/>
              </w:rPr>
              <w:t>Three months ended March 31,</w:t>
            </w:r>
          </w:p>
        </w:tc>
      </w:tr>
      <w:tr>
        <w:trPr>
          <w:trHeight w:val="198"/>
        </w:trPr>
        <w:tc>
          <w:tcPr>
            <w:tcW w:w="70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3"/>
          </w:tcPr>
          <w:p>
            <w:pPr>
              <w:jc w:val="right"/>
              <w:ind w:right="761"/>
              <w:spacing w:after="0"/>
              <w:rPr>
                <w:sz w:val="20"/>
                <w:szCs w:val="20"/>
                <w:color w:val="auto"/>
              </w:rPr>
            </w:pPr>
            <w:r>
              <w:rPr>
                <w:rFonts w:ascii="Arial" w:cs="Arial" w:eastAsia="Arial" w:hAnsi="Arial"/>
                <w:sz w:val="15"/>
                <w:szCs w:val="15"/>
                <w:color w:val="auto"/>
                <w:w w:val="95"/>
              </w:rPr>
              <w:t>2026</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3"/>
          </w:tcPr>
          <w:p>
            <w:pPr>
              <w:jc w:val="right"/>
              <w:ind w:right="760"/>
              <w:spacing w:after="0"/>
              <w:rPr>
                <w:sz w:val="20"/>
                <w:szCs w:val="20"/>
                <w:color w:val="auto"/>
              </w:rPr>
            </w:pPr>
            <w:r>
              <w:rPr>
                <w:rFonts w:ascii="Arial" w:cs="Arial" w:eastAsia="Arial" w:hAnsi="Arial"/>
                <w:sz w:val="15"/>
                <w:szCs w:val="15"/>
                <w:color w:val="auto"/>
              </w:rPr>
              <w:t>2025</w:t>
            </w:r>
          </w:p>
        </w:tc>
      </w:tr>
      <w:tr>
        <w:trPr>
          <w:trHeight w:val="196"/>
        </w:trPr>
        <w:tc>
          <w:tcPr>
            <w:tcW w:w="70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80"/>
              <w:spacing w:after="0"/>
              <w:rPr>
                <w:sz w:val="20"/>
                <w:szCs w:val="20"/>
                <w:color w:val="auto"/>
              </w:rPr>
            </w:pPr>
            <w:r>
              <w:rPr>
                <w:rFonts w:ascii="Arial" w:cs="Arial" w:eastAsia="Arial" w:hAnsi="Arial"/>
                <w:sz w:val="15"/>
                <w:szCs w:val="15"/>
                <w:color w:val="auto"/>
              </w:rPr>
              <w:t>Amount</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ind w:right="121"/>
              <w:spacing w:after="0"/>
              <w:rPr>
                <w:sz w:val="20"/>
                <w:szCs w:val="20"/>
                <w:color w:val="auto"/>
              </w:rPr>
            </w:pPr>
            <w:r>
              <w:rPr>
                <w:rFonts w:ascii="Arial" w:cs="Arial" w:eastAsia="Arial" w:hAnsi="Arial"/>
                <w:sz w:val="15"/>
                <w:szCs w:val="15"/>
                <w:color w:val="auto"/>
              </w:rPr>
              <w:t>% of EBT</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60"/>
              <w:spacing w:after="0"/>
              <w:rPr>
                <w:sz w:val="20"/>
                <w:szCs w:val="20"/>
                <w:color w:val="auto"/>
              </w:rPr>
            </w:pPr>
            <w:r>
              <w:rPr>
                <w:rFonts w:ascii="Arial" w:cs="Arial" w:eastAsia="Arial" w:hAnsi="Arial"/>
                <w:sz w:val="15"/>
                <w:szCs w:val="15"/>
                <w:color w:val="auto"/>
              </w:rPr>
              <w:t>Amount</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ind w:right="140"/>
              <w:spacing w:after="0"/>
              <w:rPr>
                <w:sz w:val="20"/>
                <w:szCs w:val="20"/>
                <w:color w:val="auto"/>
              </w:rPr>
            </w:pPr>
            <w:r>
              <w:rPr>
                <w:rFonts w:ascii="Arial" w:cs="Arial" w:eastAsia="Arial" w:hAnsi="Arial"/>
                <w:sz w:val="15"/>
                <w:szCs w:val="15"/>
                <w:color w:val="auto"/>
              </w:rPr>
              <w:t>% of EBT</w:t>
            </w:r>
          </w:p>
        </w:tc>
      </w:tr>
      <w:tr>
        <w:trPr>
          <w:trHeight w:val="236"/>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Earnings before income taxes (“EBT”)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r>
      <w:tr>
        <w:trPr>
          <w:trHeight w:val="217"/>
        </w:trPr>
        <w:tc>
          <w:tcPr>
            <w:tcW w:w="7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7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taxes at statutory rate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15"/>
        </w:trPr>
        <w:tc>
          <w:tcPr>
            <w:tcW w:w="7060" w:type="dxa"/>
            <w:vAlign w:val="bottom"/>
          </w:tcPr>
          <w:p>
            <w:pPr>
              <w:ind w:left="20"/>
              <w:spacing w:after="0"/>
              <w:rPr>
                <w:sz w:val="20"/>
                <w:szCs w:val="20"/>
                <w:color w:val="auto"/>
              </w:rPr>
            </w:pPr>
            <w:r>
              <w:rPr>
                <w:rFonts w:ascii="Arial" w:cs="Arial" w:eastAsia="Arial" w:hAnsi="Arial"/>
                <w:sz w:val="16"/>
                <w:szCs w:val="16"/>
                <w:color w:val="auto"/>
              </w:rPr>
              <w:t>Effect of:</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7"/>
        </w:trPr>
        <w:tc>
          <w:tcPr>
            <w:tcW w:w="70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State and local income taxes, net of federal income tax effect (*)</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15"/>
        </w:trPr>
        <w:tc>
          <w:tcPr>
            <w:tcW w:w="7060" w:type="dxa"/>
            <w:vAlign w:val="bottom"/>
          </w:tcPr>
          <w:p>
            <w:pPr>
              <w:ind w:left="120"/>
              <w:spacing w:after="0"/>
              <w:rPr>
                <w:sz w:val="20"/>
                <w:szCs w:val="20"/>
                <w:color w:val="auto"/>
              </w:rPr>
            </w:pPr>
            <w:r>
              <w:rPr>
                <w:rFonts w:ascii="Arial" w:cs="Arial" w:eastAsia="Arial" w:hAnsi="Arial"/>
                <w:sz w:val="16"/>
                <w:szCs w:val="16"/>
                <w:color w:val="auto"/>
              </w:rPr>
              <w:t>Income tax credits</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w:t>
            </w:r>
          </w:p>
        </w:tc>
        <w:tc>
          <w:tcPr>
            <w:tcW w:w="1180" w:type="dxa"/>
            <w:vAlign w:val="bottom"/>
            <w:gridSpan w:val="3"/>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70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Impact of nontaxable or nondeductible items:</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5"/>
        </w:trPr>
        <w:tc>
          <w:tcPr>
            <w:tcW w:w="7060" w:type="dxa"/>
            <w:vAlign w:val="bottom"/>
          </w:tcPr>
          <w:p>
            <w:pPr>
              <w:ind w:left="340"/>
              <w:spacing w:after="0"/>
              <w:rPr>
                <w:sz w:val="20"/>
                <w:szCs w:val="20"/>
                <w:color w:val="auto"/>
              </w:rPr>
            </w:pPr>
            <w:r>
              <w:rPr>
                <w:rFonts w:ascii="Arial" w:cs="Arial" w:eastAsia="Arial" w:hAnsi="Arial"/>
                <w:sz w:val="16"/>
                <w:szCs w:val="16"/>
                <w:color w:val="auto"/>
              </w:rPr>
              <w:t>Tax preference investments</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w:t>
            </w:r>
          </w:p>
        </w:tc>
        <w:tc>
          <w:tcPr>
            <w:tcW w:w="1200" w:type="dxa"/>
            <w:vAlign w:val="bottom"/>
            <w:gridSpan w:val="3"/>
          </w:tcPr>
          <w:p>
            <w:pPr>
              <w:jc w:val="right"/>
              <w:spacing w:after="0"/>
              <w:rPr>
                <w:sz w:val="20"/>
                <w:szCs w:val="20"/>
                <w:color w:val="auto"/>
              </w:rPr>
            </w:pPr>
            <w:r>
              <w:rPr>
                <w:rFonts w:ascii="Arial" w:cs="Arial" w:eastAsia="Arial" w:hAnsi="Arial"/>
                <w:sz w:val="16"/>
                <w:szCs w:val="16"/>
                <w:color w:val="auto"/>
              </w:rPr>
              <w:t>(1%)</w:t>
            </w:r>
          </w:p>
        </w:tc>
      </w:tr>
      <w:tr>
        <w:trPr>
          <w:trHeight w:val="217"/>
        </w:trPr>
        <w:tc>
          <w:tcPr>
            <w:tcW w:w="70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7060" w:type="dxa"/>
            <w:vAlign w:val="bottom"/>
          </w:tcPr>
          <w:p>
            <w:pPr>
              <w:ind w:left="120"/>
              <w:spacing w:after="0"/>
              <w:rPr>
                <w:sz w:val="20"/>
                <w:szCs w:val="20"/>
                <w:color w:val="auto"/>
              </w:rPr>
            </w:pPr>
            <w:r>
              <w:rPr>
                <w:rFonts w:ascii="Arial" w:cs="Arial" w:eastAsia="Arial" w:hAnsi="Arial"/>
                <w:sz w:val="16"/>
                <w:szCs w:val="16"/>
                <w:color w:val="auto"/>
              </w:rPr>
              <w:t>Other adjustments</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5"/>
        </w:trPr>
        <w:tc>
          <w:tcPr>
            <w:tcW w:w="7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Provision for income taxes as shown in the statement of earnings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ind w:left="420" w:right="160" w:hanging="412"/>
        <w:spacing w:after="0" w:line="284" w:lineRule="auto"/>
        <w:tabs>
          <w:tab w:leader="none" w:pos="411" w:val="left"/>
        </w:tabs>
        <w:numPr>
          <w:ilvl w:val="0"/>
          <w:numId w:val="23"/>
        </w:numPr>
        <w:rPr>
          <w:rFonts w:ascii="Arial" w:cs="Arial" w:eastAsia="Arial" w:hAnsi="Arial"/>
          <w:sz w:val="17"/>
          <w:szCs w:val="17"/>
          <w:color w:val="auto"/>
        </w:rPr>
      </w:pPr>
      <w:r>
        <w:rPr>
          <w:rFonts w:ascii="Arial" w:cs="Arial" w:eastAsia="Arial" w:hAnsi="Arial"/>
          <w:sz w:val="17"/>
          <w:szCs w:val="17"/>
          <w:color w:val="auto"/>
        </w:rPr>
        <w:t>State taxes in Florida and Illinois represent the majority (greater than 50%) of the state and local net tax effect in the first three months of both 2026 and 2025.</w:t>
      </w:r>
    </w:p>
    <w:p>
      <w:pPr>
        <w:spacing w:after="0" w:line="241" w:lineRule="exact"/>
        <w:rPr>
          <w:sz w:val="20"/>
          <w:szCs w:val="20"/>
          <w:color w:val="auto"/>
        </w:rPr>
      </w:pPr>
    </w:p>
    <w:p>
      <w:pPr>
        <w:ind w:left="620" w:hanging="612"/>
        <w:spacing w:after="0"/>
        <w:tabs>
          <w:tab w:leader="none" w:pos="620" w:val="left"/>
        </w:tabs>
        <w:numPr>
          <w:ilvl w:val="0"/>
          <w:numId w:val="24"/>
        </w:numPr>
        <w:rPr>
          <w:rFonts w:ascii="Arial" w:cs="Arial" w:eastAsia="Arial" w:hAnsi="Arial"/>
          <w:sz w:val="29"/>
          <w:szCs w:val="29"/>
          <w:b w:val="1"/>
          <w:bCs w:val="1"/>
          <w:color w:val="003366"/>
        </w:rPr>
      </w:pPr>
      <w:r>
        <w:rPr>
          <w:rFonts w:ascii="Arial" w:cs="Arial" w:eastAsia="Arial" w:hAnsi="Arial"/>
          <w:sz w:val="29"/>
          <w:szCs w:val="29"/>
          <w:b w:val="1"/>
          <w:bCs w:val="1"/>
          <w:color w:val="003366"/>
        </w:rPr>
        <w:t>Contingencies</w:t>
      </w:r>
    </w:p>
    <w:p>
      <w:pPr>
        <w:spacing w:after="0" w:line="272" w:lineRule="exact"/>
        <w:rPr>
          <w:sz w:val="20"/>
          <w:szCs w:val="20"/>
          <w:color w:val="auto"/>
        </w:rPr>
      </w:pPr>
    </w:p>
    <w:p>
      <w:pPr>
        <w:ind w:right="380"/>
        <w:spacing w:after="0" w:line="266" w:lineRule="auto"/>
        <w:rPr>
          <w:sz w:val="20"/>
          <w:szCs w:val="20"/>
          <w:color w:val="auto"/>
        </w:rPr>
      </w:pPr>
      <w:r>
        <w:rPr>
          <w:rFonts w:ascii="Arial" w:cs="Arial" w:eastAsia="Arial" w:hAnsi="Arial"/>
          <w:sz w:val="17"/>
          <w:szCs w:val="17"/>
          <w:color w:val="auto"/>
        </w:rPr>
        <w:t xml:space="preserve">There have been no significant changes to the matters discussed and referred to in </w:t>
      </w:r>
      <w:r>
        <w:rPr>
          <w:rFonts w:ascii="Arial" w:cs="Arial" w:eastAsia="Arial" w:hAnsi="Arial"/>
          <w:sz w:val="17"/>
          <w:szCs w:val="17"/>
          <w:i w:val="1"/>
          <w:iCs w:val="1"/>
          <w:color w:val="auto"/>
        </w:rPr>
        <w:t>Note M — “Contingencies”</w:t>
      </w:r>
      <w:r>
        <w:rPr>
          <w:rFonts w:ascii="Arial" w:cs="Arial" w:eastAsia="Arial" w:hAnsi="Arial"/>
          <w:sz w:val="17"/>
          <w:szCs w:val="17"/>
          <w:color w:val="auto"/>
        </w:rPr>
        <w:t xml:space="preserve"> of AFG’s 2025 Form 10-K, which covers property and casualty insurance reserves for claims related to environmental exposures, asbestos and other mass tort claims and environmental and occupational injury and disease claims of subsidiaries’ former railroad and manufacturing operations.</w:t>
      </w:r>
    </w:p>
    <w:p>
      <w:pPr>
        <w:spacing w:after="0" w:line="189" w:lineRule="exact"/>
        <w:rPr>
          <w:sz w:val="20"/>
          <w:szCs w:val="20"/>
          <w:color w:val="auto"/>
        </w:rPr>
      </w:pPr>
    </w:p>
    <w:p>
      <w:pPr>
        <w:ind w:left="580" w:hanging="572"/>
        <w:spacing w:after="0"/>
        <w:tabs>
          <w:tab w:leader="none" w:pos="580" w:val="left"/>
        </w:tabs>
        <w:numPr>
          <w:ilvl w:val="0"/>
          <w:numId w:val="25"/>
        </w:numPr>
        <w:rPr>
          <w:rFonts w:ascii="Arial" w:cs="Arial" w:eastAsia="Arial" w:hAnsi="Arial"/>
          <w:sz w:val="29"/>
          <w:szCs w:val="29"/>
          <w:b w:val="1"/>
          <w:bCs w:val="1"/>
          <w:color w:val="003366"/>
        </w:rPr>
      </w:pPr>
      <w:r>
        <w:rPr>
          <w:rFonts w:ascii="Arial" w:cs="Arial" w:eastAsia="Arial" w:hAnsi="Arial"/>
          <w:sz w:val="29"/>
          <w:szCs w:val="29"/>
          <w:b w:val="1"/>
          <w:bCs w:val="1"/>
          <w:color w:val="003366"/>
        </w:rPr>
        <w:t>Insurance</w:t>
      </w:r>
    </w:p>
    <w:p>
      <w:pPr>
        <w:spacing w:after="0" w:line="271" w:lineRule="exact"/>
        <w:rPr>
          <w:sz w:val="20"/>
          <w:szCs w:val="20"/>
          <w:color w:val="auto"/>
        </w:rPr>
      </w:pPr>
    </w:p>
    <w:p>
      <w:pPr>
        <w:ind w:right="140"/>
        <w:spacing w:after="0" w:line="249" w:lineRule="auto"/>
        <w:rPr>
          <w:sz w:val="20"/>
          <w:szCs w:val="20"/>
          <w:color w:val="auto"/>
        </w:rPr>
      </w:pPr>
      <w:r>
        <w:rPr>
          <w:rFonts w:ascii="Arial" w:cs="Arial" w:eastAsia="Arial" w:hAnsi="Arial"/>
          <w:sz w:val="20"/>
          <w:szCs w:val="20"/>
          <w:b w:val="1"/>
          <w:bCs w:val="1"/>
          <w:color w:val="003366"/>
        </w:rPr>
        <w:t xml:space="preserve">Insurance Reserves </w:t>
      </w:r>
      <w:r>
        <w:rPr>
          <w:rFonts w:ascii="Arial" w:cs="Arial" w:eastAsia="Arial" w:hAnsi="Arial"/>
          <w:sz w:val="17"/>
          <w:szCs w:val="17"/>
          <w:color w:val="000000"/>
        </w:rPr>
        <w:t>The following table provides an analysis of changes in the liability for losses and loss adjustment expenses during the first</w:t>
      </w:r>
      <w:r>
        <w:rPr>
          <w:rFonts w:ascii="Arial" w:cs="Arial" w:eastAsia="Arial" w:hAnsi="Arial"/>
          <w:sz w:val="20"/>
          <w:szCs w:val="20"/>
          <w:b w:val="1"/>
          <w:bCs w:val="1"/>
          <w:color w:val="003366"/>
        </w:rPr>
        <w:t xml:space="preserve"> </w:t>
      </w:r>
      <w:r>
        <w:rPr>
          <w:rFonts w:ascii="Arial" w:cs="Arial" w:eastAsia="Arial" w:hAnsi="Arial"/>
          <w:sz w:val="17"/>
          <w:szCs w:val="17"/>
          <w:color w:val="000000"/>
        </w:rPr>
        <w:t>three months of 2026 and 2025 (in millions):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120" w:type="dxa"/>
            <w:vAlign w:val="bottom"/>
          </w:tcPr>
          <w:p>
            <w:pPr>
              <w:spacing w:after="0"/>
              <w:rPr>
                <w:sz w:val="17"/>
                <w:szCs w:val="17"/>
                <w:color w:val="auto"/>
              </w:rPr>
            </w:pPr>
          </w:p>
        </w:tc>
        <w:tc>
          <w:tcPr>
            <w:tcW w:w="3120" w:type="dxa"/>
            <w:vAlign w:val="bottom"/>
            <w:tcBorders>
              <w:bottom w:val="single" w:sz="8" w:color="auto"/>
            </w:tcBorders>
            <w:gridSpan w:val="5"/>
          </w:tcPr>
          <w:p>
            <w:pPr>
              <w:jc w:val="right"/>
              <w:ind w:right="419"/>
              <w:spacing w:after="0"/>
              <w:rPr>
                <w:sz w:val="20"/>
                <w:szCs w:val="20"/>
                <w:color w:val="auto"/>
              </w:rPr>
            </w:pPr>
            <w:r>
              <w:rPr>
                <w:rFonts w:ascii="Arial" w:cs="Arial" w:eastAsia="Arial" w:hAnsi="Arial"/>
                <w:sz w:val="15"/>
                <w:szCs w:val="15"/>
                <w:color w:val="auto"/>
              </w:rPr>
              <w:t>Three months ended March 31,</w:t>
            </w:r>
          </w:p>
        </w:tc>
      </w:tr>
      <w:tr>
        <w:trPr>
          <w:trHeight w:val="198"/>
        </w:trPr>
        <w:tc>
          <w:tcPr>
            <w:tcW w:w="812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2026</w:t>
            </w:r>
          </w:p>
        </w:tc>
        <w:tc>
          <w:tcPr>
            <w:tcW w:w="58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99"/>
              <w:spacing w:after="0"/>
              <w:rPr>
                <w:sz w:val="20"/>
                <w:szCs w:val="20"/>
                <w:color w:val="auto"/>
              </w:rPr>
            </w:pPr>
            <w:r>
              <w:rPr>
                <w:rFonts w:ascii="Arial" w:cs="Arial" w:eastAsia="Arial" w:hAnsi="Arial"/>
                <w:sz w:val="15"/>
                <w:szCs w:val="15"/>
                <w:color w:val="auto"/>
              </w:rPr>
              <w:t>2025</w:t>
            </w:r>
          </w:p>
        </w:tc>
      </w:tr>
      <w:tr>
        <w:trPr>
          <w:trHeight w:val="211"/>
        </w:trPr>
        <w:tc>
          <w:tcPr>
            <w:tcW w:w="8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beginning of year</w:t>
            </w:r>
          </w:p>
        </w:tc>
        <w:tc>
          <w:tcPr>
            <w:tcW w:w="940" w:type="dxa"/>
            <w:vAlign w:val="bottom"/>
            <w:shd w:val="clear" w:color="auto" w:fill="CCEEFF"/>
          </w:tcPr>
          <w:p>
            <w:pPr>
              <w:jc w:val="right"/>
              <w:ind w:right="761"/>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15,094</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14,179</w:t>
            </w:r>
          </w:p>
        </w:tc>
      </w:tr>
      <w:tr>
        <w:trPr>
          <w:trHeight w:val="215"/>
        </w:trPr>
        <w:tc>
          <w:tcPr>
            <w:tcW w:w="81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reinsurance recoverables, net of allowance</w:t>
            </w:r>
          </w:p>
        </w:tc>
        <w:tc>
          <w:tcPr>
            <w:tcW w:w="9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5,306</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4,957</w:t>
            </w:r>
          </w:p>
        </w:tc>
      </w:tr>
      <w:tr>
        <w:trPr>
          <w:trHeight w:val="210"/>
        </w:trPr>
        <w:tc>
          <w:tcPr>
            <w:tcW w:w="8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liability at beginning of year</w:t>
            </w: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9,788</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9,222</w:t>
            </w:r>
          </w:p>
        </w:tc>
      </w:tr>
      <w:tr>
        <w:trPr>
          <w:trHeight w:val="215"/>
        </w:trPr>
        <w:tc>
          <w:tcPr>
            <w:tcW w:w="8120" w:type="dxa"/>
            <w:vAlign w:val="bottom"/>
          </w:tcPr>
          <w:p>
            <w:pPr>
              <w:ind w:left="20"/>
              <w:spacing w:after="0"/>
              <w:rPr>
                <w:sz w:val="20"/>
                <w:szCs w:val="20"/>
                <w:color w:val="auto"/>
              </w:rPr>
            </w:pPr>
            <w:r>
              <w:rPr>
                <w:rFonts w:ascii="Arial" w:cs="Arial" w:eastAsia="Arial" w:hAnsi="Arial"/>
                <w:sz w:val="16"/>
                <w:szCs w:val="16"/>
                <w:color w:val="auto"/>
              </w:rPr>
              <w:t>Provision for losses and LAE occurring in the current period</w:t>
            </w: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976</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985</w:t>
            </w:r>
          </w:p>
        </w:tc>
      </w:tr>
      <w:tr>
        <w:trPr>
          <w:trHeight w:val="217"/>
        </w:trPr>
        <w:tc>
          <w:tcPr>
            <w:tcW w:w="8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decrease in the provision for claims of prior years</w:t>
            </w:r>
          </w:p>
        </w:tc>
        <w:tc>
          <w:tcPr>
            <w:tcW w:w="9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r>
      <w:tr>
        <w:trPr>
          <w:trHeight w:val="209"/>
        </w:trPr>
        <w:tc>
          <w:tcPr>
            <w:tcW w:w="8120" w:type="dxa"/>
            <w:vAlign w:val="bottom"/>
          </w:tcPr>
          <w:p>
            <w:pPr>
              <w:ind w:left="480"/>
              <w:spacing w:after="0"/>
              <w:rPr>
                <w:sz w:val="20"/>
                <w:szCs w:val="20"/>
                <w:color w:val="auto"/>
              </w:rPr>
            </w:pPr>
            <w:r>
              <w:rPr>
                <w:rFonts w:ascii="Arial" w:cs="Arial" w:eastAsia="Arial" w:hAnsi="Arial"/>
                <w:sz w:val="16"/>
                <w:szCs w:val="16"/>
                <w:color w:val="auto"/>
              </w:rPr>
              <w:t>Total losses and LAE incurred</w:t>
            </w: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906</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965</w:t>
            </w:r>
          </w:p>
        </w:tc>
      </w:tr>
      <w:tr>
        <w:trPr>
          <w:trHeight w:val="217"/>
        </w:trPr>
        <w:tc>
          <w:tcPr>
            <w:tcW w:w="8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Payments for losses and LAE of:</w:t>
            </w: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5"/>
        </w:trPr>
        <w:tc>
          <w:tcPr>
            <w:tcW w:w="8120" w:type="dxa"/>
            <w:vAlign w:val="bottom"/>
          </w:tcPr>
          <w:p>
            <w:pPr>
              <w:ind w:left="220"/>
              <w:spacing w:after="0"/>
              <w:rPr>
                <w:sz w:val="20"/>
                <w:szCs w:val="20"/>
                <w:color w:val="auto"/>
              </w:rPr>
            </w:pPr>
            <w:r>
              <w:rPr>
                <w:rFonts w:ascii="Arial" w:cs="Arial" w:eastAsia="Arial" w:hAnsi="Arial"/>
                <w:sz w:val="16"/>
                <w:szCs w:val="16"/>
                <w:color w:val="auto"/>
              </w:rPr>
              <w:t>Current year</w:t>
            </w: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(104)</w:t>
            </w:r>
          </w:p>
        </w:tc>
      </w:tr>
      <w:tr>
        <w:trPr>
          <w:trHeight w:val="217"/>
        </w:trPr>
        <w:tc>
          <w:tcPr>
            <w:tcW w:w="81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Prior years</w:t>
            </w:r>
          </w:p>
        </w:tc>
        <w:tc>
          <w:tcPr>
            <w:tcW w:w="9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(796)</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(863)</w:t>
            </w:r>
          </w:p>
        </w:tc>
      </w:tr>
      <w:tr>
        <w:trPr>
          <w:trHeight w:val="209"/>
        </w:trPr>
        <w:tc>
          <w:tcPr>
            <w:tcW w:w="8120" w:type="dxa"/>
            <w:vAlign w:val="bottom"/>
          </w:tcPr>
          <w:p>
            <w:pPr>
              <w:ind w:left="480"/>
              <w:spacing w:after="0"/>
              <w:rPr>
                <w:sz w:val="20"/>
                <w:szCs w:val="20"/>
                <w:color w:val="auto"/>
              </w:rPr>
            </w:pPr>
            <w:r>
              <w:rPr>
                <w:rFonts w:ascii="Arial" w:cs="Arial" w:eastAsia="Arial" w:hAnsi="Arial"/>
                <w:sz w:val="16"/>
                <w:szCs w:val="16"/>
                <w:color w:val="auto"/>
              </w:rPr>
              <w:t>Total payments</w:t>
            </w: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(888)</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(967)</w:t>
            </w:r>
          </w:p>
        </w:tc>
      </w:tr>
      <w:tr>
        <w:trPr>
          <w:trHeight w:val="217"/>
        </w:trPr>
        <w:tc>
          <w:tcPr>
            <w:tcW w:w="8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currency translation and other</w:t>
            </w:r>
          </w:p>
        </w:tc>
        <w:tc>
          <w:tcPr>
            <w:tcW w:w="9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09"/>
        </w:trPr>
        <w:tc>
          <w:tcPr>
            <w:tcW w:w="8120" w:type="dxa"/>
            <w:vAlign w:val="bottom"/>
          </w:tcPr>
          <w:p>
            <w:pPr>
              <w:ind w:left="20"/>
              <w:spacing w:after="0"/>
              <w:rPr>
                <w:sz w:val="20"/>
                <w:szCs w:val="20"/>
                <w:color w:val="auto"/>
              </w:rPr>
            </w:pPr>
            <w:r>
              <w:rPr>
                <w:rFonts w:ascii="Arial" w:cs="Arial" w:eastAsia="Arial" w:hAnsi="Arial"/>
                <w:sz w:val="16"/>
                <w:szCs w:val="16"/>
                <w:color w:val="auto"/>
              </w:rPr>
              <w:t>Net liability at end of period</w:t>
            </w: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9,804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9,218</w:t>
            </w:r>
          </w:p>
        </w:tc>
      </w:tr>
      <w:tr>
        <w:trPr>
          <w:trHeight w:val="216"/>
        </w:trPr>
        <w:tc>
          <w:tcPr>
            <w:tcW w:w="8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 back reinsurance recoverables, net of allowance</w:t>
            </w:r>
          </w:p>
        </w:tc>
        <w:tc>
          <w:tcPr>
            <w:tcW w:w="9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5,110</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4,752</w:t>
            </w:r>
          </w:p>
        </w:tc>
      </w:tr>
      <w:tr>
        <w:trPr>
          <w:trHeight w:val="210"/>
        </w:trPr>
        <w:tc>
          <w:tcPr>
            <w:tcW w:w="8120" w:type="dxa"/>
            <w:vAlign w:val="bottom"/>
          </w:tcPr>
          <w:p>
            <w:pPr>
              <w:ind w:left="20"/>
              <w:spacing w:after="0"/>
              <w:rPr>
                <w:sz w:val="20"/>
                <w:szCs w:val="20"/>
                <w:color w:val="auto"/>
              </w:rPr>
            </w:pPr>
            <w:r>
              <w:rPr>
                <w:rFonts w:ascii="Arial" w:cs="Arial" w:eastAsia="Arial" w:hAnsi="Arial"/>
                <w:sz w:val="16"/>
                <w:szCs w:val="16"/>
                <w:color w:val="auto"/>
              </w:rPr>
              <w:t>Gross unpaid losses and LAE included in the balance sheet at end of period</w:t>
            </w:r>
          </w:p>
        </w:tc>
        <w:tc>
          <w:tcPr>
            <w:tcW w:w="940" w:type="dxa"/>
            <w:vAlign w:val="bottom"/>
            <w:tcBorders>
              <w:bottom w:val="single" w:sz="8" w:color="auto"/>
            </w:tcBorders>
          </w:tcPr>
          <w:p>
            <w:pPr>
              <w:jc w:val="right"/>
              <w:ind w:right="761"/>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14,914</w:t>
            </w:r>
          </w:p>
        </w:tc>
        <w:tc>
          <w:tcPr>
            <w:tcW w:w="80" w:type="dxa"/>
            <w:vAlign w:val="bottom"/>
          </w:tcPr>
          <w:p>
            <w:pPr>
              <w:spacing w:after="0"/>
              <w:rPr>
                <w:sz w:val="18"/>
                <w:szCs w:val="18"/>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13,970</w:t>
            </w:r>
          </w:p>
        </w:tc>
      </w:tr>
      <w:tr>
        <w:trPr>
          <w:trHeight w:val="21"/>
        </w:trPr>
        <w:tc>
          <w:tcPr>
            <w:tcW w:w="8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ind w:right="200"/>
        <w:spacing w:after="0" w:line="284" w:lineRule="auto"/>
        <w:rPr>
          <w:sz w:val="20"/>
          <w:szCs w:val="20"/>
          <w:color w:val="auto"/>
        </w:rPr>
      </w:pPr>
      <w:r>
        <w:rPr>
          <w:rFonts w:ascii="Arial" w:cs="Arial" w:eastAsia="Arial" w:hAnsi="Arial"/>
          <w:sz w:val="17"/>
          <w:szCs w:val="17"/>
          <w:color w:val="auto"/>
        </w:rPr>
        <w:t>The net decrease in the provision for claims of prior years during the first three months of 2026 reflects (i) lower than anticipated losses in the crop business and lower than expected claim severity in the ocean marine and commercial auto</w:t>
      </w:r>
    </w:p>
    <w:p>
      <w:pPr>
        <w:sectPr>
          <w:pgSz w:w="11900" w:h="16838" w:orient="portrait"/>
          <w:cols w:equalWidth="0" w:num="1">
            <w:col w:w="11240"/>
          </w:cols>
          <w:pgMar w:left="320" w:top="115" w:right="339" w:bottom="1440" w:gutter="0" w:footer="0" w:header="0"/>
        </w:sect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278"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businesses (within the Property and transportation sub-segment) and (ii) lower than anticipated claim frequency in the fidelity and crime business and lower than expected claim severity in the surety business (within the Specialty financial sub-segment). In the Specialty casualty sub-segment, lower than anticipated claim severity in the workers’ compensation businesses was offset by higher than anticipated severity in certain social inflation exposed businesses.</w:t>
      </w:r>
    </w:p>
    <w:p>
      <w:pPr>
        <w:spacing w:after="0" w:line="200" w:lineRule="exact"/>
        <w:rPr>
          <w:sz w:val="20"/>
          <w:szCs w:val="20"/>
          <w:color w:val="auto"/>
        </w:rPr>
      </w:pPr>
    </w:p>
    <w:p>
      <w:pPr>
        <w:ind w:right="140"/>
        <w:spacing w:after="0" w:line="259" w:lineRule="auto"/>
        <w:rPr>
          <w:sz w:val="20"/>
          <w:szCs w:val="20"/>
          <w:color w:val="auto"/>
        </w:rPr>
      </w:pPr>
      <w:r>
        <w:rPr>
          <w:rFonts w:ascii="Arial" w:cs="Arial" w:eastAsia="Arial" w:hAnsi="Arial"/>
          <w:sz w:val="17"/>
          <w:szCs w:val="17"/>
          <w:color w:val="auto"/>
        </w:rPr>
        <w:t>The net decrease in the provision for claims of prior years during the first three months of 2025 reflects (i) lower than anticipated losses in the crop business and lower than anticipated claim frequency and severity in the trucking business (within the Property and transportation sub-segment), (ii) lower than anticipated claim severity in the workers' compensation businesses (within the Specialty casualty sub-segment) and (iii) lower than anticipated claim frequency and severity in the financial institutions business (within the Specialty financial sub-segment). This favorable development was partially offset by higher than anticipated claim severity in the excess liability businesses (within the Specialty casualty sub-segment).</w:t>
      </w:r>
    </w:p>
    <w:p>
      <w:pPr>
        <w:spacing w:after="0" w:line="204" w:lineRule="exact"/>
        <w:rPr>
          <w:sz w:val="20"/>
          <w:szCs w:val="20"/>
          <w:color w:val="auto"/>
        </w:rPr>
      </w:pPr>
    </w:p>
    <w:p>
      <w:pPr>
        <w:ind w:right="100"/>
        <w:spacing w:after="0" w:line="237" w:lineRule="auto"/>
        <w:rPr>
          <w:sz w:val="20"/>
          <w:szCs w:val="20"/>
          <w:color w:val="auto"/>
        </w:rPr>
      </w:pPr>
      <w:r>
        <w:rPr>
          <w:rFonts w:ascii="Arial" w:cs="Arial" w:eastAsia="Arial" w:hAnsi="Arial"/>
          <w:sz w:val="20"/>
          <w:szCs w:val="20"/>
          <w:b w:val="1"/>
          <w:bCs w:val="1"/>
          <w:color w:val="003366"/>
        </w:rPr>
        <w:t xml:space="preserve">Recoverables from Reinsurers and Premiums Receivable </w:t>
      </w:r>
      <w:r>
        <w:rPr>
          <w:rFonts w:ascii="Arial" w:cs="Arial" w:eastAsia="Arial" w:hAnsi="Arial"/>
          <w:sz w:val="17"/>
          <w:szCs w:val="17"/>
          <w:color w:val="000000"/>
        </w:rPr>
        <w:t>Progressions of the 2026 and 2025 allowance for expected credit losses on</w:t>
      </w:r>
      <w:r>
        <w:rPr>
          <w:rFonts w:ascii="Arial" w:cs="Arial" w:eastAsia="Arial" w:hAnsi="Arial"/>
          <w:sz w:val="20"/>
          <w:szCs w:val="20"/>
          <w:b w:val="1"/>
          <w:bCs w:val="1"/>
          <w:color w:val="003366"/>
        </w:rPr>
        <w:t xml:space="preserve"> </w:t>
      </w:r>
      <w:r>
        <w:rPr>
          <w:rFonts w:ascii="Arial" w:cs="Arial" w:eastAsia="Arial" w:hAnsi="Arial"/>
          <w:sz w:val="17"/>
          <w:szCs w:val="17"/>
          <w:color w:val="000000"/>
        </w:rPr>
        <w:t>recoverables from reinsurers and premiums receivable are shown below (in millions):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660" w:type="dxa"/>
            <w:vAlign w:val="bottom"/>
          </w:tcPr>
          <w:p>
            <w:pPr>
              <w:spacing w:after="0"/>
              <w:rPr>
                <w:sz w:val="15"/>
                <w:szCs w:val="15"/>
                <w:color w:val="auto"/>
              </w:rPr>
            </w:pPr>
          </w:p>
        </w:tc>
        <w:tc>
          <w:tcPr>
            <w:tcW w:w="2380" w:type="dxa"/>
            <w:vAlign w:val="bottom"/>
            <w:tcBorders>
              <w:bottom w:val="single" w:sz="8" w:color="auto"/>
            </w:tcBorders>
            <w:gridSpan w:val="4"/>
          </w:tcPr>
          <w:p>
            <w:pPr>
              <w:jc w:val="right"/>
              <w:ind w:right="21"/>
              <w:spacing w:after="0"/>
              <w:rPr>
                <w:sz w:val="20"/>
                <w:szCs w:val="20"/>
                <w:color w:val="auto"/>
              </w:rPr>
            </w:pPr>
            <w:r>
              <w:rPr>
                <w:rFonts w:ascii="Arial" w:cs="Arial" w:eastAsia="Arial" w:hAnsi="Arial"/>
                <w:sz w:val="13"/>
                <w:szCs w:val="13"/>
                <w:color w:val="auto"/>
              </w:rPr>
              <w:t>Recoverables from Reinsurers</w:t>
            </w:r>
          </w:p>
        </w:tc>
        <w:tc>
          <w:tcPr>
            <w:tcW w:w="3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4"/>
          </w:tcPr>
          <w:p>
            <w:pPr>
              <w:jc w:val="right"/>
              <w:ind w:right="640"/>
              <w:spacing w:after="0"/>
              <w:rPr>
                <w:sz w:val="20"/>
                <w:szCs w:val="20"/>
                <w:color w:val="auto"/>
              </w:rPr>
            </w:pPr>
            <w:r>
              <w:rPr>
                <w:rFonts w:ascii="Arial" w:cs="Arial" w:eastAsia="Arial" w:hAnsi="Arial"/>
                <w:sz w:val="13"/>
                <w:szCs w:val="13"/>
                <w:color w:val="auto"/>
              </w:rPr>
              <w:t>Premiums Receivable</w:t>
            </w:r>
          </w:p>
        </w:tc>
      </w:tr>
      <w:tr>
        <w:trPr>
          <w:trHeight w:val="201"/>
        </w:trPr>
        <w:tc>
          <w:tcPr>
            <w:tcW w:w="566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2026</w:t>
            </w:r>
          </w:p>
        </w:tc>
        <w:tc>
          <w:tcPr>
            <w:tcW w:w="3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ind w:right="41"/>
              <w:spacing w:after="0"/>
              <w:rPr>
                <w:sz w:val="20"/>
                <w:szCs w:val="20"/>
                <w:color w:val="auto"/>
              </w:rPr>
            </w:pPr>
            <w:r>
              <w:rPr>
                <w:rFonts w:ascii="Arial" w:cs="Arial" w:eastAsia="Arial" w:hAnsi="Arial"/>
                <w:sz w:val="15"/>
                <w:szCs w:val="15"/>
                <w:color w:val="auto"/>
              </w:rPr>
              <w:t>2025</w:t>
            </w:r>
          </w:p>
        </w:tc>
        <w:tc>
          <w:tcPr>
            <w:tcW w:w="3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02"/>
              <w:spacing w:after="0"/>
              <w:rPr>
                <w:sz w:val="20"/>
                <w:szCs w:val="20"/>
                <w:color w:val="auto"/>
              </w:rPr>
            </w:pPr>
            <w:r>
              <w:rPr>
                <w:rFonts w:ascii="Arial" w:cs="Arial" w:eastAsia="Arial" w:hAnsi="Arial"/>
                <w:sz w:val="15"/>
                <w:szCs w:val="15"/>
                <w:color w:val="auto"/>
              </w:rPr>
              <w:t>2026</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0"/>
              <w:spacing w:after="0"/>
              <w:rPr>
                <w:sz w:val="20"/>
                <w:szCs w:val="20"/>
                <w:color w:val="auto"/>
              </w:rPr>
            </w:pPr>
            <w:r>
              <w:rPr>
                <w:rFonts w:ascii="Arial" w:cs="Arial" w:eastAsia="Arial" w:hAnsi="Arial"/>
                <w:sz w:val="15"/>
                <w:szCs w:val="15"/>
                <w:color w:val="auto"/>
              </w:rPr>
              <w:t>2025</w:t>
            </w:r>
          </w:p>
        </w:tc>
      </w:tr>
      <w:tr>
        <w:trPr>
          <w:trHeight w:val="211"/>
        </w:trPr>
        <w:tc>
          <w:tcPr>
            <w:tcW w:w="5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December 31</w:t>
            </w:r>
          </w:p>
        </w:tc>
        <w:tc>
          <w:tcPr>
            <w:tcW w:w="960" w:type="dxa"/>
            <w:vAlign w:val="bottom"/>
            <w:shd w:val="clear" w:color="auto" w:fill="CCEEFF"/>
          </w:tcPr>
          <w:p>
            <w:pPr>
              <w:jc w:val="right"/>
              <w:ind w:right="764"/>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61"/>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r>
      <w:tr>
        <w:trPr>
          <w:trHeight w:val="215"/>
        </w:trPr>
        <w:tc>
          <w:tcPr>
            <w:tcW w:w="5660" w:type="dxa"/>
            <w:vAlign w:val="bottom"/>
          </w:tcPr>
          <w:p>
            <w:pPr>
              <w:ind w:left="20"/>
              <w:spacing w:after="0"/>
              <w:rPr>
                <w:sz w:val="20"/>
                <w:szCs w:val="20"/>
                <w:color w:val="auto"/>
              </w:rPr>
            </w:pPr>
            <w:r>
              <w:rPr>
                <w:rFonts w:ascii="Arial" w:cs="Arial" w:eastAsia="Arial" w:hAnsi="Arial"/>
                <w:sz w:val="16"/>
                <w:szCs w:val="16"/>
                <w:color w:val="auto"/>
              </w:rPr>
              <w:t>Provision (credit) for expected credit losses</w:t>
            </w:r>
          </w:p>
        </w:tc>
        <w:tc>
          <w:tcPr>
            <w:tcW w:w="9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6"/>
        </w:trPr>
        <w:tc>
          <w:tcPr>
            <w:tcW w:w="5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Write-offs charged against the allowance</w:t>
            </w:r>
          </w:p>
        </w:tc>
        <w:tc>
          <w:tcPr>
            <w:tcW w:w="9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5660" w:type="dxa"/>
            <w:vAlign w:val="bottom"/>
          </w:tcPr>
          <w:p>
            <w:pPr>
              <w:ind w:left="20"/>
              <w:spacing w:after="0"/>
              <w:rPr>
                <w:sz w:val="20"/>
                <w:szCs w:val="20"/>
                <w:color w:val="auto"/>
              </w:rPr>
            </w:pPr>
            <w:r>
              <w:rPr>
                <w:rFonts w:ascii="Arial" w:cs="Arial" w:eastAsia="Arial" w:hAnsi="Arial"/>
                <w:sz w:val="16"/>
                <w:szCs w:val="16"/>
                <w:color w:val="auto"/>
              </w:rPr>
              <w:t>Balance at March 31</w:t>
            </w:r>
          </w:p>
        </w:tc>
        <w:tc>
          <w:tcPr>
            <w:tcW w:w="960" w:type="dxa"/>
            <w:vAlign w:val="bottom"/>
            <w:tcBorders>
              <w:top w:val="single" w:sz="8" w:color="auto"/>
              <w:bottom w:val="single" w:sz="8" w:color="auto"/>
            </w:tcBorders>
          </w:tcPr>
          <w:p>
            <w:pPr>
              <w:jc w:val="right"/>
              <w:ind w:right="764"/>
              <w:spacing w:after="0"/>
              <w:rPr>
                <w:sz w:val="20"/>
                <w:szCs w:val="20"/>
                <w:color w:val="auto"/>
              </w:rPr>
            </w:pPr>
            <w:r>
              <w:rPr>
                <w:rFonts w:ascii="Arial" w:cs="Arial" w:eastAsia="Arial" w:hAnsi="Arial"/>
                <w:sz w:val="16"/>
                <w:szCs w:val="16"/>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ind w:right="761"/>
              <w:spacing w:after="0"/>
              <w:rPr>
                <w:sz w:val="20"/>
                <w:szCs w:val="20"/>
                <w:color w:val="auto"/>
              </w:rPr>
            </w:pPr>
            <w:r>
              <w:rPr>
                <w:rFonts w:ascii="Arial" w:cs="Arial" w:eastAsia="Arial" w:hAnsi="Arial"/>
                <w:sz w:val="16"/>
                <w:szCs w:val="16"/>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w:t>
            </w:r>
          </w:p>
        </w:tc>
      </w:tr>
      <w:tr>
        <w:trPr>
          <w:trHeight w:val="21"/>
        </w:trPr>
        <w:tc>
          <w:tcPr>
            <w:tcW w:w="56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03" w:lineRule="exact"/>
        <w:rPr>
          <w:sz w:val="20"/>
          <w:szCs w:val="20"/>
          <w:color w:val="auto"/>
        </w:rPr>
      </w:pPr>
    </w:p>
    <w:p>
      <w:pPr>
        <w:ind w:left="640" w:hanging="632"/>
        <w:spacing w:after="0"/>
        <w:tabs>
          <w:tab w:leader="none" w:pos="640" w:val="left"/>
        </w:tabs>
        <w:numPr>
          <w:ilvl w:val="0"/>
          <w:numId w:val="26"/>
        </w:numPr>
        <w:rPr>
          <w:rFonts w:ascii="Arial" w:cs="Arial" w:eastAsia="Arial" w:hAnsi="Arial"/>
          <w:sz w:val="29"/>
          <w:szCs w:val="29"/>
          <w:b w:val="1"/>
          <w:bCs w:val="1"/>
          <w:color w:val="003366"/>
        </w:rPr>
      </w:pPr>
      <w:r>
        <w:rPr>
          <w:rFonts w:ascii="Arial" w:cs="Arial" w:eastAsia="Arial" w:hAnsi="Arial"/>
          <w:sz w:val="29"/>
          <w:szCs w:val="29"/>
          <w:b w:val="1"/>
          <w:bCs w:val="1"/>
          <w:color w:val="003366"/>
        </w:rPr>
        <w:t>Subsequent Event</w:t>
      </w:r>
    </w:p>
    <w:p>
      <w:pPr>
        <w:spacing w:after="0" w:line="271" w:lineRule="exact"/>
        <w:rPr>
          <w:sz w:val="20"/>
          <w:szCs w:val="20"/>
          <w:color w:val="auto"/>
        </w:rPr>
      </w:pPr>
    </w:p>
    <w:p>
      <w:pPr>
        <w:ind w:right="40"/>
        <w:spacing w:after="0" w:line="248" w:lineRule="auto"/>
        <w:rPr>
          <w:sz w:val="20"/>
          <w:szCs w:val="20"/>
          <w:color w:val="auto"/>
        </w:rPr>
      </w:pPr>
      <w:r>
        <w:rPr>
          <w:rFonts w:ascii="Arial" w:cs="Arial" w:eastAsia="Arial" w:hAnsi="Arial"/>
          <w:sz w:val="20"/>
          <w:szCs w:val="20"/>
          <w:b w:val="1"/>
          <w:bCs w:val="1"/>
          <w:color w:val="003366"/>
        </w:rPr>
        <w:t xml:space="preserve">Charleston Harbor Resort &amp; Marina </w:t>
      </w:r>
      <w:r>
        <w:rPr>
          <w:rFonts w:ascii="Arial" w:cs="Arial" w:eastAsia="Arial" w:hAnsi="Arial"/>
          <w:sz w:val="17"/>
          <w:szCs w:val="17"/>
          <w:color w:val="000000"/>
        </w:rPr>
        <w:t>In April 2026, AFG reached definitive agreements to sell the Charleston Harbor Resort &amp; Marina.</w:t>
      </w:r>
      <w:r>
        <w:rPr>
          <w:rFonts w:ascii="Arial" w:cs="Arial" w:eastAsia="Arial" w:hAnsi="Arial"/>
          <w:sz w:val="20"/>
          <w:szCs w:val="20"/>
          <w:b w:val="1"/>
          <w:bCs w:val="1"/>
          <w:color w:val="003366"/>
        </w:rPr>
        <w:t xml:space="preserve"> </w:t>
      </w:r>
      <w:r>
        <w:rPr>
          <w:rFonts w:ascii="Arial" w:cs="Arial" w:eastAsia="Arial" w:hAnsi="Arial"/>
          <w:sz w:val="17"/>
          <w:szCs w:val="17"/>
          <w:color w:val="000000"/>
        </w:rPr>
        <w:t>Subject to receipt of necessary third-party approvals and satisfaction of customary closing conditions, the transaction is expected to close in the second or third quarter of 2026. AFG currently expects to recognize a pretax gain of approximately $125 million on the sale, which will be included in net investment income.</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9" w:name="page30"/>
    <w:bookmarkEnd w:id="29"/>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right="940"/>
        <w:spacing w:after="0" w:line="297" w:lineRule="auto"/>
        <w:rPr>
          <w:sz w:val="20"/>
          <w:szCs w:val="20"/>
          <w:color w:val="auto"/>
        </w:rPr>
      </w:pPr>
      <w:r>
        <w:rPr>
          <w:rFonts w:ascii="Arial" w:cs="Arial" w:eastAsia="Arial" w:hAnsi="Arial"/>
          <w:sz w:val="36"/>
          <w:szCs w:val="36"/>
          <w:b w:val="1"/>
          <w:bCs w:val="1"/>
          <w:color w:val="003366"/>
        </w:rPr>
        <w:t>ITEM 2. Management’s Discussion and Analysis of Financial Condition and Results of Operations</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003366"/>
        </w:rPr>
        <w:t>INDEX TO MD&amp;A</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6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6"/>
                <w:szCs w:val="16"/>
                <w:b w:val="1"/>
                <w:bCs w:val="1"/>
                <w:color w:val="auto"/>
                <w:w w:val="99"/>
              </w:rPr>
              <w:t>Page</w:t>
            </w:r>
          </w:p>
        </w:tc>
        <w:tc>
          <w:tcPr>
            <w:tcW w:w="522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w w:val="94"/>
              </w:rPr>
              <w:t>Page</w:t>
            </w:r>
          </w:p>
        </w:tc>
      </w:tr>
      <w:tr>
        <w:trPr>
          <w:trHeight w:val="236"/>
        </w:trPr>
        <w:tc>
          <w:tcPr>
            <w:tcW w:w="5160" w:type="dxa"/>
            <w:vAlign w:val="bottom"/>
          </w:tcPr>
          <w:p>
            <w:pPr>
              <w:ind w:left="20"/>
              <w:spacing w:after="0"/>
              <w:rPr>
                <w:sz w:val="20"/>
                <w:szCs w:val="20"/>
                <w:color w:val="auto"/>
              </w:rPr>
            </w:pPr>
            <w:r>
              <w:rPr>
                <w:rFonts w:ascii="Arial" w:cs="Arial" w:eastAsia="Arial" w:hAnsi="Arial"/>
                <w:sz w:val="16"/>
                <w:szCs w:val="16"/>
                <w:b w:val="1"/>
                <w:bCs w:val="1"/>
                <w:color w:val="0000FF"/>
              </w:rPr>
              <w:t>Forward-Looking Statements</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0000FF"/>
              </w:rPr>
              <w:t>29</w:t>
            </w:r>
          </w:p>
        </w:tc>
        <w:tc>
          <w:tcPr>
            <w:tcW w:w="60" w:type="dxa"/>
            <w:vAlign w:val="bottom"/>
          </w:tcPr>
          <w:p>
            <w:pPr>
              <w:spacing w:after="0"/>
              <w:rPr>
                <w:sz w:val="20"/>
                <w:szCs w:val="20"/>
                <w:color w:val="auto"/>
              </w:rPr>
            </w:pPr>
          </w:p>
        </w:tc>
        <w:tc>
          <w:tcPr>
            <w:tcW w:w="5220" w:type="dxa"/>
            <w:vAlign w:val="bottom"/>
          </w:tcPr>
          <w:p>
            <w:pPr>
              <w:ind w:left="80"/>
              <w:spacing w:after="0"/>
              <w:rPr>
                <w:sz w:val="20"/>
                <w:szCs w:val="20"/>
                <w:color w:val="auto"/>
              </w:rPr>
            </w:pPr>
            <w:r>
              <w:rPr>
                <w:rFonts w:ascii="Arial" w:cs="Arial" w:eastAsia="Arial" w:hAnsi="Arial"/>
                <w:sz w:val="16"/>
                <w:szCs w:val="16"/>
                <w:b w:val="1"/>
                <w:bCs w:val="1"/>
                <w:color w:val="0000FF"/>
              </w:rPr>
              <w:t>Managed Investment Entities</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0000FF"/>
              </w:rPr>
              <w:t>37</w:t>
            </w:r>
          </w:p>
        </w:tc>
        <w:tc>
          <w:tcPr>
            <w:tcW w:w="20" w:type="dxa"/>
            <w:vAlign w:val="bottom"/>
          </w:tcPr>
          <w:p>
            <w:pPr>
              <w:spacing w:after="0"/>
              <w:rPr>
                <w:sz w:val="20"/>
                <w:szCs w:val="20"/>
                <w:color w:val="auto"/>
              </w:rPr>
            </w:pPr>
          </w:p>
        </w:tc>
      </w:tr>
      <w:tr>
        <w:trPr>
          <w:trHeight w:val="216"/>
        </w:trPr>
        <w:tc>
          <w:tcPr>
            <w:tcW w:w="5160" w:type="dxa"/>
            <w:vAlign w:val="bottom"/>
          </w:tcPr>
          <w:p>
            <w:pPr>
              <w:ind w:left="20"/>
              <w:spacing w:after="0"/>
              <w:rPr>
                <w:sz w:val="20"/>
                <w:szCs w:val="20"/>
                <w:color w:val="auto"/>
              </w:rPr>
            </w:pPr>
            <w:r>
              <w:rPr>
                <w:rFonts w:ascii="Arial" w:cs="Arial" w:eastAsia="Arial" w:hAnsi="Arial"/>
                <w:sz w:val="16"/>
                <w:szCs w:val="16"/>
                <w:b w:val="1"/>
                <w:bCs w:val="1"/>
                <w:color w:val="0000FF"/>
              </w:rPr>
              <w:t>Overview</w:t>
            </w:r>
          </w:p>
        </w:tc>
        <w:tc>
          <w:tcPr>
            <w:tcW w:w="400" w:type="dxa"/>
            <w:vAlign w:val="bottom"/>
          </w:tcPr>
          <w:p>
            <w:pPr>
              <w:jc w:val="right"/>
              <w:spacing w:after="0"/>
              <w:rPr>
                <w:sz w:val="20"/>
                <w:szCs w:val="20"/>
                <w:color w:val="auto"/>
              </w:rPr>
            </w:pPr>
            <w:r>
              <w:rPr>
                <w:rFonts w:ascii="Arial" w:cs="Arial" w:eastAsia="Arial" w:hAnsi="Arial"/>
                <w:sz w:val="16"/>
                <w:szCs w:val="16"/>
                <w:b w:val="1"/>
                <w:bCs w:val="1"/>
                <w:color w:val="0000FF"/>
              </w:rPr>
              <w:t>30</w:t>
            </w:r>
          </w:p>
        </w:tc>
        <w:tc>
          <w:tcPr>
            <w:tcW w:w="60" w:type="dxa"/>
            <w:vAlign w:val="bottom"/>
          </w:tcPr>
          <w:p>
            <w:pPr>
              <w:spacing w:after="0"/>
              <w:rPr>
                <w:sz w:val="18"/>
                <w:szCs w:val="18"/>
                <w:color w:val="auto"/>
              </w:rPr>
            </w:pPr>
          </w:p>
        </w:tc>
        <w:tc>
          <w:tcPr>
            <w:tcW w:w="5220" w:type="dxa"/>
            <w:vAlign w:val="bottom"/>
          </w:tcPr>
          <w:p>
            <w:pPr>
              <w:ind w:left="80"/>
              <w:spacing w:after="0"/>
              <w:rPr>
                <w:sz w:val="20"/>
                <w:szCs w:val="20"/>
                <w:color w:val="auto"/>
              </w:rPr>
            </w:pPr>
            <w:r>
              <w:rPr>
                <w:rFonts w:ascii="Arial" w:cs="Arial" w:eastAsia="Arial" w:hAnsi="Arial"/>
                <w:sz w:val="16"/>
                <w:szCs w:val="16"/>
                <w:b w:val="1"/>
                <w:bCs w:val="1"/>
                <w:color w:val="0000FF"/>
              </w:rPr>
              <w:t>Results of Operations</w:t>
            </w:r>
          </w:p>
        </w:tc>
        <w:tc>
          <w:tcPr>
            <w:tcW w:w="380" w:type="dxa"/>
            <w:vAlign w:val="bottom"/>
          </w:tcPr>
          <w:p>
            <w:pPr>
              <w:jc w:val="right"/>
              <w:spacing w:after="0"/>
              <w:rPr>
                <w:sz w:val="20"/>
                <w:szCs w:val="20"/>
                <w:color w:val="auto"/>
              </w:rPr>
            </w:pPr>
            <w:r>
              <w:rPr>
                <w:rFonts w:ascii="Arial" w:cs="Arial" w:eastAsia="Arial" w:hAnsi="Arial"/>
                <w:sz w:val="16"/>
                <w:szCs w:val="16"/>
                <w:b w:val="1"/>
                <w:bCs w:val="1"/>
                <w:color w:val="0000FF"/>
              </w:rPr>
              <w:t>39</w:t>
            </w:r>
          </w:p>
        </w:tc>
        <w:tc>
          <w:tcPr>
            <w:tcW w:w="20" w:type="dxa"/>
            <w:vAlign w:val="bottom"/>
          </w:tcPr>
          <w:p>
            <w:pPr>
              <w:spacing w:after="0"/>
              <w:rPr>
                <w:sz w:val="18"/>
                <w:szCs w:val="18"/>
                <w:color w:val="auto"/>
              </w:rPr>
            </w:pPr>
          </w:p>
        </w:tc>
      </w:tr>
      <w:tr>
        <w:trPr>
          <w:trHeight w:val="216"/>
        </w:trPr>
        <w:tc>
          <w:tcPr>
            <w:tcW w:w="5160" w:type="dxa"/>
            <w:vAlign w:val="bottom"/>
          </w:tcPr>
          <w:p>
            <w:pPr>
              <w:ind w:left="20"/>
              <w:spacing w:after="0"/>
              <w:rPr>
                <w:sz w:val="20"/>
                <w:szCs w:val="20"/>
                <w:color w:val="auto"/>
              </w:rPr>
            </w:pPr>
            <w:r>
              <w:rPr>
                <w:rFonts w:ascii="Arial" w:cs="Arial" w:eastAsia="Arial" w:hAnsi="Arial"/>
                <w:sz w:val="16"/>
                <w:szCs w:val="16"/>
                <w:b w:val="1"/>
                <w:bCs w:val="1"/>
                <w:color w:val="0000FF"/>
              </w:rPr>
              <w:t>Critical Accounting Policies</w:t>
            </w:r>
          </w:p>
        </w:tc>
        <w:tc>
          <w:tcPr>
            <w:tcW w:w="400" w:type="dxa"/>
            <w:vAlign w:val="bottom"/>
          </w:tcPr>
          <w:p>
            <w:pPr>
              <w:jc w:val="right"/>
              <w:spacing w:after="0"/>
              <w:rPr>
                <w:sz w:val="20"/>
                <w:szCs w:val="20"/>
                <w:color w:val="auto"/>
              </w:rPr>
            </w:pPr>
            <w:r>
              <w:rPr>
                <w:rFonts w:ascii="Arial" w:cs="Arial" w:eastAsia="Arial" w:hAnsi="Arial"/>
                <w:sz w:val="16"/>
                <w:szCs w:val="16"/>
                <w:b w:val="1"/>
                <w:bCs w:val="1"/>
                <w:color w:val="0000FF"/>
              </w:rPr>
              <w:t>30</w:t>
            </w:r>
          </w:p>
        </w:tc>
        <w:tc>
          <w:tcPr>
            <w:tcW w:w="60" w:type="dxa"/>
            <w:vAlign w:val="bottom"/>
          </w:tcPr>
          <w:p>
            <w:pPr>
              <w:spacing w:after="0"/>
              <w:rPr>
                <w:sz w:val="18"/>
                <w:szCs w:val="18"/>
                <w:color w:val="auto"/>
              </w:rPr>
            </w:pPr>
          </w:p>
        </w:tc>
        <w:tc>
          <w:tcPr>
            <w:tcW w:w="5220" w:type="dxa"/>
            <w:vAlign w:val="bottom"/>
          </w:tcPr>
          <w:p>
            <w:pPr>
              <w:ind w:left="400"/>
              <w:spacing w:after="0"/>
              <w:rPr>
                <w:sz w:val="20"/>
                <w:szCs w:val="20"/>
                <w:color w:val="auto"/>
              </w:rPr>
            </w:pPr>
            <w:r>
              <w:rPr>
                <w:rFonts w:ascii="Arial" w:cs="Arial" w:eastAsia="Arial" w:hAnsi="Arial"/>
                <w:sz w:val="16"/>
                <w:szCs w:val="16"/>
                <w:b w:val="1"/>
                <w:bCs w:val="1"/>
                <w:color w:val="0000FF"/>
              </w:rPr>
              <w:t>General</w:t>
            </w:r>
          </w:p>
        </w:tc>
        <w:tc>
          <w:tcPr>
            <w:tcW w:w="380" w:type="dxa"/>
            <w:vAlign w:val="bottom"/>
          </w:tcPr>
          <w:p>
            <w:pPr>
              <w:jc w:val="right"/>
              <w:spacing w:after="0"/>
              <w:rPr>
                <w:sz w:val="20"/>
                <w:szCs w:val="20"/>
                <w:color w:val="auto"/>
              </w:rPr>
            </w:pPr>
            <w:r>
              <w:rPr>
                <w:rFonts w:ascii="Arial" w:cs="Arial" w:eastAsia="Arial" w:hAnsi="Arial"/>
                <w:sz w:val="16"/>
                <w:szCs w:val="16"/>
                <w:b w:val="1"/>
                <w:bCs w:val="1"/>
                <w:color w:val="0000FF"/>
              </w:rPr>
              <w:t>39</w:t>
            </w:r>
          </w:p>
        </w:tc>
        <w:tc>
          <w:tcPr>
            <w:tcW w:w="20" w:type="dxa"/>
            <w:vAlign w:val="bottom"/>
          </w:tcPr>
          <w:p>
            <w:pPr>
              <w:spacing w:after="0"/>
              <w:rPr>
                <w:sz w:val="18"/>
                <w:szCs w:val="18"/>
                <w:color w:val="auto"/>
              </w:rPr>
            </w:pPr>
          </w:p>
        </w:tc>
      </w:tr>
      <w:tr>
        <w:trPr>
          <w:trHeight w:val="216"/>
        </w:trPr>
        <w:tc>
          <w:tcPr>
            <w:tcW w:w="5160" w:type="dxa"/>
            <w:vAlign w:val="bottom"/>
          </w:tcPr>
          <w:p>
            <w:pPr>
              <w:ind w:left="20"/>
              <w:spacing w:after="0"/>
              <w:rPr>
                <w:sz w:val="20"/>
                <w:szCs w:val="20"/>
                <w:color w:val="auto"/>
              </w:rPr>
            </w:pPr>
            <w:r>
              <w:rPr>
                <w:rFonts w:ascii="Arial" w:cs="Arial" w:eastAsia="Arial" w:hAnsi="Arial"/>
                <w:sz w:val="16"/>
                <w:szCs w:val="16"/>
                <w:b w:val="1"/>
                <w:bCs w:val="1"/>
                <w:color w:val="0000FF"/>
              </w:rPr>
              <w:t>Liquidity and Capital Resources</w:t>
            </w:r>
          </w:p>
        </w:tc>
        <w:tc>
          <w:tcPr>
            <w:tcW w:w="400" w:type="dxa"/>
            <w:vAlign w:val="bottom"/>
          </w:tcPr>
          <w:p>
            <w:pPr>
              <w:jc w:val="right"/>
              <w:spacing w:after="0"/>
              <w:rPr>
                <w:sz w:val="20"/>
                <w:szCs w:val="20"/>
                <w:color w:val="auto"/>
              </w:rPr>
            </w:pPr>
            <w:r>
              <w:rPr>
                <w:rFonts w:ascii="Arial" w:cs="Arial" w:eastAsia="Arial" w:hAnsi="Arial"/>
                <w:sz w:val="16"/>
                <w:szCs w:val="16"/>
                <w:b w:val="1"/>
                <w:bCs w:val="1"/>
                <w:color w:val="0000FF"/>
              </w:rPr>
              <w:t>31</w:t>
            </w:r>
          </w:p>
        </w:tc>
        <w:tc>
          <w:tcPr>
            <w:tcW w:w="60" w:type="dxa"/>
            <w:vAlign w:val="bottom"/>
          </w:tcPr>
          <w:p>
            <w:pPr>
              <w:spacing w:after="0"/>
              <w:rPr>
                <w:sz w:val="18"/>
                <w:szCs w:val="18"/>
                <w:color w:val="auto"/>
              </w:rPr>
            </w:pPr>
          </w:p>
        </w:tc>
        <w:tc>
          <w:tcPr>
            <w:tcW w:w="5220" w:type="dxa"/>
            <w:vAlign w:val="bottom"/>
          </w:tcPr>
          <w:p>
            <w:pPr>
              <w:ind w:left="400"/>
              <w:spacing w:after="0"/>
              <w:rPr>
                <w:sz w:val="20"/>
                <w:szCs w:val="20"/>
                <w:color w:val="auto"/>
              </w:rPr>
            </w:pPr>
            <w:r>
              <w:rPr>
                <w:rFonts w:ascii="Arial" w:cs="Arial" w:eastAsia="Arial" w:hAnsi="Arial"/>
                <w:sz w:val="16"/>
                <w:szCs w:val="16"/>
                <w:b w:val="1"/>
                <w:bCs w:val="1"/>
                <w:color w:val="0000FF"/>
              </w:rPr>
              <w:t>Segmented Statement of Earnings</w:t>
            </w:r>
          </w:p>
        </w:tc>
        <w:tc>
          <w:tcPr>
            <w:tcW w:w="380" w:type="dxa"/>
            <w:vAlign w:val="bottom"/>
          </w:tcPr>
          <w:p>
            <w:pPr>
              <w:jc w:val="right"/>
              <w:spacing w:after="0"/>
              <w:rPr>
                <w:sz w:val="20"/>
                <w:szCs w:val="20"/>
                <w:color w:val="auto"/>
              </w:rPr>
            </w:pPr>
            <w:r>
              <w:rPr>
                <w:rFonts w:ascii="Arial" w:cs="Arial" w:eastAsia="Arial" w:hAnsi="Arial"/>
                <w:sz w:val="16"/>
                <w:szCs w:val="16"/>
                <w:b w:val="1"/>
                <w:bCs w:val="1"/>
                <w:color w:val="0000FF"/>
              </w:rPr>
              <w:t>40</w:t>
            </w:r>
          </w:p>
        </w:tc>
        <w:tc>
          <w:tcPr>
            <w:tcW w:w="20" w:type="dxa"/>
            <w:vAlign w:val="bottom"/>
          </w:tcPr>
          <w:p>
            <w:pPr>
              <w:spacing w:after="0"/>
              <w:rPr>
                <w:sz w:val="18"/>
                <w:szCs w:val="18"/>
                <w:color w:val="auto"/>
              </w:rPr>
            </w:pPr>
          </w:p>
        </w:tc>
      </w:tr>
      <w:tr>
        <w:trPr>
          <w:trHeight w:val="216"/>
        </w:trPr>
        <w:tc>
          <w:tcPr>
            <w:tcW w:w="5160" w:type="dxa"/>
            <w:vAlign w:val="bottom"/>
          </w:tcPr>
          <w:p>
            <w:pPr>
              <w:ind w:left="360"/>
              <w:spacing w:after="0"/>
              <w:rPr>
                <w:sz w:val="20"/>
                <w:szCs w:val="20"/>
                <w:color w:val="auto"/>
              </w:rPr>
            </w:pPr>
            <w:r>
              <w:rPr>
                <w:rFonts w:ascii="Arial" w:cs="Arial" w:eastAsia="Arial" w:hAnsi="Arial"/>
                <w:sz w:val="16"/>
                <w:szCs w:val="16"/>
                <w:b w:val="1"/>
                <w:bCs w:val="1"/>
                <w:color w:val="0000FF"/>
              </w:rPr>
              <w:t>Ratios</w:t>
            </w:r>
          </w:p>
        </w:tc>
        <w:tc>
          <w:tcPr>
            <w:tcW w:w="400" w:type="dxa"/>
            <w:vAlign w:val="bottom"/>
          </w:tcPr>
          <w:p>
            <w:pPr>
              <w:jc w:val="right"/>
              <w:spacing w:after="0"/>
              <w:rPr>
                <w:sz w:val="20"/>
                <w:szCs w:val="20"/>
                <w:color w:val="auto"/>
              </w:rPr>
            </w:pPr>
            <w:r>
              <w:rPr>
                <w:rFonts w:ascii="Arial" w:cs="Arial" w:eastAsia="Arial" w:hAnsi="Arial"/>
                <w:sz w:val="16"/>
                <w:szCs w:val="16"/>
                <w:b w:val="1"/>
                <w:bCs w:val="1"/>
                <w:color w:val="0000FF"/>
              </w:rPr>
              <w:t>31</w:t>
            </w:r>
          </w:p>
        </w:tc>
        <w:tc>
          <w:tcPr>
            <w:tcW w:w="60" w:type="dxa"/>
            <w:vAlign w:val="bottom"/>
          </w:tcPr>
          <w:p>
            <w:pPr>
              <w:spacing w:after="0"/>
              <w:rPr>
                <w:sz w:val="18"/>
                <w:szCs w:val="18"/>
                <w:color w:val="auto"/>
              </w:rPr>
            </w:pPr>
          </w:p>
        </w:tc>
        <w:tc>
          <w:tcPr>
            <w:tcW w:w="5220" w:type="dxa"/>
            <w:vAlign w:val="bottom"/>
          </w:tcPr>
          <w:p>
            <w:pPr>
              <w:ind w:left="400"/>
              <w:spacing w:after="0"/>
              <w:rPr>
                <w:sz w:val="20"/>
                <w:szCs w:val="20"/>
                <w:color w:val="auto"/>
              </w:rPr>
            </w:pPr>
            <w:r>
              <w:rPr>
                <w:rFonts w:ascii="Arial" w:cs="Arial" w:eastAsia="Arial" w:hAnsi="Arial"/>
                <w:sz w:val="16"/>
                <w:szCs w:val="16"/>
                <w:b w:val="1"/>
                <w:bCs w:val="1"/>
                <w:color w:val="0000FF"/>
              </w:rPr>
              <w:t>Property and Casualty Insurance</w:t>
            </w:r>
          </w:p>
        </w:tc>
        <w:tc>
          <w:tcPr>
            <w:tcW w:w="380" w:type="dxa"/>
            <w:vAlign w:val="bottom"/>
          </w:tcPr>
          <w:p>
            <w:pPr>
              <w:jc w:val="right"/>
              <w:spacing w:after="0"/>
              <w:rPr>
                <w:sz w:val="20"/>
                <w:szCs w:val="20"/>
                <w:color w:val="auto"/>
              </w:rPr>
            </w:pPr>
            <w:r>
              <w:rPr>
                <w:rFonts w:ascii="Arial" w:cs="Arial" w:eastAsia="Arial" w:hAnsi="Arial"/>
                <w:sz w:val="16"/>
                <w:szCs w:val="16"/>
                <w:b w:val="1"/>
                <w:bCs w:val="1"/>
                <w:color w:val="0000FF"/>
              </w:rPr>
              <w:t>41</w:t>
            </w:r>
          </w:p>
        </w:tc>
        <w:tc>
          <w:tcPr>
            <w:tcW w:w="20" w:type="dxa"/>
            <w:vAlign w:val="bottom"/>
          </w:tcPr>
          <w:p>
            <w:pPr>
              <w:spacing w:after="0"/>
              <w:rPr>
                <w:sz w:val="18"/>
                <w:szCs w:val="18"/>
                <w:color w:val="auto"/>
              </w:rPr>
            </w:pPr>
          </w:p>
        </w:tc>
      </w:tr>
      <w:tr>
        <w:trPr>
          <w:trHeight w:val="216"/>
        </w:trPr>
        <w:tc>
          <w:tcPr>
            <w:tcW w:w="5160" w:type="dxa"/>
            <w:vAlign w:val="bottom"/>
          </w:tcPr>
          <w:p>
            <w:pPr>
              <w:ind w:left="360"/>
              <w:spacing w:after="0"/>
              <w:rPr>
                <w:sz w:val="20"/>
                <w:szCs w:val="20"/>
                <w:color w:val="auto"/>
              </w:rPr>
            </w:pPr>
            <w:r>
              <w:rPr>
                <w:rFonts w:ascii="Arial" w:cs="Arial" w:eastAsia="Arial" w:hAnsi="Arial"/>
                <w:sz w:val="16"/>
                <w:szCs w:val="16"/>
                <w:b w:val="1"/>
                <w:bCs w:val="1"/>
                <w:color w:val="0000FF"/>
              </w:rPr>
              <w:t>Condensed Consolidated Cash Flows</w:t>
            </w:r>
          </w:p>
        </w:tc>
        <w:tc>
          <w:tcPr>
            <w:tcW w:w="400" w:type="dxa"/>
            <w:vAlign w:val="bottom"/>
          </w:tcPr>
          <w:p>
            <w:pPr>
              <w:jc w:val="right"/>
              <w:spacing w:after="0"/>
              <w:rPr>
                <w:sz w:val="20"/>
                <w:szCs w:val="20"/>
                <w:color w:val="auto"/>
              </w:rPr>
            </w:pPr>
            <w:r>
              <w:rPr>
                <w:rFonts w:ascii="Arial" w:cs="Arial" w:eastAsia="Arial" w:hAnsi="Arial"/>
                <w:sz w:val="16"/>
                <w:szCs w:val="16"/>
                <w:b w:val="1"/>
                <w:bCs w:val="1"/>
                <w:color w:val="0000FF"/>
              </w:rPr>
              <w:t>31</w:t>
            </w:r>
          </w:p>
        </w:tc>
        <w:tc>
          <w:tcPr>
            <w:tcW w:w="60" w:type="dxa"/>
            <w:vAlign w:val="bottom"/>
          </w:tcPr>
          <w:p>
            <w:pPr>
              <w:spacing w:after="0"/>
              <w:rPr>
                <w:sz w:val="18"/>
                <w:szCs w:val="18"/>
                <w:color w:val="auto"/>
              </w:rPr>
            </w:pPr>
          </w:p>
        </w:tc>
        <w:tc>
          <w:tcPr>
            <w:tcW w:w="5220" w:type="dxa"/>
            <w:vAlign w:val="bottom"/>
          </w:tcPr>
          <w:p>
            <w:pPr>
              <w:ind w:left="400"/>
              <w:spacing w:after="0"/>
              <w:rPr>
                <w:sz w:val="20"/>
                <w:szCs w:val="20"/>
                <w:color w:val="auto"/>
              </w:rPr>
            </w:pPr>
            <w:r>
              <w:rPr>
                <w:rFonts w:ascii="Arial" w:cs="Arial" w:eastAsia="Arial" w:hAnsi="Arial"/>
                <w:sz w:val="16"/>
                <w:szCs w:val="16"/>
                <w:b w:val="1"/>
                <w:bCs w:val="1"/>
                <w:color w:val="0000FF"/>
              </w:rPr>
              <w:t>Holding Company, Other and Unallocated</w:t>
            </w:r>
          </w:p>
        </w:tc>
        <w:tc>
          <w:tcPr>
            <w:tcW w:w="380" w:type="dxa"/>
            <w:vAlign w:val="bottom"/>
          </w:tcPr>
          <w:p>
            <w:pPr>
              <w:jc w:val="right"/>
              <w:spacing w:after="0"/>
              <w:rPr>
                <w:sz w:val="20"/>
                <w:szCs w:val="20"/>
                <w:color w:val="auto"/>
              </w:rPr>
            </w:pPr>
            <w:r>
              <w:rPr>
                <w:rFonts w:ascii="Arial" w:cs="Arial" w:eastAsia="Arial" w:hAnsi="Arial"/>
                <w:sz w:val="16"/>
                <w:szCs w:val="16"/>
                <w:b w:val="1"/>
                <w:bCs w:val="1"/>
                <w:color w:val="0000FF"/>
              </w:rPr>
              <w:t>49</w:t>
            </w:r>
          </w:p>
        </w:tc>
        <w:tc>
          <w:tcPr>
            <w:tcW w:w="20" w:type="dxa"/>
            <w:vAlign w:val="bottom"/>
          </w:tcPr>
          <w:p>
            <w:pPr>
              <w:spacing w:after="0"/>
              <w:rPr>
                <w:sz w:val="18"/>
                <w:szCs w:val="18"/>
                <w:color w:val="auto"/>
              </w:rPr>
            </w:pPr>
          </w:p>
        </w:tc>
      </w:tr>
      <w:tr>
        <w:trPr>
          <w:trHeight w:val="216"/>
        </w:trPr>
        <w:tc>
          <w:tcPr>
            <w:tcW w:w="5160" w:type="dxa"/>
            <w:vAlign w:val="bottom"/>
          </w:tcPr>
          <w:p>
            <w:pPr>
              <w:ind w:left="360"/>
              <w:spacing w:after="0"/>
              <w:rPr>
                <w:sz w:val="20"/>
                <w:szCs w:val="20"/>
                <w:color w:val="auto"/>
              </w:rPr>
            </w:pPr>
            <w:r>
              <w:rPr>
                <w:rFonts w:ascii="Arial" w:cs="Arial" w:eastAsia="Arial" w:hAnsi="Arial"/>
                <w:sz w:val="16"/>
                <w:szCs w:val="16"/>
                <w:b w:val="1"/>
                <w:bCs w:val="1"/>
                <w:color w:val="0000FF"/>
              </w:rPr>
              <w:t>Parent and Subsidiary Liquidity</w:t>
            </w:r>
          </w:p>
        </w:tc>
        <w:tc>
          <w:tcPr>
            <w:tcW w:w="400" w:type="dxa"/>
            <w:vAlign w:val="bottom"/>
          </w:tcPr>
          <w:p>
            <w:pPr>
              <w:jc w:val="right"/>
              <w:spacing w:after="0"/>
              <w:rPr>
                <w:sz w:val="20"/>
                <w:szCs w:val="20"/>
                <w:color w:val="auto"/>
              </w:rPr>
            </w:pPr>
            <w:r>
              <w:rPr>
                <w:rFonts w:ascii="Arial" w:cs="Arial" w:eastAsia="Arial" w:hAnsi="Arial"/>
                <w:sz w:val="16"/>
                <w:szCs w:val="16"/>
                <w:b w:val="1"/>
                <w:bCs w:val="1"/>
                <w:color w:val="0000FF"/>
              </w:rPr>
              <w:t>32</w:t>
            </w:r>
          </w:p>
        </w:tc>
        <w:tc>
          <w:tcPr>
            <w:tcW w:w="60" w:type="dxa"/>
            <w:vAlign w:val="bottom"/>
          </w:tcPr>
          <w:p>
            <w:pPr>
              <w:spacing w:after="0"/>
              <w:rPr>
                <w:sz w:val="18"/>
                <w:szCs w:val="18"/>
                <w:color w:val="auto"/>
              </w:rPr>
            </w:pPr>
          </w:p>
        </w:tc>
        <w:tc>
          <w:tcPr>
            <w:tcW w:w="5220" w:type="dxa"/>
            <w:vAlign w:val="bottom"/>
          </w:tcPr>
          <w:p>
            <w:pPr>
              <w:ind w:left="80"/>
              <w:spacing w:after="0"/>
              <w:rPr>
                <w:sz w:val="20"/>
                <w:szCs w:val="20"/>
                <w:color w:val="auto"/>
              </w:rPr>
            </w:pPr>
            <w:r>
              <w:rPr>
                <w:rFonts w:ascii="Arial" w:cs="Arial" w:eastAsia="Arial" w:hAnsi="Arial"/>
                <w:sz w:val="16"/>
                <w:szCs w:val="16"/>
                <w:b w:val="1"/>
                <w:bCs w:val="1"/>
                <w:color w:val="0000FF"/>
              </w:rPr>
              <w:t>Recent Accounting Standards</w:t>
            </w:r>
          </w:p>
        </w:tc>
        <w:tc>
          <w:tcPr>
            <w:tcW w:w="380" w:type="dxa"/>
            <w:vAlign w:val="bottom"/>
          </w:tcPr>
          <w:p>
            <w:pPr>
              <w:jc w:val="right"/>
              <w:spacing w:after="0"/>
              <w:rPr>
                <w:sz w:val="20"/>
                <w:szCs w:val="20"/>
                <w:color w:val="auto"/>
              </w:rPr>
            </w:pPr>
            <w:r>
              <w:rPr>
                <w:rFonts w:ascii="Arial" w:cs="Arial" w:eastAsia="Arial" w:hAnsi="Arial"/>
                <w:sz w:val="16"/>
                <w:szCs w:val="16"/>
                <w:b w:val="1"/>
                <w:bCs w:val="1"/>
                <w:color w:val="0000FF"/>
              </w:rPr>
              <w:t>50</w:t>
            </w:r>
          </w:p>
        </w:tc>
        <w:tc>
          <w:tcPr>
            <w:tcW w:w="20" w:type="dxa"/>
            <w:vAlign w:val="bottom"/>
          </w:tcPr>
          <w:p>
            <w:pPr>
              <w:spacing w:after="0"/>
              <w:rPr>
                <w:sz w:val="18"/>
                <w:szCs w:val="18"/>
                <w:color w:val="auto"/>
              </w:rPr>
            </w:pPr>
          </w:p>
        </w:tc>
      </w:tr>
      <w:tr>
        <w:trPr>
          <w:trHeight w:val="216"/>
        </w:trPr>
        <w:tc>
          <w:tcPr>
            <w:tcW w:w="5160" w:type="dxa"/>
            <w:vAlign w:val="bottom"/>
          </w:tcPr>
          <w:p>
            <w:pPr>
              <w:ind w:left="360"/>
              <w:spacing w:after="0"/>
              <w:rPr>
                <w:sz w:val="20"/>
                <w:szCs w:val="20"/>
                <w:color w:val="auto"/>
              </w:rPr>
            </w:pPr>
            <w:r>
              <w:rPr>
                <w:rFonts w:ascii="Arial" w:cs="Arial" w:eastAsia="Arial" w:hAnsi="Arial"/>
                <w:sz w:val="16"/>
                <w:szCs w:val="16"/>
                <w:b w:val="1"/>
                <w:bCs w:val="1"/>
                <w:color w:val="0000FF"/>
              </w:rPr>
              <w:t>Investments</w:t>
            </w:r>
          </w:p>
        </w:tc>
        <w:tc>
          <w:tcPr>
            <w:tcW w:w="400" w:type="dxa"/>
            <w:vAlign w:val="bottom"/>
          </w:tcPr>
          <w:p>
            <w:pPr>
              <w:jc w:val="right"/>
              <w:spacing w:after="0"/>
              <w:rPr>
                <w:sz w:val="20"/>
                <w:szCs w:val="20"/>
                <w:color w:val="auto"/>
              </w:rPr>
            </w:pPr>
            <w:r>
              <w:rPr>
                <w:rFonts w:ascii="Arial" w:cs="Arial" w:eastAsia="Arial" w:hAnsi="Arial"/>
                <w:sz w:val="16"/>
                <w:szCs w:val="16"/>
                <w:b w:val="1"/>
                <w:bCs w:val="1"/>
                <w:color w:val="0000FF"/>
              </w:rPr>
              <w:t>33</w:t>
            </w:r>
          </w:p>
        </w:tc>
        <w:tc>
          <w:tcPr>
            <w:tcW w:w="6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3"/>
        </w:trPr>
        <w:tc>
          <w:tcPr>
            <w:tcW w:w="5160" w:type="dxa"/>
            <w:vAlign w:val="bottom"/>
          </w:tcPr>
          <w:p>
            <w:pPr>
              <w:ind w:left="360"/>
              <w:spacing w:after="0"/>
              <w:rPr>
                <w:sz w:val="20"/>
                <w:szCs w:val="20"/>
                <w:color w:val="auto"/>
              </w:rPr>
            </w:pPr>
            <w:r>
              <w:rPr>
                <w:rFonts w:ascii="Arial" w:cs="Arial" w:eastAsia="Arial" w:hAnsi="Arial"/>
                <w:sz w:val="16"/>
                <w:szCs w:val="16"/>
                <w:b w:val="1"/>
                <w:bCs w:val="1"/>
                <w:color w:val="0000FF"/>
              </w:rPr>
              <w:t>Uncertainties</w:t>
            </w:r>
          </w:p>
        </w:tc>
        <w:tc>
          <w:tcPr>
            <w:tcW w:w="400" w:type="dxa"/>
            <w:vAlign w:val="bottom"/>
          </w:tcPr>
          <w:p>
            <w:pPr>
              <w:jc w:val="right"/>
              <w:spacing w:after="0"/>
              <w:rPr>
                <w:sz w:val="20"/>
                <w:szCs w:val="20"/>
                <w:color w:val="auto"/>
              </w:rPr>
            </w:pPr>
            <w:r>
              <w:rPr>
                <w:rFonts w:ascii="Arial" w:cs="Arial" w:eastAsia="Arial" w:hAnsi="Arial"/>
                <w:sz w:val="16"/>
                <w:szCs w:val="16"/>
                <w:b w:val="1"/>
                <w:bCs w:val="1"/>
                <w:color w:val="0000FF"/>
              </w:rPr>
              <w:t>36</w:t>
            </w:r>
          </w:p>
        </w:tc>
        <w:tc>
          <w:tcPr>
            <w:tcW w:w="60" w:type="dxa"/>
            <w:vAlign w:val="bottom"/>
          </w:tcPr>
          <w:p>
            <w:pPr>
              <w:spacing w:after="0"/>
              <w:rPr>
                <w:sz w:val="19"/>
                <w:szCs w:val="19"/>
                <w:color w:val="auto"/>
              </w:rPr>
            </w:pPr>
          </w:p>
        </w:tc>
        <w:tc>
          <w:tcPr>
            <w:tcW w:w="5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88"/>
        </w:trPr>
        <w:tc>
          <w:tcPr>
            <w:tcW w:w="516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522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r>
    </w:tbl>
    <w:p>
      <w:pPr>
        <w:spacing w:after="0" w:line="314"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FORWARD-LOOKING STATEMENTS</w:t>
      </w:r>
    </w:p>
    <w:p>
      <w:pPr>
        <w:spacing w:after="0" w:line="109"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The Private Securities Litigation Reform Act of 1995 provides a safe harbor for forward-looking statements. Some of the forward-looking statements can be identified by the use of words such as “anticipates”, “believes”, “expects”, “projects”, “estimates”, “intends”, “plans”, “seeks”, “could”, “may”, “should”, “will” or the negative version of those words or other comparable terminology. Such forward-looking statements include statements relating to: expectations concerning market and other conditions and their effect on future premiums, revenues, earnings, investment activities and the amount and timing of share repurchases and special dividends; recoverability of asset values; expected losses and the adequacy of reserves for asbestos, environmental pollution and mass tort claims; rate changes; and improved loss experience.</w:t>
      </w:r>
    </w:p>
    <w:p>
      <w:pPr>
        <w:spacing w:after="0" w:line="206" w:lineRule="exact"/>
        <w:rPr>
          <w:sz w:val="20"/>
          <w:szCs w:val="20"/>
          <w:color w:val="auto"/>
        </w:rPr>
      </w:pPr>
    </w:p>
    <w:p>
      <w:pPr>
        <w:ind w:right="140"/>
        <w:spacing w:after="0" w:line="260" w:lineRule="auto"/>
        <w:rPr>
          <w:sz w:val="20"/>
          <w:szCs w:val="20"/>
          <w:color w:val="auto"/>
        </w:rPr>
      </w:pPr>
      <w:r>
        <w:rPr>
          <w:rFonts w:ascii="Arial" w:cs="Arial" w:eastAsia="Arial" w:hAnsi="Arial"/>
          <w:sz w:val="17"/>
          <w:szCs w:val="17"/>
          <w:color w:val="auto"/>
        </w:rPr>
        <w:t xml:space="preserve">Actual results and/or financial condition could differ materially from those contained in or implied by such forward-looking statements for a variety of reasons including but not limited to the following and the risks and uncertainties AFG describes in the </w:t>
      </w:r>
      <w:r>
        <w:rPr>
          <w:rFonts w:ascii="Arial" w:cs="Arial" w:eastAsia="Arial" w:hAnsi="Arial"/>
          <w:sz w:val="17"/>
          <w:szCs w:val="17"/>
          <w:i w:val="1"/>
          <w:iCs w:val="1"/>
          <w:color w:val="auto"/>
        </w:rPr>
        <w:t>“Risk Factors”</w:t>
      </w:r>
      <w:r>
        <w:rPr>
          <w:rFonts w:ascii="Arial" w:cs="Arial" w:eastAsia="Arial" w:hAnsi="Arial"/>
          <w:sz w:val="17"/>
          <w:szCs w:val="17"/>
          <w:color w:val="auto"/>
        </w:rPr>
        <w:t xml:space="preserve"> section of its most recent Annual Report on Form 10-K, as updated by its other reports filed with the Securities and Exchange Commission, including:</w:t>
      </w:r>
    </w:p>
    <w:p>
      <w:pPr>
        <w:spacing w:after="0" w:line="2" w:lineRule="exact"/>
        <w:rPr>
          <w:sz w:val="20"/>
          <w:szCs w:val="20"/>
          <w:color w:val="auto"/>
        </w:rPr>
      </w:pPr>
    </w:p>
    <w:p>
      <w:pPr>
        <w:ind w:left="560" w:hanging="309"/>
        <w:spacing w:after="0"/>
        <w:tabs>
          <w:tab w:leader="none" w:pos="5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whether or not the sale of Charleston Harbor Resort &amp; Marina closes and AFG’s net gain as a result of the sale;</w:t>
      </w:r>
    </w:p>
    <w:p>
      <w:pPr>
        <w:spacing w:after="0" w:line="7" w:lineRule="exact"/>
        <w:rPr>
          <w:rFonts w:ascii="Arial" w:cs="Arial" w:eastAsia="Arial" w:hAnsi="Arial"/>
          <w:sz w:val="17"/>
          <w:szCs w:val="17"/>
          <w:color w:val="auto"/>
        </w:rPr>
      </w:pPr>
    </w:p>
    <w:p>
      <w:pPr>
        <w:ind w:left="580" w:right="40" w:hanging="329"/>
        <w:spacing w:after="0" w:line="252" w:lineRule="auto"/>
        <w:tabs>
          <w:tab w:leader="none" w:pos="572" w:val="left"/>
        </w:tabs>
        <w:numPr>
          <w:ilvl w:val="0"/>
          <w:numId w:val="27"/>
        </w:numPr>
        <w:rPr>
          <w:rFonts w:ascii="Arial" w:cs="Arial" w:eastAsia="Arial" w:hAnsi="Arial"/>
          <w:sz w:val="17"/>
          <w:szCs w:val="17"/>
          <w:color w:val="auto"/>
        </w:rPr>
      </w:pPr>
      <w:r>
        <w:rPr>
          <w:rFonts w:ascii="Arial" w:cs="Arial" w:eastAsia="Arial" w:hAnsi="Arial"/>
          <w:sz w:val="17"/>
          <w:szCs w:val="17"/>
          <w:color w:val="auto"/>
        </w:rPr>
        <w:t>changes in financial, political and economic conditions, including changes in interest and inflation rates and impacts from tariffs or other trade actions, currency fluctuations and extended economic recessions or expansions in the U.S. and/or abroad;</w:t>
      </w:r>
    </w:p>
    <w:p>
      <w:pPr>
        <w:ind w:left="560" w:hanging="309"/>
        <w:spacing w:after="0"/>
        <w:tabs>
          <w:tab w:leader="none" w:pos="5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performance of securities markets;</w:t>
      </w:r>
    </w:p>
    <w:p>
      <w:pPr>
        <w:spacing w:after="0" w:line="14" w:lineRule="exact"/>
        <w:rPr>
          <w:rFonts w:ascii="Arial" w:cs="Arial" w:eastAsia="Arial" w:hAnsi="Arial"/>
          <w:sz w:val="17"/>
          <w:szCs w:val="17"/>
          <w:color w:val="auto"/>
        </w:rPr>
      </w:pPr>
    </w:p>
    <w:p>
      <w:pPr>
        <w:ind w:left="580" w:right="800" w:hanging="329"/>
        <w:spacing w:after="0" w:line="248" w:lineRule="auto"/>
        <w:tabs>
          <w:tab w:leader="none" w:pos="572" w:val="left"/>
        </w:tabs>
        <w:numPr>
          <w:ilvl w:val="0"/>
          <w:numId w:val="27"/>
        </w:numPr>
        <w:rPr>
          <w:rFonts w:ascii="Arial" w:cs="Arial" w:eastAsia="Arial" w:hAnsi="Arial"/>
          <w:sz w:val="17"/>
          <w:szCs w:val="17"/>
          <w:color w:val="auto"/>
        </w:rPr>
      </w:pPr>
      <w:r>
        <w:rPr>
          <w:rFonts w:ascii="Arial" w:cs="Arial" w:eastAsia="Arial" w:hAnsi="Arial"/>
          <w:sz w:val="17"/>
          <w:szCs w:val="17"/>
          <w:color w:val="auto"/>
        </w:rPr>
        <w:t>new legislation or declines in credit quality or credit ratings that could have a material impact on the valuation of securities in AFG’s investment portfolio;</w:t>
      </w:r>
    </w:p>
    <w:p>
      <w:pPr>
        <w:spacing w:after="0" w:line="1" w:lineRule="exact"/>
        <w:rPr>
          <w:rFonts w:ascii="Arial" w:cs="Arial" w:eastAsia="Arial" w:hAnsi="Arial"/>
          <w:sz w:val="17"/>
          <w:szCs w:val="17"/>
          <w:color w:val="auto"/>
        </w:rPr>
      </w:pPr>
    </w:p>
    <w:p>
      <w:pPr>
        <w:ind w:left="560" w:hanging="309"/>
        <w:spacing w:after="0"/>
        <w:tabs>
          <w:tab w:leader="none" w:pos="5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availability of capital;</w:t>
      </w:r>
    </w:p>
    <w:p>
      <w:pPr>
        <w:spacing w:after="0" w:line="7" w:lineRule="exact"/>
        <w:rPr>
          <w:rFonts w:ascii="Arial" w:cs="Arial" w:eastAsia="Arial" w:hAnsi="Arial"/>
          <w:sz w:val="17"/>
          <w:szCs w:val="17"/>
          <w:color w:val="auto"/>
        </w:rPr>
      </w:pPr>
    </w:p>
    <w:p>
      <w:pPr>
        <w:ind w:left="560" w:hanging="309"/>
        <w:spacing w:after="0"/>
        <w:tabs>
          <w:tab w:leader="none" w:pos="5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changes in insurance law or regulation, including changes in statutory accounting rules, including modifications to capital requirements;</w:t>
      </w:r>
    </w:p>
    <w:p>
      <w:pPr>
        <w:spacing w:after="0" w:line="7" w:lineRule="exact"/>
        <w:rPr>
          <w:rFonts w:ascii="Arial" w:cs="Arial" w:eastAsia="Arial" w:hAnsi="Arial"/>
          <w:sz w:val="17"/>
          <w:szCs w:val="17"/>
          <w:color w:val="auto"/>
        </w:rPr>
      </w:pPr>
    </w:p>
    <w:p>
      <w:pPr>
        <w:ind w:left="560" w:hanging="309"/>
        <w:spacing w:after="0"/>
        <w:tabs>
          <w:tab w:leader="none" w:pos="5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changes in the legal environment affecting AFG or its customers;</w:t>
      </w:r>
    </w:p>
    <w:p>
      <w:pPr>
        <w:spacing w:after="0" w:line="13" w:lineRule="exact"/>
        <w:rPr>
          <w:rFonts w:ascii="Arial" w:cs="Arial" w:eastAsia="Arial" w:hAnsi="Arial"/>
          <w:sz w:val="17"/>
          <w:szCs w:val="17"/>
          <w:color w:val="auto"/>
        </w:rPr>
      </w:pPr>
    </w:p>
    <w:p>
      <w:pPr>
        <w:ind w:left="560" w:hanging="309"/>
        <w:spacing w:after="0"/>
        <w:tabs>
          <w:tab w:leader="none" w:pos="5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tax law and accounting changes;</w:t>
      </w:r>
    </w:p>
    <w:p>
      <w:pPr>
        <w:spacing w:after="0" w:line="14" w:lineRule="exact"/>
        <w:rPr>
          <w:rFonts w:ascii="Arial" w:cs="Arial" w:eastAsia="Arial" w:hAnsi="Arial"/>
          <w:sz w:val="17"/>
          <w:szCs w:val="17"/>
          <w:color w:val="auto"/>
        </w:rPr>
      </w:pPr>
    </w:p>
    <w:p>
      <w:pPr>
        <w:ind w:left="580" w:right="500" w:hanging="329"/>
        <w:spacing w:after="0" w:line="248" w:lineRule="auto"/>
        <w:tabs>
          <w:tab w:leader="none" w:pos="572" w:val="left"/>
        </w:tabs>
        <w:numPr>
          <w:ilvl w:val="0"/>
          <w:numId w:val="27"/>
        </w:numPr>
        <w:rPr>
          <w:rFonts w:ascii="Arial" w:cs="Arial" w:eastAsia="Arial" w:hAnsi="Arial"/>
          <w:sz w:val="17"/>
          <w:szCs w:val="17"/>
          <w:color w:val="auto"/>
        </w:rPr>
      </w:pPr>
      <w:r>
        <w:rPr>
          <w:rFonts w:ascii="Arial" w:cs="Arial" w:eastAsia="Arial" w:hAnsi="Arial"/>
          <w:sz w:val="17"/>
          <w:szCs w:val="17"/>
          <w:color w:val="auto"/>
        </w:rPr>
        <w:t>levels of natural catastrophes and severe weather, terrorist activities (including any nuclear, biological, chemical or radiological events), incidents of war or losses resulting from pandemics, civil unrest and other major losses;</w:t>
      </w:r>
    </w:p>
    <w:p>
      <w:pPr>
        <w:spacing w:after="0" w:line="1" w:lineRule="exact"/>
        <w:rPr>
          <w:rFonts w:ascii="Arial" w:cs="Arial" w:eastAsia="Arial" w:hAnsi="Arial"/>
          <w:sz w:val="17"/>
          <w:szCs w:val="17"/>
          <w:color w:val="auto"/>
        </w:rPr>
      </w:pPr>
    </w:p>
    <w:p>
      <w:pPr>
        <w:ind w:left="580" w:right="340" w:hanging="329"/>
        <w:spacing w:after="0" w:line="252" w:lineRule="auto"/>
        <w:tabs>
          <w:tab w:leader="none" w:pos="572" w:val="left"/>
        </w:tabs>
        <w:numPr>
          <w:ilvl w:val="0"/>
          <w:numId w:val="27"/>
        </w:numPr>
        <w:rPr>
          <w:rFonts w:ascii="Arial" w:cs="Arial" w:eastAsia="Arial" w:hAnsi="Arial"/>
          <w:sz w:val="17"/>
          <w:szCs w:val="17"/>
          <w:color w:val="auto"/>
        </w:rPr>
      </w:pPr>
      <w:r>
        <w:rPr>
          <w:rFonts w:ascii="Arial" w:cs="Arial" w:eastAsia="Arial" w:hAnsi="Arial"/>
          <w:sz w:val="17"/>
          <w:szCs w:val="17"/>
          <w:color w:val="auto"/>
        </w:rPr>
        <w:t>disruption caused by cyber-attacks or other technology breaches or failures by AFG or its business partners and service providers, which could negatively impact AFG’s business or reputation and/or expose AFG to litigation;</w:t>
      </w:r>
    </w:p>
    <w:p>
      <w:pPr>
        <w:ind w:left="580" w:right="180" w:hanging="329"/>
        <w:spacing w:after="0" w:line="253" w:lineRule="auto"/>
        <w:tabs>
          <w:tab w:leader="none" w:pos="572" w:val="left"/>
        </w:tabs>
        <w:numPr>
          <w:ilvl w:val="0"/>
          <w:numId w:val="27"/>
        </w:numPr>
        <w:rPr>
          <w:rFonts w:ascii="Arial" w:cs="Arial" w:eastAsia="Arial" w:hAnsi="Arial"/>
          <w:sz w:val="17"/>
          <w:szCs w:val="17"/>
          <w:color w:val="auto"/>
        </w:rPr>
      </w:pPr>
      <w:r>
        <w:rPr>
          <w:rFonts w:ascii="Arial" w:cs="Arial" w:eastAsia="Arial" w:hAnsi="Arial"/>
          <w:sz w:val="17"/>
          <w:szCs w:val="17"/>
          <w:color w:val="auto"/>
        </w:rPr>
        <w:t>development of insurance loss reserves and establishment of other reserves, particularly with respect to amounts associated with asbestos and environmental claims;</w:t>
      </w:r>
    </w:p>
    <w:p>
      <w:pPr>
        <w:ind w:left="560" w:hanging="309"/>
        <w:spacing w:after="0"/>
        <w:tabs>
          <w:tab w:leader="none" w:pos="5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availability of reinsurance and ability of reinsurers to pay their obligations;</w:t>
      </w:r>
    </w:p>
    <w:p>
      <w:pPr>
        <w:spacing w:after="0" w:line="7" w:lineRule="exact"/>
        <w:rPr>
          <w:rFonts w:ascii="Arial" w:cs="Arial" w:eastAsia="Arial" w:hAnsi="Arial"/>
          <w:sz w:val="17"/>
          <w:szCs w:val="17"/>
          <w:color w:val="auto"/>
        </w:rPr>
      </w:pPr>
    </w:p>
    <w:p>
      <w:pPr>
        <w:ind w:left="560" w:hanging="309"/>
        <w:spacing w:after="0"/>
        <w:tabs>
          <w:tab w:leader="none" w:pos="5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competitive pressures;</w:t>
      </w:r>
    </w:p>
    <w:p>
      <w:pPr>
        <w:spacing w:after="0" w:line="7" w:lineRule="exact"/>
        <w:rPr>
          <w:rFonts w:ascii="Arial" w:cs="Arial" w:eastAsia="Arial" w:hAnsi="Arial"/>
          <w:sz w:val="17"/>
          <w:szCs w:val="17"/>
          <w:color w:val="auto"/>
        </w:rPr>
      </w:pPr>
    </w:p>
    <w:p>
      <w:pPr>
        <w:ind w:left="560" w:hanging="309"/>
        <w:spacing w:after="0"/>
        <w:tabs>
          <w:tab w:leader="none" w:pos="5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ability to obtain adequate rates and policy terms;</w:t>
      </w:r>
    </w:p>
    <w:p>
      <w:pPr>
        <w:spacing w:after="0" w:line="13" w:lineRule="exact"/>
        <w:rPr>
          <w:rFonts w:ascii="Arial" w:cs="Arial" w:eastAsia="Arial" w:hAnsi="Arial"/>
          <w:sz w:val="17"/>
          <w:szCs w:val="17"/>
          <w:color w:val="auto"/>
        </w:rPr>
      </w:pPr>
    </w:p>
    <w:p>
      <w:pPr>
        <w:ind w:left="560" w:hanging="309"/>
        <w:spacing w:after="0"/>
        <w:tabs>
          <w:tab w:leader="none" w:pos="5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changes in AFG’s credit ratings or the financial strength ratings assigned by major ratings agencies to AFG’s operating subsidiaries; and</w:t>
      </w:r>
    </w:p>
    <w:p>
      <w:pPr>
        <w:spacing w:after="0" w:line="14" w:lineRule="exact"/>
        <w:rPr>
          <w:rFonts w:ascii="Arial" w:cs="Arial" w:eastAsia="Arial" w:hAnsi="Arial"/>
          <w:sz w:val="17"/>
          <w:szCs w:val="17"/>
          <w:color w:val="auto"/>
        </w:rPr>
      </w:pPr>
    </w:p>
    <w:p>
      <w:pPr>
        <w:ind w:left="560" w:hanging="309"/>
        <w:spacing w:after="0"/>
        <w:tabs>
          <w:tab w:leader="none" w:pos="5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impact of the conditions in the international financial markets and the global economy relating to AFG’s international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0" w:name="page31"/>
    <w:bookmarkEnd w:id="30"/>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51" w:lineRule="exact"/>
        <w:rPr>
          <w:sz w:val="20"/>
          <w:szCs w:val="20"/>
          <w:color w:val="auto"/>
        </w:rPr>
      </w:pPr>
    </w:p>
    <w:p>
      <w:pPr>
        <w:ind w:right="480"/>
        <w:spacing w:after="0" w:line="284" w:lineRule="auto"/>
        <w:rPr>
          <w:sz w:val="20"/>
          <w:szCs w:val="20"/>
          <w:color w:val="auto"/>
        </w:rPr>
      </w:pPr>
      <w:r>
        <w:rPr>
          <w:rFonts w:ascii="Arial" w:cs="Arial" w:eastAsia="Arial" w:hAnsi="Arial"/>
          <w:sz w:val="17"/>
          <w:szCs w:val="17"/>
          <w:color w:val="auto"/>
        </w:rPr>
        <w:t>The forward-looking statements herein are made only as of the date of this report. The Company assumes no obligation to publicly update any forward-looking statements.</w:t>
      </w:r>
    </w:p>
    <w:p>
      <w:pPr>
        <w:spacing w:after="0" w:line="173" w:lineRule="exact"/>
        <w:rPr>
          <w:sz w:val="20"/>
          <w:szCs w:val="20"/>
          <w:color w:val="auto"/>
        </w:rPr>
      </w:pPr>
    </w:p>
    <w:p>
      <w:pPr>
        <w:spacing w:after="0"/>
        <w:rPr>
          <w:sz w:val="20"/>
          <w:szCs w:val="20"/>
          <w:color w:val="auto"/>
        </w:rPr>
      </w:pPr>
      <w:r>
        <w:rPr>
          <w:rFonts w:ascii="Arial" w:cs="Arial" w:eastAsia="Arial" w:hAnsi="Arial"/>
          <w:sz w:val="29"/>
          <w:szCs w:val="29"/>
          <w:b w:val="1"/>
          <w:bCs w:val="1"/>
          <w:color w:val="003366"/>
        </w:rPr>
        <w:t>OBJECTIVE</w:t>
      </w:r>
    </w:p>
    <w:p>
      <w:pPr>
        <w:spacing w:after="0" w:line="45" w:lineRule="exact"/>
        <w:rPr>
          <w:sz w:val="20"/>
          <w:szCs w:val="20"/>
          <w:color w:val="auto"/>
        </w:rPr>
      </w:pPr>
    </w:p>
    <w:p>
      <w:pPr>
        <w:ind w:right="60"/>
        <w:spacing w:after="0" w:line="256" w:lineRule="auto"/>
        <w:rPr>
          <w:sz w:val="20"/>
          <w:szCs w:val="20"/>
          <w:color w:val="auto"/>
        </w:rPr>
      </w:pPr>
      <w:r>
        <w:rPr>
          <w:rFonts w:ascii="Arial" w:cs="Arial" w:eastAsia="Arial" w:hAnsi="Arial"/>
          <w:sz w:val="17"/>
          <w:szCs w:val="17"/>
          <w:color w:val="auto"/>
        </w:rPr>
        <w:t>The objective of Management’s Discussion and Analysis is to provide a discussion and analysis of the financial statements and other statistical data that management believes will enhance the understanding of AFG’s financial condition, changes in financial condition and results of operations. The tables and narrative that follow are presented in a manner that is consistent with the information that AFG’s management uses to make operational decisions and allocate capital resources. They are provided to demonstrate the nature of the transactions and events that could impact AFG’s financial results. This discussion should be read in conjunction with the financial statements beginning on page 2.</w:t>
      </w:r>
    </w:p>
    <w:p>
      <w:pPr>
        <w:spacing w:after="0" w:line="118" w:lineRule="exact"/>
        <w:rPr>
          <w:sz w:val="20"/>
          <w:szCs w:val="20"/>
          <w:color w:val="auto"/>
        </w:rPr>
      </w:pPr>
    </w:p>
    <w:p>
      <w:pPr>
        <w:spacing w:after="0"/>
        <w:rPr>
          <w:sz w:val="20"/>
          <w:szCs w:val="20"/>
          <w:color w:val="auto"/>
        </w:rPr>
      </w:pPr>
      <w:r>
        <w:rPr>
          <w:rFonts w:ascii="Arial" w:cs="Arial" w:eastAsia="Arial" w:hAnsi="Arial"/>
          <w:sz w:val="29"/>
          <w:szCs w:val="29"/>
          <w:b w:val="1"/>
          <w:bCs w:val="1"/>
          <w:color w:val="003366"/>
        </w:rPr>
        <w:t>OVERVIEW</w:t>
      </w:r>
    </w:p>
    <w:p>
      <w:pPr>
        <w:spacing w:after="0" w:line="270" w:lineRule="exact"/>
        <w:rPr>
          <w:sz w:val="20"/>
          <w:szCs w:val="20"/>
          <w:color w:val="auto"/>
        </w:rPr>
      </w:pPr>
    </w:p>
    <w:p>
      <w:pPr>
        <w:spacing w:after="0"/>
        <w:rPr>
          <w:sz w:val="20"/>
          <w:szCs w:val="20"/>
          <w:color w:val="auto"/>
        </w:rPr>
      </w:pPr>
      <w:r>
        <w:rPr>
          <w:rFonts w:ascii="Arial" w:cs="Arial" w:eastAsia="Arial" w:hAnsi="Arial"/>
          <w:sz w:val="25"/>
          <w:szCs w:val="25"/>
          <w:b w:val="1"/>
          <w:bCs w:val="1"/>
          <w:color w:val="003366"/>
        </w:rPr>
        <w:t>Financial Condition</w:t>
      </w:r>
    </w:p>
    <w:p>
      <w:pPr>
        <w:spacing w:after="0" w:line="28" w:lineRule="exact"/>
        <w:rPr>
          <w:sz w:val="20"/>
          <w:szCs w:val="20"/>
          <w:color w:val="auto"/>
        </w:rPr>
      </w:pPr>
    </w:p>
    <w:p>
      <w:pPr>
        <w:ind w:right="40"/>
        <w:spacing w:after="0" w:line="256" w:lineRule="auto"/>
        <w:rPr>
          <w:sz w:val="20"/>
          <w:szCs w:val="20"/>
          <w:color w:val="auto"/>
        </w:rPr>
      </w:pPr>
      <w:r>
        <w:rPr>
          <w:rFonts w:ascii="Arial" w:cs="Arial" w:eastAsia="Arial" w:hAnsi="Arial"/>
          <w:sz w:val="17"/>
          <w:szCs w:val="17"/>
          <w:color w:val="auto"/>
        </w:rPr>
        <w:t>AFG is organized as a holding company with almost all of its operations being conducted by subsidiaries. AFG, however, has continuing cash needs for administrative expenses, the payment of principal and interest on borrowings, shareholder dividends and taxes. Therefore, certain analyses are most meaningfully presented on a parent only basis while others are best done on a total enterprise basis. In addition, because its businesses are financial in nature, AFG does not prepare its consolidated financial statements using a current-noncurrent format. Consequently, certain traditional ratios and financial analysis tests are not meaningful.</w:t>
      </w:r>
    </w:p>
    <w:p>
      <w:pPr>
        <w:spacing w:after="0" w:line="208" w:lineRule="exact"/>
        <w:rPr>
          <w:sz w:val="20"/>
          <w:szCs w:val="20"/>
          <w:color w:val="auto"/>
        </w:rPr>
      </w:pPr>
    </w:p>
    <w:p>
      <w:pPr>
        <w:spacing w:after="0"/>
        <w:rPr>
          <w:sz w:val="20"/>
          <w:szCs w:val="20"/>
          <w:color w:val="auto"/>
        </w:rPr>
      </w:pPr>
      <w:r>
        <w:rPr>
          <w:rFonts w:ascii="Arial" w:cs="Arial" w:eastAsia="Arial" w:hAnsi="Arial"/>
          <w:sz w:val="25"/>
          <w:szCs w:val="25"/>
          <w:b w:val="1"/>
          <w:bCs w:val="1"/>
          <w:color w:val="003366"/>
        </w:rPr>
        <w:t>Results of Operations</w:t>
      </w:r>
    </w:p>
    <w:p>
      <w:pPr>
        <w:spacing w:after="0" w:line="28" w:lineRule="exact"/>
        <w:rPr>
          <w:sz w:val="20"/>
          <w:szCs w:val="20"/>
          <w:color w:val="auto"/>
        </w:rPr>
      </w:pPr>
    </w:p>
    <w:p>
      <w:pPr>
        <w:ind w:right="640"/>
        <w:spacing w:after="0" w:line="264" w:lineRule="auto"/>
        <w:rPr>
          <w:sz w:val="20"/>
          <w:szCs w:val="20"/>
          <w:color w:val="auto"/>
        </w:rPr>
      </w:pPr>
      <w:r>
        <w:rPr>
          <w:rFonts w:ascii="Arial" w:cs="Arial" w:eastAsia="Arial" w:hAnsi="Arial"/>
          <w:sz w:val="17"/>
          <w:szCs w:val="17"/>
          <w:color w:val="auto"/>
        </w:rPr>
        <w:t>Through the operations of its subsidiaries, AFG is engaged primarily in property and casualty insurance, focusing on specialized commercial products for businesses.</w:t>
      </w:r>
    </w:p>
    <w:p>
      <w:pPr>
        <w:spacing w:after="0" w:line="215" w:lineRule="exact"/>
        <w:rPr>
          <w:sz w:val="20"/>
          <w:szCs w:val="20"/>
          <w:color w:val="auto"/>
        </w:rPr>
      </w:pPr>
    </w:p>
    <w:p>
      <w:pPr>
        <w:ind w:right="260"/>
        <w:spacing w:after="0" w:line="284" w:lineRule="auto"/>
        <w:rPr>
          <w:sz w:val="20"/>
          <w:szCs w:val="20"/>
          <w:color w:val="auto"/>
        </w:rPr>
      </w:pPr>
      <w:r>
        <w:rPr>
          <w:rFonts w:ascii="Arial" w:cs="Arial" w:eastAsia="Arial" w:hAnsi="Arial"/>
          <w:sz w:val="17"/>
          <w:szCs w:val="17"/>
          <w:color w:val="auto"/>
        </w:rPr>
        <w:t>AFG reported net earnings of $191 million ($2.29 per share, diluted) for the first three months of 2026 compared to $154 million ($1.84 per share, diluted) for the first three months of 2025, reflecting higher underwriting profit.</w:t>
      </w:r>
    </w:p>
    <w:p>
      <w:pPr>
        <w:spacing w:after="0" w:line="183" w:lineRule="exact"/>
        <w:rPr>
          <w:sz w:val="20"/>
          <w:szCs w:val="20"/>
          <w:color w:val="auto"/>
        </w:rPr>
      </w:pPr>
    </w:p>
    <w:p>
      <w:pPr>
        <w:spacing w:after="0"/>
        <w:rPr>
          <w:sz w:val="20"/>
          <w:szCs w:val="20"/>
          <w:color w:val="auto"/>
        </w:rPr>
      </w:pPr>
      <w:r>
        <w:rPr>
          <w:rFonts w:ascii="Arial" w:cs="Arial" w:eastAsia="Arial" w:hAnsi="Arial"/>
          <w:sz w:val="25"/>
          <w:szCs w:val="25"/>
          <w:b w:val="1"/>
          <w:bCs w:val="1"/>
          <w:color w:val="003366"/>
        </w:rPr>
        <w:t>Outlook</w:t>
      </w:r>
    </w:p>
    <w:p>
      <w:pPr>
        <w:spacing w:after="0" w:line="28" w:lineRule="exact"/>
        <w:rPr>
          <w:sz w:val="20"/>
          <w:szCs w:val="20"/>
          <w:color w:val="auto"/>
        </w:rPr>
      </w:pPr>
    </w:p>
    <w:p>
      <w:pPr>
        <w:ind w:right="60"/>
        <w:spacing w:after="0" w:line="265" w:lineRule="auto"/>
        <w:rPr>
          <w:sz w:val="20"/>
          <w:szCs w:val="20"/>
          <w:color w:val="auto"/>
        </w:rPr>
      </w:pPr>
      <w:r>
        <w:rPr>
          <w:rFonts w:ascii="Arial" w:cs="Arial" w:eastAsia="Arial" w:hAnsi="Arial"/>
          <w:sz w:val="17"/>
          <w:szCs w:val="17"/>
          <w:color w:val="auto"/>
        </w:rPr>
        <w:t>Management expects overall premium growth and strong underwriting results in the current property and casualty insurance market. In addition, management anticipates improved returns on alternative investments, relative to the returns earned in 2025 and the first quarter of 2026, will have a positive impact on net investment income beginning in the second half of 2026.</w:t>
      </w:r>
    </w:p>
    <w:p>
      <w:pPr>
        <w:spacing w:after="0" w:line="200" w:lineRule="exact"/>
        <w:rPr>
          <w:sz w:val="20"/>
          <w:szCs w:val="20"/>
          <w:color w:val="auto"/>
        </w:rPr>
      </w:pPr>
    </w:p>
    <w:p>
      <w:pPr>
        <w:ind w:right="80"/>
        <w:spacing w:after="0" w:line="284" w:lineRule="auto"/>
        <w:rPr>
          <w:sz w:val="20"/>
          <w:szCs w:val="20"/>
          <w:color w:val="auto"/>
        </w:rPr>
      </w:pPr>
      <w:r>
        <w:rPr>
          <w:rFonts w:ascii="Arial" w:cs="Arial" w:eastAsia="Arial" w:hAnsi="Arial"/>
          <w:sz w:val="17"/>
          <w:szCs w:val="17"/>
          <w:color w:val="auto"/>
        </w:rPr>
        <w:t>AFG’s financial condition, results of operations and cash flows are impacted by the economic, legal and regulatory environment. Economic inflation, social inflation and other economic conditions may impact premium levels, loss cost trends and investment returns.</w:t>
      </w:r>
    </w:p>
    <w:p>
      <w:pPr>
        <w:spacing w:after="0" w:line="185"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Management believes that AFG’s strong financial position and current liquidity and capital at its subsidiaries will give AFG the flexibility to continue to effectively address and respond to anticipated and unanticipated challenges. AFG’s insurance subsidiaries continue to have capital at or in excess of the levels required by ratings agencies in order to maintain their current ratings, and the parent company does not have any debt maturities until 2030.</w:t>
      </w:r>
    </w:p>
    <w:p>
      <w:pPr>
        <w:spacing w:after="0" w:line="188" w:lineRule="exact"/>
        <w:rPr>
          <w:sz w:val="20"/>
          <w:szCs w:val="20"/>
          <w:color w:val="auto"/>
        </w:rPr>
      </w:pPr>
    </w:p>
    <w:p>
      <w:pPr>
        <w:spacing w:after="0"/>
        <w:rPr>
          <w:sz w:val="20"/>
          <w:szCs w:val="20"/>
          <w:color w:val="auto"/>
        </w:rPr>
      </w:pPr>
      <w:r>
        <w:rPr>
          <w:rFonts w:ascii="Arial" w:cs="Arial" w:eastAsia="Arial" w:hAnsi="Arial"/>
          <w:sz w:val="29"/>
          <w:szCs w:val="29"/>
          <w:b w:val="1"/>
          <w:bCs w:val="1"/>
          <w:color w:val="003366"/>
        </w:rPr>
        <w:t>CRITICAL ACCOUNTING POLICIES</w:t>
      </w:r>
    </w:p>
    <w:p>
      <w:pPr>
        <w:spacing w:after="0" w:line="272" w:lineRule="exact"/>
        <w:rPr>
          <w:sz w:val="20"/>
          <w:szCs w:val="20"/>
          <w:color w:val="auto"/>
        </w:rPr>
      </w:pPr>
    </w:p>
    <w:p>
      <w:pPr>
        <w:ind w:right="360"/>
        <w:spacing w:after="0" w:line="254" w:lineRule="auto"/>
        <w:rPr>
          <w:sz w:val="20"/>
          <w:szCs w:val="20"/>
          <w:color w:val="auto"/>
        </w:rPr>
      </w:pPr>
      <w:r>
        <w:rPr>
          <w:rFonts w:ascii="Arial" w:cs="Arial" w:eastAsia="Arial" w:hAnsi="Arial"/>
          <w:sz w:val="17"/>
          <w:szCs w:val="17"/>
          <w:color w:val="auto"/>
        </w:rPr>
        <w:t xml:space="preserve">Significant accounting policies are summarized in </w:t>
      </w:r>
      <w:r>
        <w:rPr>
          <w:rFonts w:ascii="Arial" w:cs="Arial" w:eastAsia="Arial" w:hAnsi="Arial"/>
          <w:sz w:val="17"/>
          <w:szCs w:val="17"/>
          <w:i w:val="1"/>
          <w:iCs w:val="1"/>
          <w:color w:val="auto"/>
        </w:rPr>
        <w:t>Note A — “Accounting Policies”</w:t>
      </w:r>
      <w:r>
        <w:rPr>
          <w:rFonts w:ascii="Arial" w:cs="Arial" w:eastAsia="Arial" w:hAnsi="Arial"/>
          <w:sz w:val="17"/>
          <w:szCs w:val="17"/>
          <w:color w:val="auto"/>
        </w:rPr>
        <w:t xml:space="preserve"> to the financial statements. The preparation of financial statements in conformity with GAAP requires management to make estimates and assumptions that can have a significant effect on amounts reported in the financial statements. As more information becomes known, these estimates and assumptions change and, thus, impact amounts reported in the future. The areas where management believes the degree of judgment required to determine amounts recorded in the financial statements is most significant are as follows:</w:t>
      </w:r>
    </w:p>
    <w:p>
      <w:pPr>
        <w:ind w:left="560" w:hanging="309"/>
        <w:spacing w:after="0"/>
        <w:tabs>
          <w:tab w:leader="none" w:pos="5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valuation of investments, including the determination of impairment allowances,</w:t>
      </w:r>
    </w:p>
    <w:p>
      <w:pPr>
        <w:spacing w:after="0" w:line="14" w:lineRule="exact"/>
        <w:rPr>
          <w:rFonts w:ascii="Arial" w:cs="Arial" w:eastAsia="Arial" w:hAnsi="Arial"/>
          <w:sz w:val="17"/>
          <w:szCs w:val="17"/>
          <w:color w:val="auto"/>
        </w:rPr>
      </w:pPr>
    </w:p>
    <w:p>
      <w:pPr>
        <w:ind w:left="560" w:hanging="309"/>
        <w:spacing w:after="0"/>
        <w:tabs>
          <w:tab w:leader="none" w:pos="5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establishment of insurance reserves, especially asbestos and environmental-related reserves,</w:t>
      </w:r>
    </w:p>
    <w:p>
      <w:pPr>
        <w:spacing w:after="0" w:line="7" w:lineRule="exact"/>
        <w:rPr>
          <w:rFonts w:ascii="Arial" w:cs="Arial" w:eastAsia="Arial" w:hAnsi="Arial"/>
          <w:sz w:val="17"/>
          <w:szCs w:val="17"/>
          <w:color w:val="auto"/>
        </w:rPr>
      </w:pPr>
    </w:p>
    <w:p>
      <w:pPr>
        <w:ind w:left="560" w:hanging="309"/>
        <w:spacing w:after="0"/>
        <w:tabs>
          <w:tab w:leader="none" w:pos="5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recoverability of reinsurance, and</w:t>
      </w:r>
    </w:p>
    <w:p>
      <w:pPr>
        <w:spacing w:after="0" w:line="7" w:lineRule="exact"/>
        <w:rPr>
          <w:rFonts w:ascii="Arial" w:cs="Arial" w:eastAsia="Arial" w:hAnsi="Arial"/>
          <w:sz w:val="17"/>
          <w:szCs w:val="17"/>
          <w:color w:val="auto"/>
        </w:rPr>
      </w:pPr>
    </w:p>
    <w:p>
      <w:pPr>
        <w:ind w:left="560" w:hanging="309"/>
        <w:spacing w:after="0"/>
        <w:tabs>
          <w:tab w:leader="none" w:pos="5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establishment of asbestos and environmental liabilities of former railroad and manufacturing operations.</w:t>
      </w:r>
    </w:p>
    <w:p>
      <w:pPr>
        <w:sectPr>
          <w:pgSz w:w="11900" w:h="16838" w:orient="portrait"/>
          <w:cols w:equalWidth="0" w:num="1">
            <w:col w:w="11220"/>
          </w:cols>
          <w:pgMar w:left="320" w:top="11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For a discussion of these policies, see </w:t>
      </w:r>
      <w:r>
        <w:rPr>
          <w:rFonts w:ascii="Arial" w:cs="Arial" w:eastAsia="Arial" w:hAnsi="Arial"/>
          <w:sz w:val="17"/>
          <w:szCs w:val="17"/>
          <w:i w:val="1"/>
          <w:iCs w:val="1"/>
          <w:color w:val="auto"/>
        </w:rPr>
        <w:t>Management’s Discussion and Analysis — “Critical Accounting Policies”</w:t>
      </w:r>
      <w:r>
        <w:rPr>
          <w:rFonts w:ascii="Arial" w:cs="Arial" w:eastAsia="Arial" w:hAnsi="Arial"/>
          <w:sz w:val="17"/>
          <w:szCs w:val="17"/>
          <w:color w:val="auto"/>
        </w:rPr>
        <w:t xml:space="preserve"> in AFG’s 2025 Form 10-K.</w:t>
      </w:r>
    </w:p>
    <w:p>
      <w:pPr>
        <w:spacing w:after="0" w:line="238" w:lineRule="exact"/>
        <w:rPr>
          <w:sz w:val="20"/>
          <w:szCs w:val="20"/>
          <w:color w:val="auto"/>
        </w:rPr>
      </w:pPr>
    </w:p>
    <w:p>
      <w:pPr>
        <w:spacing w:after="0"/>
        <w:rPr>
          <w:sz w:val="20"/>
          <w:szCs w:val="20"/>
          <w:color w:val="auto"/>
        </w:rPr>
      </w:pPr>
      <w:r>
        <w:rPr>
          <w:rFonts w:ascii="Arial" w:cs="Arial" w:eastAsia="Arial" w:hAnsi="Arial"/>
          <w:sz w:val="29"/>
          <w:szCs w:val="29"/>
          <w:b w:val="1"/>
          <w:bCs w:val="1"/>
          <w:color w:val="003366"/>
        </w:rPr>
        <w:t>LIQUIDITY AND CAPITAL RESOURCES</w:t>
      </w:r>
    </w:p>
    <w:p>
      <w:pPr>
        <w:spacing w:after="0" w:line="270" w:lineRule="exact"/>
        <w:rPr>
          <w:sz w:val="20"/>
          <w:szCs w:val="20"/>
          <w:color w:val="auto"/>
        </w:rPr>
      </w:pPr>
    </w:p>
    <w:p>
      <w:pPr>
        <w:spacing w:after="0"/>
        <w:rPr>
          <w:sz w:val="20"/>
          <w:szCs w:val="20"/>
          <w:color w:val="auto"/>
        </w:rPr>
      </w:pPr>
      <w:r>
        <w:rPr>
          <w:rFonts w:ascii="Arial" w:cs="Arial" w:eastAsia="Arial" w:hAnsi="Arial"/>
          <w:sz w:val="25"/>
          <w:szCs w:val="25"/>
          <w:b w:val="1"/>
          <w:bCs w:val="1"/>
          <w:color w:val="003366"/>
        </w:rPr>
        <w:t>Ratios</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AFG’s debt to total capital ratio on a consolidated basis is shown below (dollars in millions):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6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color w:val="auto"/>
              </w:rPr>
              <w:t>December 31,</w:t>
            </w:r>
          </w:p>
        </w:tc>
        <w:tc>
          <w:tcPr>
            <w:tcW w:w="940" w:type="dxa"/>
            <w:vAlign w:val="bottom"/>
            <w:tcBorders>
              <w:bottom w:val="single" w:sz="8" w:color="auto"/>
            </w:tcBorders>
          </w:tcPr>
          <w:p>
            <w:pPr>
              <w:spacing w:after="0"/>
              <w:rPr>
                <w:sz w:val="17"/>
                <w:szCs w:val="17"/>
                <w:color w:val="auto"/>
              </w:rPr>
            </w:pPr>
          </w:p>
        </w:tc>
      </w:tr>
      <w:tr>
        <w:trPr>
          <w:trHeight w:val="201"/>
        </w:trPr>
        <w:tc>
          <w:tcPr>
            <w:tcW w:w="6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20" w:type="dxa"/>
            <w:vAlign w:val="bottom"/>
            <w:gridSpan w:val="2"/>
          </w:tcPr>
          <w:p>
            <w:pPr>
              <w:ind w:left="140"/>
              <w:spacing w:after="0"/>
              <w:rPr>
                <w:sz w:val="20"/>
                <w:szCs w:val="20"/>
                <w:color w:val="auto"/>
              </w:rPr>
            </w:pPr>
            <w:r>
              <w:rPr>
                <w:rFonts w:ascii="Arial" w:cs="Arial" w:eastAsia="Arial" w:hAnsi="Arial"/>
                <w:sz w:val="15"/>
                <w:szCs w:val="15"/>
                <w:color w:val="auto"/>
              </w:rPr>
              <w:t>March 31, 2026</w:t>
            </w:r>
          </w:p>
        </w:tc>
        <w:tc>
          <w:tcPr>
            <w:tcW w:w="320" w:type="dxa"/>
            <w:vAlign w:val="bottom"/>
          </w:tcPr>
          <w:p>
            <w:pPr>
              <w:spacing w:after="0"/>
              <w:rPr>
                <w:sz w:val="17"/>
                <w:szCs w:val="17"/>
                <w:color w:val="auto"/>
              </w:rPr>
            </w:pPr>
          </w:p>
        </w:tc>
        <w:tc>
          <w:tcPr>
            <w:tcW w:w="1100" w:type="dxa"/>
            <w:vAlign w:val="bottom"/>
          </w:tcPr>
          <w:p>
            <w:pPr>
              <w:jc w:val="right"/>
              <w:ind w:right="461"/>
              <w:spacing w:after="0"/>
              <w:rPr>
                <w:sz w:val="20"/>
                <w:szCs w:val="20"/>
                <w:color w:val="auto"/>
              </w:rPr>
            </w:pPr>
            <w:r>
              <w:rPr>
                <w:rFonts w:ascii="Arial" w:cs="Arial" w:eastAsia="Arial" w:hAnsi="Arial"/>
                <w:sz w:val="15"/>
                <w:szCs w:val="15"/>
                <w:color w:val="auto"/>
              </w:rPr>
              <w:t>2025</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jc w:val="right"/>
              <w:ind w:right="460"/>
              <w:spacing w:after="0"/>
              <w:rPr>
                <w:sz w:val="20"/>
                <w:szCs w:val="20"/>
                <w:color w:val="auto"/>
              </w:rPr>
            </w:pPr>
            <w:r>
              <w:rPr>
                <w:rFonts w:ascii="Arial" w:cs="Arial" w:eastAsia="Arial" w:hAnsi="Arial"/>
                <w:sz w:val="15"/>
                <w:szCs w:val="15"/>
                <w:color w:val="auto"/>
              </w:rPr>
              <w:t>2024</w:t>
            </w:r>
          </w:p>
        </w:tc>
      </w:tr>
      <w:tr>
        <w:trPr>
          <w:trHeight w:val="211"/>
        </w:trPr>
        <w:tc>
          <w:tcPr>
            <w:tcW w:w="6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Principal amount of long-term debt</w:t>
            </w: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1,848</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rPr>
              <w:t>1,848</w:t>
            </w: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1,498</w:t>
            </w:r>
          </w:p>
        </w:tc>
      </w:tr>
      <w:tr>
        <w:trPr>
          <w:trHeight w:val="215"/>
        </w:trPr>
        <w:tc>
          <w:tcPr>
            <w:tcW w:w="6320" w:type="dxa"/>
            <w:vAlign w:val="bottom"/>
          </w:tcPr>
          <w:p>
            <w:pPr>
              <w:ind w:left="20"/>
              <w:spacing w:after="0"/>
              <w:rPr>
                <w:sz w:val="20"/>
                <w:szCs w:val="20"/>
                <w:color w:val="auto"/>
              </w:rPr>
            </w:pPr>
            <w:r>
              <w:rPr>
                <w:rFonts w:ascii="Arial" w:cs="Arial" w:eastAsia="Arial" w:hAnsi="Arial"/>
                <w:sz w:val="16"/>
                <w:szCs w:val="16"/>
                <w:color w:val="auto"/>
              </w:rPr>
              <w:t>Total capital</w:t>
            </w:r>
          </w:p>
        </w:tc>
        <w:tc>
          <w:tcPr>
            <w:tcW w:w="260" w:type="dxa"/>
            <w:vAlign w:val="bottom"/>
          </w:tcPr>
          <w:p>
            <w:pPr>
              <w:spacing w:after="0"/>
              <w:rPr>
                <w:sz w:val="18"/>
                <w:szCs w:val="18"/>
                <w:color w:val="auto"/>
              </w:rPr>
            </w:pPr>
          </w:p>
        </w:tc>
        <w:tc>
          <w:tcPr>
            <w:tcW w:w="1620" w:type="dxa"/>
            <w:vAlign w:val="bottom"/>
          </w:tcPr>
          <w:p>
            <w:pPr>
              <w:jc w:val="right"/>
              <w:ind w:right="120"/>
              <w:spacing w:after="0"/>
              <w:rPr>
                <w:sz w:val="20"/>
                <w:szCs w:val="20"/>
                <w:color w:val="auto"/>
              </w:rPr>
            </w:pPr>
            <w:r>
              <w:rPr>
                <w:rFonts w:ascii="Arial" w:cs="Arial" w:eastAsia="Arial" w:hAnsi="Arial"/>
                <w:sz w:val="16"/>
                <w:szCs w:val="16"/>
                <w:color w:val="auto"/>
              </w:rPr>
              <w:t>6,653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141"/>
              <w:spacing w:after="0"/>
              <w:rPr>
                <w:sz w:val="20"/>
                <w:szCs w:val="20"/>
                <w:color w:val="auto"/>
              </w:rPr>
            </w:pPr>
            <w:r>
              <w:rPr>
                <w:rFonts w:ascii="Arial" w:cs="Arial" w:eastAsia="Arial" w:hAnsi="Arial"/>
                <w:sz w:val="16"/>
                <w:szCs w:val="16"/>
                <w:color w:val="auto"/>
              </w:rPr>
              <w:t>6,718</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ind w:right="120"/>
              <w:spacing w:after="0"/>
              <w:rPr>
                <w:sz w:val="20"/>
                <w:szCs w:val="20"/>
                <w:color w:val="auto"/>
              </w:rPr>
            </w:pPr>
            <w:r>
              <w:rPr>
                <w:rFonts w:ascii="Arial" w:cs="Arial" w:eastAsia="Arial" w:hAnsi="Arial"/>
                <w:sz w:val="16"/>
                <w:szCs w:val="16"/>
                <w:color w:val="auto"/>
              </w:rPr>
              <w:t>6,204</w:t>
            </w:r>
          </w:p>
        </w:tc>
      </w:tr>
      <w:tr>
        <w:trPr>
          <w:trHeight w:val="217"/>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Ratio of debt to total capital:</w:t>
            </w:r>
          </w:p>
        </w:tc>
        <w:tc>
          <w:tcPr>
            <w:tcW w:w="2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5"/>
        </w:trPr>
        <w:tc>
          <w:tcPr>
            <w:tcW w:w="6320" w:type="dxa"/>
            <w:vAlign w:val="bottom"/>
          </w:tcPr>
          <w:p>
            <w:pPr>
              <w:ind w:left="360"/>
              <w:spacing w:after="0"/>
              <w:rPr>
                <w:sz w:val="20"/>
                <w:szCs w:val="20"/>
                <w:color w:val="auto"/>
              </w:rPr>
            </w:pPr>
            <w:r>
              <w:rPr>
                <w:rFonts w:ascii="Arial" w:cs="Arial" w:eastAsia="Arial" w:hAnsi="Arial"/>
                <w:sz w:val="16"/>
                <w:szCs w:val="16"/>
                <w:color w:val="auto"/>
              </w:rPr>
              <w:t>Including subordinated debt</w:t>
            </w:r>
          </w:p>
        </w:tc>
        <w:tc>
          <w:tcPr>
            <w:tcW w:w="2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27.8%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27.5%</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24.1%</w:t>
            </w:r>
          </w:p>
        </w:tc>
      </w:tr>
      <w:tr>
        <w:trPr>
          <w:trHeight w:val="217"/>
        </w:trPr>
        <w:tc>
          <w:tcPr>
            <w:tcW w:w="63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Excluding subordinated debt</w:t>
            </w:r>
          </w:p>
        </w:tc>
        <w:tc>
          <w:tcPr>
            <w:tcW w:w="2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w:t>
            </w:r>
          </w:p>
        </w:tc>
      </w:tr>
    </w:tbl>
    <w:p>
      <w:pPr>
        <w:spacing w:after="0" w:line="315"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The ratio of debt to total capital is a non-GAAP measure that management believes is useful for investors, analysts and ratings agencies to evaluate AFG’s financial strength and liquidity and to provide insight into how AFG finances its operations. The ratio is calculated by dividing the principal amount of AFG’s long-term debt by its total capital, which includes long-term debt and shareholders’ equity (excluding accumulated other comprehensive income (loss), net of tax). In addition, maintaining a ratio of debt, excluding subordinated debt and debt secured by real estate (if any), to total capital of 35% or lower is a financial covenant in AFG’s bank credit facility.</w:t>
      </w:r>
    </w:p>
    <w:p>
      <w:pPr>
        <w:spacing w:after="0" w:line="220" w:lineRule="exact"/>
        <w:rPr>
          <w:sz w:val="20"/>
          <w:szCs w:val="20"/>
          <w:color w:val="auto"/>
        </w:rPr>
      </w:pPr>
    </w:p>
    <w:p>
      <w:pPr>
        <w:spacing w:after="0"/>
        <w:rPr>
          <w:sz w:val="20"/>
          <w:szCs w:val="20"/>
          <w:color w:val="auto"/>
        </w:rPr>
      </w:pPr>
      <w:r>
        <w:rPr>
          <w:rFonts w:ascii="Arial" w:cs="Arial" w:eastAsia="Arial" w:hAnsi="Arial"/>
          <w:sz w:val="25"/>
          <w:szCs w:val="25"/>
          <w:b w:val="1"/>
          <w:bCs w:val="1"/>
          <w:color w:val="003366"/>
        </w:rPr>
        <w:t>Condensed Consolidated Cash Flows</w:t>
      </w:r>
    </w:p>
    <w:p>
      <w:pPr>
        <w:spacing w:after="0" w:line="28"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AFG’s principal sources of cash include insurance premiums, income from its investment portfolio and proceeds from the maturities, redemptions and sales of investments. Insurance premiums in excess of acquisition expenses and operating costs are invested until they are needed to meet policyholder obligations or made available to the parent company through dividends to cover debt obligations and corporate expenses, and to provide returns to shareholders through share repurchases and dividends. Cash flows from operating, investing and financing activities as detailed in AFG’s Consolidated Statement of Cash Flows are shown below (in millions):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120" w:type="dxa"/>
            <w:vAlign w:val="bottom"/>
          </w:tcPr>
          <w:p>
            <w:pPr>
              <w:spacing w:after="0"/>
              <w:rPr>
                <w:sz w:val="17"/>
                <w:szCs w:val="17"/>
                <w:color w:val="auto"/>
              </w:rPr>
            </w:pPr>
          </w:p>
        </w:tc>
        <w:tc>
          <w:tcPr>
            <w:tcW w:w="2680" w:type="dxa"/>
            <w:vAlign w:val="bottom"/>
            <w:tcBorders>
              <w:bottom w:val="single" w:sz="8" w:color="auto"/>
            </w:tcBorders>
            <w:gridSpan w:val="4"/>
          </w:tcPr>
          <w:p>
            <w:pPr>
              <w:jc w:val="right"/>
              <w:spacing w:after="0"/>
              <w:rPr>
                <w:sz w:val="20"/>
                <w:szCs w:val="20"/>
                <w:color w:val="auto"/>
              </w:rPr>
            </w:pPr>
            <w:r>
              <w:rPr>
                <w:rFonts w:ascii="Arial" w:cs="Arial" w:eastAsia="Arial" w:hAnsi="Arial"/>
                <w:sz w:val="15"/>
                <w:szCs w:val="15"/>
                <w:color w:val="auto"/>
              </w:rPr>
              <w:t>Three months ended March 31,</w:t>
            </w:r>
          </w:p>
        </w:tc>
        <w:tc>
          <w:tcPr>
            <w:tcW w:w="440" w:type="dxa"/>
            <w:vAlign w:val="bottom"/>
            <w:tcBorders>
              <w:bottom w:val="single" w:sz="8" w:color="auto"/>
            </w:tcBorders>
          </w:tcPr>
          <w:p>
            <w:pPr>
              <w:spacing w:after="0"/>
              <w:rPr>
                <w:sz w:val="17"/>
                <w:szCs w:val="17"/>
                <w:color w:val="auto"/>
              </w:rPr>
            </w:pPr>
          </w:p>
        </w:tc>
      </w:tr>
      <w:tr>
        <w:trPr>
          <w:trHeight w:val="198"/>
        </w:trPr>
        <w:tc>
          <w:tcPr>
            <w:tcW w:w="812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ind w:right="21"/>
              <w:spacing w:after="0"/>
              <w:rPr>
                <w:sz w:val="20"/>
                <w:szCs w:val="20"/>
                <w:color w:val="auto"/>
              </w:rPr>
            </w:pPr>
            <w:r>
              <w:rPr>
                <w:rFonts w:ascii="Arial" w:cs="Arial" w:eastAsia="Arial" w:hAnsi="Arial"/>
                <w:sz w:val="15"/>
                <w:szCs w:val="15"/>
                <w:color w:val="auto"/>
              </w:rPr>
              <w:t>2026</w:t>
            </w:r>
          </w:p>
        </w:tc>
        <w:tc>
          <w:tcPr>
            <w:tcW w:w="50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ind w:right="61"/>
              <w:spacing w:after="0"/>
              <w:rPr>
                <w:sz w:val="20"/>
                <w:szCs w:val="20"/>
                <w:color w:val="auto"/>
              </w:rPr>
            </w:pPr>
            <w:r>
              <w:rPr>
                <w:rFonts w:ascii="Arial" w:cs="Arial" w:eastAsia="Arial" w:hAnsi="Arial"/>
                <w:sz w:val="15"/>
                <w:szCs w:val="15"/>
                <w:color w:val="auto"/>
              </w:rPr>
              <w:t>2025</w:t>
            </w:r>
          </w:p>
        </w:tc>
        <w:tc>
          <w:tcPr>
            <w:tcW w:w="440" w:type="dxa"/>
            <w:vAlign w:val="bottom"/>
            <w:tcBorders>
              <w:bottom w:val="single" w:sz="8" w:color="auto"/>
            </w:tcBorders>
          </w:tcPr>
          <w:p>
            <w:pPr>
              <w:spacing w:after="0"/>
              <w:rPr>
                <w:sz w:val="17"/>
                <w:szCs w:val="17"/>
                <w:color w:val="auto"/>
              </w:rPr>
            </w:pPr>
          </w:p>
        </w:tc>
      </w:tr>
      <w:tr>
        <w:trPr>
          <w:trHeight w:val="211"/>
        </w:trPr>
        <w:tc>
          <w:tcPr>
            <w:tcW w:w="8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1020" w:type="dxa"/>
            <w:vAlign w:val="bottom"/>
            <w:shd w:val="clear" w:color="auto" w:fill="CCEEFF"/>
          </w:tcPr>
          <w:p>
            <w:pPr>
              <w:jc w:val="right"/>
              <w:ind w:right="841"/>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474</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881"/>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w:t>
            </w:r>
          </w:p>
        </w:tc>
      </w:tr>
      <w:tr>
        <w:trPr>
          <w:trHeight w:val="215"/>
        </w:trPr>
        <w:tc>
          <w:tcPr>
            <w:tcW w:w="8120" w:type="dxa"/>
            <w:vAlign w:val="bottom"/>
          </w:tcPr>
          <w:p>
            <w:pPr>
              <w:ind w:left="20"/>
              <w:spacing w:after="0"/>
              <w:rPr>
                <w:sz w:val="20"/>
                <w:szCs w:val="20"/>
                <w:color w:val="auto"/>
              </w:rPr>
            </w:pPr>
            <w:r>
              <w:rPr>
                <w:rFonts w:ascii="Arial" w:cs="Arial" w:eastAsia="Arial" w:hAnsi="Arial"/>
                <w:sz w:val="16"/>
                <w:szCs w:val="16"/>
                <w:color w:val="auto"/>
              </w:rPr>
              <w:t>Net cash provided by (used in) investing activities</w:t>
            </w:r>
          </w:p>
        </w:tc>
        <w:tc>
          <w:tcPr>
            <w:tcW w:w="102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Arial" w:cs="Arial" w:eastAsia="Arial" w:hAnsi="Arial"/>
                <w:sz w:val="16"/>
                <w:szCs w:val="16"/>
                <w:color w:val="auto"/>
              </w:rPr>
              <w:t>(613)</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16"/>
        </w:trPr>
        <w:tc>
          <w:tcPr>
            <w:tcW w:w="8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financing activities</w:t>
            </w:r>
          </w:p>
        </w:tc>
        <w:tc>
          <w:tcPr>
            <w:tcW w:w="10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(235)</w:t>
            </w:r>
          </w:p>
        </w:tc>
        <w:tc>
          <w:tcPr>
            <w:tcW w:w="8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(495)</w:t>
            </w:r>
          </w:p>
        </w:tc>
      </w:tr>
      <w:tr>
        <w:trPr>
          <w:trHeight w:val="210"/>
        </w:trPr>
        <w:tc>
          <w:tcPr>
            <w:tcW w:w="8120" w:type="dxa"/>
            <w:vAlign w:val="bottom"/>
          </w:tcPr>
          <w:p>
            <w:pPr>
              <w:ind w:left="20"/>
              <w:spacing w:after="0"/>
              <w:rPr>
                <w:sz w:val="20"/>
                <w:szCs w:val="20"/>
                <w:color w:val="auto"/>
              </w:rPr>
            </w:pPr>
            <w:r>
              <w:rPr>
                <w:rFonts w:ascii="Arial" w:cs="Arial" w:eastAsia="Arial" w:hAnsi="Arial"/>
                <w:sz w:val="16"/>
                <w:szCs w:val="16"/>
                <w:color w:val="auto"/>
              </w:rPr>
              <w:t>Net change in cash and cash equivalents</w:t>
            </w:r>
          </w:p>
        </w:tc>
        <w:tc>
          <w:tcPr>
            <w:tcW w:w="1020" w:type="dxa"/>
            <w:vAlign w:val="bottom"/>
            <w:tcBorders>
              <w:bottom w:val="single" w:sz="8" w:color="auto"/>
            </w:tcBorders>
          </w:tcPr>
          <w:p>
            <w:pPr>
              <w:jc w:val="right"/>
              <w:ind w:right="841"/>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(374)</w:t>
            </w:r>
          </w:p>
        </w:tc>
        <w:tc>
          <w:tcPr>
            <w:tcW w:w="80" w:type="dxa"/>
            <w:vAlign w:val="bottom"/>
          </w:tcPr>
          <w:p>
            <w:pPr>
              <w:spacing w:after="0"/>
              <w:rPr>
                <w:sz w:val="18"/>
                <w:szCs w:val="18"/>
                <w:color w:val="auto"/>
              </w:rPr>
            </w:pPr>
          </w:p>
        </w:tc>
        <w:tc>
          <w:tcPr>
            <w:tcW w:w="1080" w:type="dxa"/>
            <w:vAlign w:val="bottom"/>
            <w:tcBorders>
              <w:bottom w:val="single" w:sz="8" w:color="auto"/>
            </w:tcBorders>
          </w:tcPr>
          <w:p>
            <w:pPr>
              <w:jc w:val="right"/>
              <w:ind w:right="881"/>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w:t>
            </w:r>
          </w:p>
        </w:tc>
      </w:tr>
      <w:tr>
        <w:trPr>
          <w:trHeight w:val="20"/>
        </w:trPr>
        <w:tc>
          <w:tcPr>
            <w:tcW w:w="8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bl>
    <w:p>
      <w:pPr>
        <w:spacing w:after="0" w:line="300" w:lineRule="exact"/>
        <w:rPr>
          <w:sz w:val="20"/>
          <w:szCs w:val="20"/>
          <w:color w:val="auto"/>
        </w:rPr>
      </w:pPr>
    </w:p>
    <w:p>
      <w:pPr>
        <w:spacing w:after="0" w:line="256" w:lineRule="auto"/>
        <w:rPr>
          <w:sz w:val="20"/>
          <w:szCs w:val="20"/>
          <w:color w:val="auto"/>
        </w:rPr>
      </w:pPr>
      <w:r>
        <w:rPr>
          <w:rFonts w:ascii="Arial" w:cs="Arial" w:eastAsia="Arial" w:hAnsi="Arial"/>
          <w:sz w:val="20"/>
          <w:szCs w:val="20"/>
          <w:b w:val="1"/>
          <w:bCs w:val="1"/>
          <w:color w:val="003366"/>
        </w:rPr>
        <w:t xml:space="preserve">Net Cash Provided by Operating Activities </w:t>
      </w:r>
      <w:r>
        <w:rPr>
          <w:rFonts w:ascii="Arial" w:cs="Arial" w:eastAsia="Arial" w:hAnsi="Arial"/>
          <w:sz w:val="17"/>
          <w:szCs w:val="17"/>
          <w:color w:val="000000"/>
        </w:rPr>
        <w:t>AFG’s property and casualty insurance operations typically produce positive net operating</w:t>
      </w:r>
      <w:r>
        <w:rPr>
          <w:rFonts w:ascii="Arial" w:cs="Arial" w:eastAsia="Arial" w:hAnsi="Arial"/>
          <w:sz w:val="20"/>
          <w:szCs w:val="20"/>
          <w:b w:val="1"/>
          <w:bCs w:val="1"/>
          <w:color w:val="003366"/>
        </w:rPr>
        <w:t xml:space="preserve"> </w:t>
      </w:r>
      <w:r>
        <w:rPr>
          <w:rFonts w:ascii="Arial" w:cs="Arial" w:eastAsia="Arial" w:hAnsi="Arial"/>
          <w:sz w:val="17"/>
          <w:szCs w:val="17"/>
          <w:color w:val="000000"/>
        </w:rPr>
        <w:t xml:space="preserve">cash flows as premiums collected and investment income exceed policy acquisition costs, claims payments and operating expenses. AFG’s net cash provided by operating activities is impacted by the level and timing of premiums, claim and expense payments and recoveries from reinsurers. Cash flows provided by operating activities also include the activity of AFG’s managed investment entities (collateralized loan obligations (“CLO”)) other than those activities included in investing or financing activities. The changes in the assets and liabilities of the managed investment entities included in operating activities increased cash flows from operating activities by $162 million during the first three months of 2026 and $42 million in the first three months of 2025, accounting for a $120 million increase in cash flows from operating activities in the 2026 period compared to the 2025 period. As discussed in </w:t>
      </w:r>
      <w:r>
        <w:rPr>
          <w:rFonts w:ascii="Arial" w:cs="Arial" w:eastAsia="Arial" w:hAnsi="Arial"/>
          <w:sz w:val="17"/>
          <w:szCs w:val="17"/>
          <w:i w:val="1"/>
          <w:iCs w:val="1"/>
          <w:color w:val="000000"/>
        </w:rPr>
        <w:t>Note A — “Accounting Policies</w:t>
      </w:r>
      <w:r>
        <w:rPr>
          <w:rFonts w:ascii="Arial" w:cs="Arial" w:eastAsia="Arial" w:hAnsi="Arial"/>
          <w:sz w:val="17"/>
          <w:szCs w:val="17"/>
          <w:color w:val="000000"/>
        </w:rPr>
        <w:t xml:space="preserve"> — </w:t>
      </w:r>
      <w:r>
        <w:rPr>
          <w:rFonts w:ascii="Arial" w:cs="Arial" w:eastAsia="Arial" w:hAnsi="Arial"/>
          <w:sz w:val="17"/>
          <w:szCs w:val="17"/>
          <w:i w:val="1"/>
          <w:iCs w:val="1"/>
          <w:color w:val="000000"/>
        </w:rPr>
        <w:t>Managed Investment Entities</w:t>
      </w:r>
      <w:r>
        <w:rPr>
          <w:rFonts w:ascii="Arial" w:cs="Arial" w:eastAsia="Arial" w:hAnsi="Arial"/>
          <w:sz w:val="17"/>
          <w:szCs w:val="17"/>
          <w:color w:val="000000"/>
        </w:rPr>
        <w:t>” to the financial statements, AFG has no right to use the CLO assets and no obligation to pay the CLO liabilities and such assets and liabilities are shown separately in AFG’s Balance Sheet. Excluding the impact of the managed investment entities, net cash provided by operating activities was $312 million and $300 million in the first three months of 2026 and 2025, respectively.</w:t>
      </w:r>
    </w:p>
    <w:p>
      <w:pPr>
        <w:spacing w:after="0" w:line="208" w:lineRule="exact"/>
        <w:rPr>
          <w:sz w:val="20"/>
          <w:szCs w:val="20"/>
          <w:color w:val="auto"/>
        </w:rPr>
      </w:pPr>
    </w:p>
    <w:p>
      <w:pPr>
        <w:jc w:val="both"/>
        <w:ind w:right="200"/>
        <w:spacing w:after="0" w:line="249" w:lineRule="auto"/>
        <w:rPr>
          <w:sz w:val="20"/>
          <w:szCs w:val="20"/>
          <w:color w:val="auto"/>
        </w:rPr>
      </w:pPr>
      <w:r>
        <w:rPr>
          <w:rFonts w:ascii="Arial" w:cs="Arial" w:eastAsia="Arial" w:hAnsi="Arial"/>
          <w:sz w:val="20"/>
          <w:szCs w:val="20"/>
          <w:b w:val="1"/>
          <w:bCs w:val="1"/>
          <w:color w:val="003366"/>
        </w:rPr>
        <w:t xml:space="preserve">Net Cash Provided by (Used in) Investing Activities </w:t>
      </w:r>
      <w:r>
        <w:rPr>
          <w:rFonts w:ascii="Arial" w:cs="Arial" w:eastAsia="Arial" w:hAnsi="Arial"/>
          <w:sz w:val="17"/>
          <w:szCs w:val="17"/>
          <w:color w:val="000000"/>
        </w:rPr>
        <w:t>AFG’s investing activities consist primarily of the investment of funds provided by</w:t>
      </w:r>
      <w:r>
        <w:rPr>
          <w:rFonts w:ascii="Arial" w:cs="Arial" w:eastAsia="Arial" w:hAnsi="Arial"/>
          <w:sz w:val="20"/>
          <w:szCs w:val="20"/>
          <w:b w:val="1"/>
          <w:bCs w:val="1"/>
          <w:color w:val="003366"/>
        </w:rPr>
        <w:t xml:space="preserve"> </w:t>
      </w:r>
      <w:r>
        <w:rPr>
          <w:rFonts w:ascii="Arial" w:cs="Arial" w:eastAsia="Arial" w:hAnsi="Arial"/>
          <w:sz w:val="17"/>
          <w:szCs w:val="17"/>
          <w:color w:val="000000"/>
        </w:rPr>
        <w:t>its property and casualty businesses. Investing activities also include the purchase and disposal of managed investment entity investments, which are presented separately in AFG’s Balance Sheet. Net</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2" w:name="page33"/>
    <w:bookmarkEnd w:id="32"/>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51" w:lineRule="exact"/>
        <w:rPr>
          <w:sz w:val="20"/>
          <w:szCs w:val="20"/>
          <w:color w:val="auto"/>
        </w:rPr>
      </w:pPr>
    </w:p>
    <w:p>
      <w:pPr>
        <w:ind w:right="220"/>
        <w:spacing w:after="0" w:line="259" w:lineRule="auto"/>
        <w:rPr>
          <w:sz w:val="20"/>
          <w:szCs w:val="20"/>
          <w:color w:val="auto"/>
        </w:rPr>
      </w:pPr>
      <w:r>
        <w:rPr>
          <w:rFonts w:ascii="Arial" w:cs="Arial" w:eastAsia="Arial" w:hAnsi="Arial"/>
          <w:sz w:val="17"/>
          <w:szCs w:val="17"/>
          <w:color w:val="auto"/>
        </w:rPr>
        <w:t xml:space="preserve">investment activity in the managed investment entities was a $173 million use of cash in the first three months of 2026 compared to a $218 million source of cash in the first three months of 2025, accounting for a $391 million increase in net cash used in investing activities in the first three months of 2026 compared to the 2025 period. See </w:t>
      </w:r>
      <w:r>
        <w:rPr>
          <w:rFonts w:ascii="Arial" w:cs="Arial" w:eastAsia="Arial" w:hAnsi="Arial"/>
          <w:sz w:val="17"/>
          <w:szCs w:val="17"/>
          <w:i w:val="1"/>
          <w:iCs w:val="1"/>
          <w:color w:val="auto"/>
        </w:rPr>
        <w:t>Note A — “Accounting Policies</w:t>
      </w:r>
      <w:r>
        <w:rPr>
          <w:rFonts w:ascii="Arial" w:cs="Arial" w:eastAsia="Arial" w:hAnsi="Arial"/>
          <w:sz w:val="17"/>
          <w:szCs w:val="17"/>
          <w:color w:val="auto"/>
        </w:rPr>
        <w:t xml:space="preserve"> — </w:t>
      </w:r>
      <w:r>
        <w:rPr>
          <w:rFonts w:ascii="Arial" w:cs="Arial" w:eastAsia="Arial" w:hAnsi="Arial"/>
          <w:sz w:val="17"/>
          <w:szCs w:val="17"/>
          <w:i w:val="1"/>
          <w:iCs w:val="1"/>
          <w:color w:val="auto"/>
        </w:rPr>
        <w:t>Managed Investment Entities”</w:t>
      </w:r>
      <w:r>
        <w:rPr>
          <w:rFonts w:ascii="Arial" w:cs="Arial" w:eastAsia="Arial" w:hAnsi="Arial"/>
          <w:sz w:val="17"/>
          <w:szCs w:val="17"/>
          <w:color w:val="auto"/>
        </w:rPr>
        <w:t xml:space="preserve"> and </w:t>
      </w:r>
      <w:r>
        <w:rPr>
          <w:rFonts w:ascii="Arial" w:cs="Arial" w:eastAsia="Arial" w:hAnsi="Arial"/>
          <w:sz w:val="17"/>
          <w:szCs w:val="17"/>
          <w:i w:val="1"/>
          <w:iCs w:val="1"/>
          <w:color w:val="auto"/>
        </w:rPr>
        <w:t>Note F — “Managed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Investment Entities” </w:t>
      </w:r>
      <w:r>
        <w:rPr>
          <w:rFonts w:ascii="Arial" w:cs="Arial" w:eastAsia="Arial" w:hAnsi="Arial"/>
          <w:sz w:val="17"/>
          <w:szCs w:val="17"/>
          <w:color w:val="auto"/>
        </w:rPr>
        <w:t>to the financial statements. Excluding the activity of the managed investment entities, investing activities were a $440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use of cash in the first three months of 2026 compared to $195 million in the first three months of 2025, an increase of $245 million reflecting the investment of cash in fixed maturity investments.</w:t>
      </w:r>
    </w:p>
    <w:p>
      <w:pPr>
        <w:spacing w:after="0" w:line="204" w:lineRule="exact"/>
        <w:rPr>
          <w:sz w:val="20"/>
          <w:szCs w:val="20"/>
          <w:color w:val="auto"/>
        </w:rPr>
      </w:pPr>
    </w:p>
    <w:p>
      <w:pPr>
        <w:spacing w:after="0" w:line="254" w:lineRule="auto"/>
        <w:rPr>
          <w:sz w:val="20"/>
          <w:szCs w:val="20"/>
          <w:color w:val="auto"/>
        </w:rPr>
      </w:pPr>
      <w:r>
        <w:rPr>
          <w:rFonts w:ascii="Arial" w:cs="Arial" w:eastAsia="Arial" w:hAnsi="Arial"/>
          <w:sz w:val="20"/>
          <w:szCs w:val="20"/>
          <w:b w:val="1"/>
          <w:bCs w:val="1"/>
          <w:color w:val="003366"/>
        </w:rPr>
        <w:t xml:space="preserve">Net Cash Used in Financing Activities </w:t>
      </w:r>
      <w:r>
        <w:rPr>
          <w:rFonts w:ascii="Arial" w:cs="Arial" w:eastAsia="Arial" w:hAnsi="Arial"/>
          <w:sz w:val="17"/>
          <w:szCs w:val="17"/>
          <w:color w:val="000000"/>
        </w:rPr>
        <w:t>AFG’s financing activities consist primarily of issuances and retirements of long-term debt,</w:t>
      </w:r>
      <w:r>
        <w:rPr>
          <w:rFonts w:ascii="Arial" w:cs="Arial" w:eastAsia="Arial" w:hAnsi="Arial"/>
          <w:sz w:val="20"/>
          <w:szCs w:val="20"/>
          <w:b w:val="1"/>
          <w:bCs w:val="1"/>
          <w:color w:val="003366"/>
        </w:rPr>
        <w:t xml:space="preserve"> </w:t>
      </w:r>
      <w:r>
        <w:rPr>
          <w:rFonts w:ascii="Arial" w:cs="Arial" w:eastAsia="Arial" w:hAnsi="Arial"/>
          <w:sz w:val="17"/>
          <w:szCs w:val="17"/>
          <w:color w:val="000000"/>
        </w:rPr>
        <w:t xml:space="preserve">issuances and repurchases of Common Stock and dividend payments. Net cash used in financing activities was $235 million for the first three months of 2026 compared to $495 million in the first three months of 2025, a decrease of $260 million. AFG paid cash dividends totaling $198 million in the first three months of 2026 compared to $233 million in the first three months of 2025, resulting in a $35 million decrease in cash used in financing activities in the 2026 quarter compared to the 2025 quarter. During the first three months of 2026, AFG repurchased $60 million of its Common Stock compared to $58 million in the comparable 2025 period, an increase in cash used in financing activities of $2 million. Financing activities also include issuances and retirements of managed investment entity liabilities, which are nonrecourse to AFG and presented separately in AFG’s Balance Sheet. Issuances of managed investment entity liabilities exceeded retirements by $21 million in the first three months of 2026 compared to retirements exceeding issuances by $207 million in the first three months of 2025, accounting for a $228 million decrease in net cash used in financing activities in the 2026 period compared to the 2025 period. See </w:t>
      </w:r>
      <w:r>
        <w:rPr>
          <w:rFonts w:ascii="Arial" w:cs="Arial" w:eastAsia="Arial" w:hAnsi="Arial"/>
          <w:sz w:val="17"/>
          <w:szCs w:val="17"/>
          <w:i w:val="1"/>
          <w:iCs w:val="1"/>
          <w:color w:val="000000"/>
        </w:rPr>
        <w:t>Note A — “Accounting Policies — Managed Investment Entities</w:t>
      </w:r>
      <w:r>
        <w:rPr>
          <w:rFonts w:ascii="Arial" w:cs="Arial" w:eastAsia="Arial" w:hAnsi="Arial"/>
          <w:sz w:val="17"/>
          <w:szCs w:val="17"/>
          <w:color w:val="000000"/>
        </w:rPr>
        <w:t xml:space="preserve">” and </w:t>
      </w:r>
      <w:r>
        <w:rPr>
          <w:rFonts w:ascii="Arial" w:cs="Arial" w:eastAsia="Arial" w:hAnsi="Arial"/>
          <w:sz w:val="17"/>
          <w:szCs w:val="17"/>
          <w:i w:val="1"/>
          <w:iCs w:val="1"/>
          <w:color w:val="000000"/>
        </w:rPr>
        <w:t>Note F — “Managed Investment Entities”</w:t>
      </w:r>
      <w:r>
        <w:rPr>
          <w:rFonts w:ascii="Arial" w:cs="Arial" w:eastAsia="Arial" w:hAnsi="Arial"/>
          <w:sz w:val="17"/>
          <w:szCs w:val="17"/>
          <w:color w:val="000000"/>
        </w:rPr>
        <w:t xml:space="preserve"> to the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25"/>
          <w:szCs w:val="25"/>
          <w:b w:val="1"/>
          <w:bCs w:val="1"/>
          <w:color w:val="003366"/>
        </w:rPr>
        <w:t>Parent and Subsidiary Liquidity</w:t>
      </w:r>
    </w:p>
    <w:p>
      <w:pPr>
        <w:spacing w:after="0" w:line="253" w:lineRule="exact"/>
        <w:rPr>
          <w:sz w:val="20"/>
          <w:szCs w:val="20"/>
          <w:color w:val="auto"/>
        </w:rPr>
      </w:pPr>
    </w:p>
    <w:p>
      <w:pPr>
        <w:ind w:right="80"/>
        <w:spacing w:after="0" w:line="248" w:lineRule="auto"/>
        <w:rPr>
          <w:sz w:val="20"/>
          <w:szCs w:val="20"/>
          <w:color w:val="auto"/>
        </w:rPr>
      </w:pPr>
      <w:r>
        <w:rPr>
          <w:rFonts w:ascii="Arial" w:cs="Arial" w:eastAsia="Arial" w:hAnsi="Arial"/>
          <w:sz w:val="20"/>
          <w:szCs w:val="20"/>
          <w:b w:val="1"/>
          <w:bCs w:val="1"/>
          <w:color w:val="003366"/>
        </w:rPr>
        <w:t xml:space="preserve">Parent Holding Company Liquidity </w:t>
      </w:r>
      <w:r>
        <w:rPr>
          <w:rFonts w:ascii="Arial" w:cs="Arial" w:eastAsia="Arial" w:hAnsi="Arial"/>
          <w:sz w:val="17"/>
          <w:szCs w:val="17"/>
          <w:color w:val="000000"/>
        </w:rPr>
        <w:t>Management believes AFG has sufficient resources to meet its liquidity requirements. If funds</w:t>
      </w:r>
      <w:r>
        <w:rPr>
          <w:rFonts w:ascii="Arial" w:cs="Arial" w:eastAsia="Arial" w:hAnsi="Arial"/>
          <w:sz w:val="20"/>
          <w:szCs w:val="20"/>
          <w:b w:val="1"/>
          <w:bCs w:val="1"/>
          <w:color w:val="003366"/>
        </w:rPr>
        <w:t xml:space="preserve"> </w:t>
      </w:r>
      <w:r>
        <w:rPr>
          <w:rFonts w:ascii="Arial" w:cs="Arial" w:eastAsia="Arial" w:hAnsi="Arial"/>
          <w:sz w:val="17"/>
          <w:szCs w:val="17"/>
          <w:color w:val="000000"/>
        </w:rPr>
        <w:t>generated from operations, including dividends, tax payments and borrowings from subsidiaries, are insufficient to meet fixed charges in any period, AFG would be required to utilize parent company cash and investments or to generate cash through borrowings, sales of other assets or similar transactions.</w:t>
      </w:r>
    </w:p>
    <w:p>
      <w:pPr>
        <w:spacing w:after="0" w:line="216" w:lineRule="exact"/>
        <w:rPr>
          <w:sz w:val="20"/>
          <w:szCs w:val="20"/>
          <w:color w:val="auto"/>
        </w:rPr>
      </w:pPr>
    </w:p>
    <w:p>
      <w:pPr>
        <w:ind w:right="180"/>
        <w:spacing w:after="0" w:line="266" w:lineRule="auto"/>
        <w:rPr>
          <w:sz w:val="20"/>
          <w:szCs w:val="20"/>
          <w:color w:val="auto"/>
        </w:rPr>
      </w:pPr>
      <w:r>
        <w:rPr>
          <w:rFonts w:ascii="Arial" w:cs="Arial" w:eastAsia="Arial" w:hAnsi="Arial"/>
          <w:sz w:val="17"/>
          <w:szCs w:val="17"/>
          <w:color w:val="auto"/>
        </w:rPr>
        <w:t>AFG's operations continue to generate significant excess capital for future returns of capital to shareholders in the form of regular and special cash dividends and through opportunistic share repurchases or to be deployed into its property and casualty businesses as management identifies the potential for profitable organic growth, and opportunities to expand through acquisitions of established businesses or start-ups that meet target return thresholds.</w:t>
      </w:r>
    </w:p>
    <w:p>
      <w:pPr>
        <w:spacing w:after="0" w:line="200" w:lineRule="exact"/>
        <w:rPr>
          <w:sz w:val="20"/>
          <w:szCs w:val="20"/>
          <w:color w:val="auto"/>
        </w:rPr>
      </w:pPr>
    </w:p>
    <w:p>
      <w:pPr>
        <w:ind w:right="540"/>
        <w:spacing w:after="0" w:line="284" w:lineRule="auto"/>
        <w:rPr>
          <w:sz w:val="20"/>
          <w:szCs w:val="20"/>
          <w:color w:val="auto"/>
        </w:rPr>
      </w:pPr>
      <w:r>
        <w:rPr>
          <w:rFonts w:ascii="Arial" w:cs="Arial" w:eastAsia="Arial" w:hAnsi="Arial"/>
          <w:sz w:val="17"/>
          <w:szCs w:val="17"/>
          <w:color w:val="auto"/>
        </w:rPr>
        <w:t>During the first three months of 2026, AFG repurchased 466,097 shares of its Common Stock for $60 million and paid a special cash dividend totaling $125 million ($1.50 per share) in February.</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In September 2025, AFG issued $350 million in 5.00% Senior Notes due in September 2035.</w:t>
      </w:r>
    </w:p>
    <w:p>
      <w:pPr>
        <w:spacing w:after="0" w:line="250" w:lineRule="exact"/>
        <w:rPr>
          <w:sz w:val="20"/>
          <w:szCs w:val="20"/>
          <w:color w:val="auto"/>
        </w:rPr>
      </w:pPr>
    </w:p>
    <w:p>
      <w:pPr>
        <w:ind w:right="60"/>
        <w:spacing w:after="0" w:line="301" w:lineRule="auto"/>
        <w:rPr>
          <w:sz w:val="20"/>
          <w:szCs w:val="20"/>
          <w:color w:val="auto"/>
        </w:rPr>
      </w:pPr>
      <w:r>
        <w:rPr>
          <w:rFonts w:ascii="Arial" w:cs="Arial" w:eastAsia="Arial" w:hAnsi="Arial"/>
          <w:sz w:val="17"/>
          <w:szCs w:val="17"/>
          <w:color w:val="auto"/>
        </w:rPr>
        <w:t>During 2025, AFG repurchased 799,398 shares of its Common Stock for $99 million and paid special cash dividends totaling $334 million ($2.00 per share in both March and November).</w:t>
      </w:r>
    </w:p>
    <w:p>
      <w:pPr>
        <w:spacing w:after="0" w:line="171" w:lineRule="exact"/>
        <w:rPr>
          <w:sz w:val="20"/>
          <w:szCs w:val="20"/>
          <w:color w:val="auto"/>
        </w:rPr>
      </w:pPr>
    </w:p>
    <w:p>
      <w:pPr>
        <w:ind w:right="60"/>
        <w:spacing w:after="0" w:line="260" w:lineRule="auto"/>
        <w:rPr>
          <w:sz w:val="20"/>
          <w:szCs w:val="20"/>
          <w:color w:val="auto"/>
        </w:rPr>
      </w:pPr>
      <w:r>
        <w:rPr>
          <w:rFonts w:ascii="Arial" w:cs="Arial" w:eastAsia="Arial" w:hAnsi="Arial"/>
          <w:sz w:val="17"/>
          <w:szCs w:val="17"/>
          <w:color w:val="auto"/>
        </w:rPr>
        <w:t>AFG may, at any time and from time to time, seek to retire or purchase its outstanding debt through cash purchases or exchanges for equity or debt, in open-market purchases, privately negotiated transactions or otherwise. Such repurchases or exchanges, if any, will be upon such terms and at such prices as management may determine, and will depend on prevailing market conditions, AFG’s liquidity requirements, contractual restrictions and other factors.</w:t>
      </w:r>
    </w:p>
    <w:p>
      <w:pPr>
        <w:spacing w:after="0" w:line="219"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At March 31, 2026, AFG (parent) held approximately $408 million in cash and investments. Management believes that AFG’s cash balances are held at stable banking institutions, although the amounts of many of these deposits are in excess of federally insured balances. AFG can borrow up to $450 million under its revolving credit facility, which expires in June 2028. Amounts borrowed under this agreement bear interest at rates ranging from 1.00% to 1.75% (based on AFG’s credit rating, currently 1.25%) over a SOFR-based floating rate. There were no borrowings under AFG’s credit facility, or under any other parent company short-term borrowing arrangements, during 2025 or the first three months of 2026.</w:t>
      </w:r>
    </w:p>
    <w:p>
      <w:pPr>
        <w:spacing w:after="0" w:line="222" w:lineRule="exact"/>
        <w:rPr>
          <w:sz w:val="20"/>
          <w:szCs w:val="20"/>
          <w:color w:val="auto"/>
        </w:rPr>
      </w:pPr>
    </w:p>
    <w:p>
      <w:pPr>
        <w:ind w:right="40"/>
        <w:spacing w:after="0" w:line="284" w:lineRule="auto"/>
        <w:rPr>
          <w:sz w:val="20"/>
          <w:szCs w:val="20"/>
          <w:color w:val="auto"/>
        </w:rPr>
      </w:pPr>
      <w:r>
        <w:rPr>
          <w:rFonts w:ascii="Arial" w:cs="Arial" w:eastAsia="Arial" w:hAnsi="Arial"/>
          <w:sz w:val="17"/>
          <w:szCs w:val="17"/>
          <w:color w:val="auto"/>
        </w:rPr>
        <w:t>Under a tax allocation agreement with AFG, all 80% (or more) owned U.S. subsidiaries generally pay taxes to (or recover taxes from) AFG based on each subsidiary’s contribution to amounts due under AFG’s consolidated tax return.</w:t>
      </w:r>
    </w:p>
    <w:p>
      <w:pPr>
        <w:sectPr>
          <w:pgSz w:w="11900" w:h="16838" w:orient="portrait"/>
          <w:cols w:equalWidth="0" w:num="1">
            <w:col w:w="11240"/>
          </w:cols>
          <w:pgMar w:left="320" w:top="11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50" w:lineRule="exact"/>
        <w:rPr>
          <w:sz w:val="20"/>
          <w:szCs w:val="20"/>
          <w:color w:val="auto"/>
        </w:rPr>
      </w:pPr>
    </w:p>
    <w:p>
      <w:pPr>
        <w:ind w:right="300"/>
        <w:spacing w:after="0" w:line="248" w:lineRule="auto"/>
        <w:rPr>
          <w:sz w:val="20"/>
          <w:szCs w:val="20"/>
          <w:color w:val="auto"/>
        </w:rPr>
      </w:pPr>
      <w:r>
        <w:rPr>
          <w:rFonts w:ascii="Arial" w:cs="Arial" w:eastAsia="Arial" w:hAnsi="Arial"/>
          <w:sz w:val="20"/>
          <w:szCs w:val="20"/>
          <w:b w:val="1"/>
          <w:bCs w:val="1"/>
          <w:color w:val="003366"/>
        </w:rPr>
        <w:t xml:space="preserve">Subsidiary Liquidity </w:t>
      </w:r>
      <w:r>
        <w:rPr>
          <w:rFonts w:ascii="Arial" w:cs="Arial" w:eastAsia="Arial" w:hAnsi="Arial"/>
          <w:sz w:val="17"/>
          <w:szCs w:val="17"/>
          <w:color w:val="000000"/>
        </w:rPr>
        <w:t>The liquidity requirements of AFG’s insurance subsidiaries relate primarily to the policyholder claims and underwriting</w:t>
      </w:r>
      <w:r>
        <w:rPr>
          <w:rFonts w:ascii="Arial" w:cs="Arial" w:eastAsia="Arial" w:hAnsi="Arial"/>
          <w:sz w:val="20"/>
          <w:szCs w:val="20"/>
          <w:b w:val="1"/>
          <w:bCs w:val="1"/>
          <w:color w:val="003366"/>
        </w:rPr>
        <w:t xml:space="preserve"> </w:t>
      </w:r>
      <w:r>
        <w:rPr>
          <w:rFonts w:ascii="Arial" w:cs="Arial" w:eastAsia="Arial" w:hAnsi="Arial"/>
          <w:sz w:val="17"/>
          <w:szCs w:val="17"/>
          <w:color w:val="000000"/>
        </w:rPr>
        <w:t>expenses and payments of dividends and taxes to AFG. Historically, cash flows from premiums and investment income have generally provided more than sufficient funds to meet these requirements. Funds received in excess of cash requirements are generally invested in marketable securities. In addition, the insurance subsidiaries generally hold a significant amount of highly liquid, short duration investments.</w:t>
      </w:r>
    </w:p>
    <w:p>
      <w:pPr>
        <w:spacing w:after="0" w:line="216" w:lineRule="exact"/>
        <w:rPr>
          <w:sz w:val="20"/>
          <w:szCs w:val="20"/>
          <w:color w:val="auto"/>
        </w:rPr>
      </w:pPr>
    </w:p>
    <w:p>
      <w:pPr>
        <w:ind w:right="260"/>
        <w:spacing w:after="0" w:line="261" w:lineRule="auto"/>
        <w:rPr>
          <w:sz w:val="20"/>
          <w:szCs w:val="20"/>
          <w:color w:val="auto"/>
        </w:rPr>
      </w:pPr>
      <w:r>
        <w:rPr>
          <w:rFonts w:ascii="Arial" w:cs="Arial" w:eastAsia="Arial" w:hAnsi="Arial"/>
          <w:sz w:val="17"/>
          <w:szCs w:val="17"/>
          <w:color w:val="auto"/>
        </w:rPr>
        <w:t>AFG believes its insurance subsidiaries maintain sufficient liquidity to pay claims and underwriting expenses. In addition, these subsidiaries have sufficient capital to meet commitments in the event of unforeseen reserve deficiencies, inadequate premium rates or reinsurer insolvencies. Management believes that the capital levels in AFG’s insurance subsidiaries are adequate to maintain its business and rating agency ratings. Nonetheless, changes in statutory accounting rules, changes in rating agency measures, significant declines in the fair value of the insurance subsidiaries’ investment portfolios or significant ratings downgrades on these investments, could create a need for additional capital.</w:t>
      </w:r>
    </w:p>
    <w:p>
      <w:pPr>
        <w:spacing w:after="0" w:line="204" w:lineRule="exact"/>
        <w:rPr>
          <w:sz w:val="20"/>
          <w:szCs w:val="20"/>
          <w:color w:val="auto"/>
        </w:rPr>
      </w:pPr>
    </w:p>
    <w:p>
      <w:pPr>
        <w:spacing w:after="0"/>
        <w:rPr>
          <w:sz w:val="20"/>
          <w:szCs w:val="20"/>
          <w:color w:val="auto"/>
        </w:rPr>
      </w:pPr>
      <w:r>
        <w:rPr>
          <w:rFonts w:ascii="Arial" w:cs="Arial" w:eastAsia="Arial" w:hAnsi="Arial"/>
          <w:sz w:val="25"/>
          <w:szCs w:val="25"/>
          <w:b w:val="1"/>
          <w:bCs w:val="1"/>
          <w:color w:val="003366"/>
        </w:rPr>
        <w:t>Investments</w:t>
      </w:r>
    </w:p>
    <w:p>
      <w:pPr>
        <w:spacing w:after="0" w:line="28"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AFG’s investment portfolio at March 31, 2026, contained $11.40 billion in fixed maturity securities classified as available for sale and carried at fair value with unrealized gains and losses included in accumulated other comprehensive income (loss) and $80 million in fixed maturities classified as trading with holding gains and losses included in net investment income. In addition, AFG’s investment portfolio includes $555 million in equity securities carried at fair value with holding gains and losses included in realized gains (losses) on securities and $198 million in equity securities carried at fair value with holding gains and losses included in net investment income. AFG’s investment portfolio also includes $2.44 billion in investments accounted for using the equity method (limited partnerships and similar investments). Under the equity method, AFG records its share of the earnings or losses of the investee based on when it is reported by the investee in its financial statements rather than in the period in which the investee declares a dividend. AFG’s share of the earnings or losses from equity method investments is included in net investment income and is generally recorded on a quarter lag due to the timing of the receipt of the investee’s financial statements.</w:t>
      </w:r>
    </w:p>
    <w:p>
      <w:pPr>
        <w:spacing w:after="0" w:line="215"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 xml:space="preserve">Fair values for AFG’s portfolio are determined by AFG’s internal investment professionals using data from nationally recognized pricing services, non-binding broker quotes and other market information. Fair values of equity securities are determined by published closing prices when available. For AFG’s fixed maturity portfolio, approximately 91% was priced using pricing services at March 31, 2026 and 2% was priced using non-binding broker quotes. The remaining 7% was priced internally using a variety of inputs including credit spreads, trade information, prices of comparable securities, estimates of cash flow and other security specific features. When prices obtained for the same security vary, AFG’s internal investment professionals select the price they believe is most indicative of an exit price. For additional information on determination of fair value, see </w:t>
      </w:r>
      <w:r>
        <w:rPr>
          <w:rFonts w:ascii="Arial" w:cs="Arial" w:eastAsia="Arial" w:hAnsi="Arial"/>
          <w:sz w:val="17"/>
          <w:szCs w:val="17"/>
          <w:i w:val="1"/>
          <w:iCs w:val="1"/>
          <w:color w:val="auto"/>
        </w:rPr>
        <w:t>Note C —</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“Fair Value Measurements” </w:t>
      </w:r>
      <w:r>
        <w:rPr>
          <w:rFonts w:ascii="Arial" w:cs="Arial" w:eastAsia="Arial" w:hAnsi="Arial"/>
          <w:sz w:val="17"/>
          <w:szCs w:val="17"/>
          <w:color w:val="auto"/>
        </w:rPr>
        <w:t>to the financial statements.</w:t>
      </w:r>
    </w:p>
    <w:p>
      <w:pPr>
        <w:spacing w:after="0" w:line="209"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The pricing services use a variety of observable inputs to estimate fair value of fixed maturities that do not trade on a daily basis. Based upon information provided by the pricing services, these inputs include, but are not limited to, recent reported trades, benchmark yields, issuer spreads, bids or offers, reference data, and measures of volatility. Included in the pricing of structured securities are estimates of the rate of future prepayments and defaults of principal over the remaining life of the underlying collateral. Due to the lack of transparency in the process that brokers use to develop prices, valuations that are based on brokers’ prices are classified as Level 3 in the GAAP hierarchy unless the price can be corroborated, for example, by comparison to similar securities priced using observable inputs.</w:t>
      </w:r>
    </w:p>
    <w:p>
      <w:pPr>
        <w:spacing w:after="0" w:line="219"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Valuation techniques utilized by pricing services and prices obtained from external sources are reviewed by AFG’s internal investment professionals who are familiar with the securities being priced and the markets in which they trade to ensure the fair value determination is representative of an exit price. To validate the appropriateness of the prices obtained, these investment managers consider widely published indices (as benchmarks), recent trades, changes in interest rates, general economic conditions and the credit quality of the specific issuers. In addition, AFG communicates directly with pricing services regarding the methods and assumptions used in pricing, including verifying, on a test basis, the inputs used by the services to value specific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5" w:right="399" w:bottom="1440" w:gutter="0" w:footer="0" w:header="0"/>
        </w:sectPr>
      </w:pPr>
    </w:p>
    <w:bookmarkStart w:id="34" w:name="page35"/>
    <w:bookmarkEnd w:id="34"/>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51" w:lineRule="exact"/>
        <w:rPr>
          <w:sz w:val="20"/>
          <w:szCs w:val="20"/>
          <w:color w:val="auto"/>
        </w:rPr>
      </w:pPr>
    </w:p>
    <w:p>
      <w:pPr>
        <w:ind w:right="260"/>
        <w:spacing w:after="0" w:line="266" w:lineRule="auto"/>
        <w:rPr>
          <w:sz w:val="20"/>
          <w:szCs w:val="20"/>
          <w:color w:val="auto"/>
        </w:rPr>
      </w:pPr>
      <w:r>
        <w:rPr>
          <w:rFonts w:ascii="Arial" w:cs="Arial" w:eastAsia="Arial" w:hAnsi="Arial"/>
          <w:sz w:val="17"/>
          <w:szCs w:val="17"/>
          <w:color w:val="auto"/>
        </w:rPr>
        <w:t>In general, the fair value of AFG’s fixed maturity investments is inversely correlated to changes in interest rates. The following table demonstrates the sensitivity of such fair values to reasonably likely changes in interest rates by illustrating the estimated effect on AFG’s fixed maturity portfolio that an immediate increase of 100 basis points in the interest rate yield curve would have had at March 31, 2026 (dollars in millions). Effects of increases or decreases from the 100 basis points illustrated would be approximately proportional.</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Fair value of fixed maturity portfolio</w:t>
            </w:r>
          </w:p>
        </w:tc>
        <w:tc>
          <w:tcPr>
            <w:tcW w:w="28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11,477</w:t>
            </w:r>
          </w:p>
        </w:tc>
      </w:tr>
      <w:tr>
        <w:trPr>
          <w:trHeight w:val="215"/>
        </w:trPr>
        <w:tc>
          <w:tcPr>
            <w:tcW w:w="7380" w:type="dxa"/>
            <w:vAlign w:val="bottom"/>
          </w:tcPr>
          <w:p>
            <w:pPr>
              <w:ind w:left="20"/>
              <w:spacing w:after="0"/>
              <w:rPr>
                <w:sz w:val="20"/>
                <w:szCs w:val="20"/>
                <w:color w:val="auto"/>
              </w:rPr>
            </w:pPr>
            <w:r>
              <w:rPr>
                <w:rFonts w:ascii="Arial" w:cs="Arial" w:eastAsia="Arial" w:hAnsi="Arial"/>
                <w:sz w:val="16"/>
                <w:szCs w:val="16"/>
                <w:color w:val="auto"/>
              </w:rPr>
              <w:t>Percentage impact on fair value of 100 bps increase in interest rates</w:t>
            </w:r>
          </w:p>
        </w:tc>
        <w:tc>
          <w:tcPr>
            <w:tcW w:w="28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217"/>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Pretax impact on fair value of fixed maturity portfolio</w:t>
            </w:r>
          </w:p>
        </w:tc>
        <w:tc>
          <w:tcPr>
            <w:tcW w:w="28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(402)</w:t>
            </w:r>
          </w:p>
        </w:tc>
      </w:tr>
    </w:tbl>
    <w:p>
      <w:pPr>
        <w:spacing w:after="0" w:line="221" w:lineRule="exact"/>
        <w:rPr>
          <w:sz w:val="20"/>
          <w:szCs w:val="20"/>
          <w:color w:val="auto"/>
        </w:rPr>
      </w:pPr>
    </w:p>
    <w:p>
      <w:pPr>
        <w:ind w:right="80"/>
        <w:spacing w:after="0" w:line="266" w:lineRule="auto"/>
        <w:rPr>
          <w:sz w:val="20"/>
          <w:szCs w:val="20"/>
          <w:color w:val="auto"/>
        </w:rPr>
      </w:pPr>
      <w:r>
        <w:rPr>
          <w:rFonts w:ascii="Arial" w:cs="Arial" w:eastAsia="Arial" w:hAnsi="Arial"/>
          <w:sz w:val="17"/>
          <w:szCs w:val="17"/>
          <w:color w:val="auto"/>
        </w:rPr>
        <w:t>Approximately 96% of the fixed maturities held by AFG at March 31, 2026, were rated “investment grade” (credit rating of AAA to BBB) by nationally recognized rating agencies, 1% were rated “non-investment grade” and 3% were not rated. Investment grade securities generally bear lower yields and lower degrees of risk than those that are unrated and non-investment grade. Management believes that the high-quality investment portfolio should generate a stable and predictable investment return.</w:t>
      </w:r>
    </w:p>
    <w:p>
      <w:pPr>
        <w:spacing w:after="0" w:line="119"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AFG has $75 million of direct exposure to office commercial real estate through property ownership, mortgages or equity method investments. AFG’s fixed maturity portfolio includes securities (the majority of which are AAA-rated) with a carrying value of approximately $235 million that have minimal exposure to office commercial real estate.</w:t>
      </w:r>
    </w:p>
    <w:p>
      <w:pPr>
        <w:spacing w:after="0" w:line="195" w:lineRule="exact"/>
        <w:rPr>
          <w:sz w:val="20"/>
          <w:szCs w:val="20"/>
          <w:color w:val="auto"/>
        </w:rPr>
      </w:pPr>
    </w:p>
    <w:p>
      <w:pPr>
        <w:ind w:right="340"/>
        <w:spacing w:after="0" w:line="284" w:lineRule="auto"/>
        <w:rPr>
          <w:sz w:val="20"/>
          <w:szCs w:val="20"/>
          <w:color w:val="auto"/>
        </w:rPr>
      </w:pPr>
      <w:r>
        <w:rPr>
          <w:rFonts w:ascii="Arial" w:cs="Arial" w:eastAsia="Arial" w:hAnsi="Arial"/>
          <w:sz w:val="17"/>
          <w:szCs w:val="17"/>
          <w:color w:val="auto"/>
        </w:rPr>
        <w:t>Summarized information for the unrealized gains and losses recorded in AFG’s Balance Sheet at March 31, 2026, is shown in the following table (dollars in millions). There were $451 million of available for sale fixed maturity securities with no unrealized gains or losses at March 31, 2026.</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5"/>
                <w:szCs w:val="15"/>
                <w:color w:val="auto"/>
              </w:rPr>
              <w:t>Securities</w:t>
            </w:r>
          </w:p>
        </w:tc>
        <w:tc>
          <w:tcPr>
            <w:tcW w:w="220" w:type="dxa"/>
            <w:vAlign w:val="bottom"/>
          </w:tcPr>
          <w:p>
            <w:pPr>
              <w:spacing w:after="0"/>
              <w:rPr>
                <w:sz w:val="14"/>
                <w:szCs w:val="14"/>
                <w:color w:val="auto"/>
              </w:rPr>
            </w:pPr>
          </w:p>
        </w:tc>
        <w:tc>
          <w:tcPr>
            <w:tcW w:w="1140" w:type="dxa"/>
            <w:vAlign w:val="bottom"/>
          </w:tcPr>
          <w:p>
            <w:pPr>
              <w:jc w:val="center"/>
              <w:ind w:right="137"/>
              <w:spacing w:after="0"/>
              <w:rPr>
                <w:sz w:val="20"/>
                <w:szCs w:val="20"/>
                <w:color w:val="auto"/>
              </w:rPr>
            </w:pPr>
            <w:r>
              <w:rPr>
                <w:rFonts w:ascii="Arial" w:cs="Arial" w:eastAsia="Arial" w:hAnsi="Arial"/>
                <w:sz w:val="15"/>
                <w:szCs w:val="15"/>
                <w:color w:val="auto"/>
              </w:rPr>
              <w:t>Securities</w:t>
            </w:r>
          </w:p>
        </w:tc>
      </w:tr>
      <w:tr>
        <w:trPr>
          <w:trHeight w:val="149"/>
        </w:trPr>
        <w:tc>
          <w:tcPr>
            <w:tcW w:w="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center"/>
              <w:ind w:right="300"/>
              <w:spacing w:after="0" w:line="149" w:lineRule="exact"/>
              <w:rPr>
                <w:sz w:val="20"/>
                <w:szCs w:val="20"/>
                <w:color w:val="auto"/>
              </w:rPr>
            </w:pPr>
            <w:r>
              <w:rPr>
                <w:rFonts w:ascii="Arial" w:cs="Arial" w:eastAsia="Arial" w:hAnsi="Arial"/>
                <w:sz w:val="15"/>
                <w:szCs w:val="15"/>
                <w:color w:val="auto"/>
              </w:rPr>
              <w:t>With</w:t>
            </w:r>
          </w:p>
        </w:tc>
        <w:tc>
          <w:tcPr>
            <w:tcW w:w="220" w:type="dxa"/>
            <w:vAlign w:val="bottom"/>
          </w:tcPr>
          <w:p>
            <w:pPr>
              <w:spacing w:after="0"/>
              <w:rPr>
                <w:sz w:val="12"/>
                <w:szCs w:val="12"/>
                <w:color w:val="auto"/>
              </w:rPr>
            </w:pPr>
          </w:p>
        </w:tc>
        <w:tc>
          <w:tcPr>
            <w:tcW w:w="1140" w:type="dxa"/>
            <w:vAlign w:val="bottom"/>
          </w:tcPr>
          <w:p>
            <w:pPr>
              <w:jc w:val="center"/>
              <w:ind w:right="117"/>
              <w:spacing w:after="0" w:line="149" w:lineRule="exact"/>
              <w:rPr>
                <w:sz w:val="20"/>
                <w:szCs w:val="20"/>
                <w:color w:val="auto"/>
              </w:rPr>
            </w:pPr>
            <w:r>
              <w:rPr>
                <w:rFonts w:ascii="Arial" w:cs="Arial" w:eastAsia="Arial" w:hAnsi="Arial"/>
                <w:sz w:val="15"/>
                <w:szCs w:val="15"/>
                <w:color w:val="auto"/>
                <w:w w:val="99"/>
              </w:rPr>
              <w:t>With</w:t>
            </w:r>
          </w:p>
        </w:tc>
      </w:tr>
      <w:tr>
        <w:trPr>
          <w:trHeight w:val="158"/>
        </w:trPr>
        <w:tc>
          <w:tcPr>
            <w:tcW w:w="2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5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gridSpan w:val="2"/>
          </w:tcPr>
          <w:p>
            <w:pPr>
              <w:jc w:val="center"/>
              <w:ind w:right="300"/>
              <w:spacing w:after="0" w:line="158" w:lineRule="exact"/>
              <w:rPr>
                <w:sz w:val="20"/>
                <w:szCs w:val="20"/>
                <w:color w:val="auto"/>
              </w:rPr>
            </w:pPr>
            <w:r>
              <w:rPr>
                <w:rFonts w:ascii="Arial" w:cs="Arial" w:eastAsia="Arial" w:hAnsi="Arial"/>
                <w:sz w:val="15"/>
                <w:szCs w:val="15"/>
                <w:color w:val="auto"/>
              </w:rPr>
              <w:t>Unrealized</w:t>
            </w:r>
          </w:p>
        </w:tc>
        <w:tc>
          <w:tcPr>
            <w:tcW w:w="220" w:type="dxa"/>
            <w:vAlign w:val="bottom"/>
          </w:tcPr>
          <w:p>
            <w:pPr>
              <w:spacing w:after="0"/>
              <w:rPr>
                <w:sz w:val="13"/>
                <w:szCs w:val="13"/>
                <w:color w:val="auto"/>
              </w:rPr>
            </w:pPr>
          </w:p>
        </w:tc>
        <w:tc>
          <w:tcPr>
            <w:tcW w:w="1140" w:type="dxa"/>
            <w:vAlign w:val="bottom"/>
          </w:tcPr>
          <w:p>
            <w:pPr>
              <w:jc w:val="center"/>
              <w:ind w:right="117"/>
              <w:spacing w:after="0" w:line="158" w:lineRule="exact"/>
              <w:rPr>
                <w:sz w:val="20"/>
                <w:szCs w:val="20"/>
                <w:color w:val="auto"/>
              </w:rPr>
            </w:pPr>
            <w:r>
              <w:rPr>
                <w:rFonts w:ascii="Arial" w:cs="Arial" w:eastAsia="Arial" w:hAnsi="Arial"/>
                <w:sz w:val="15"/>
                <w:szCs w:val="15"/>
                <w:color w:val="auto"/>
              </w:rPr>
              <w:t>Unrealized</w:t>
            </w:r>
          </w:p>
        </w:tc>
      </w:tr>
      <w:tr>
        <w:trPr>
          <w:trHeight w:val="203"/>
        </w:trPr>
        <w:tc>
          <w:tcPr>
            <w:tcW w:w="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5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5"/>
                <w:szCs w:val="15"/>
                <w:color w:val="auto"/>
              </w:rPr>
              <w:t>Gains</w:t>
            </w:r>
          </w:p>
        </w:tc>
        <w:tc>
          <w:tcPr>
            <w:tcW w:w="220" w:type="dxa"/>
            <w:vAlign w:val="bottom"/>
          </w:tcPr>
          <w:p>
            <w:pPr>
              <w:spacing w:after="0"/>
              <w:rPr>
                <w:sz w:val="17"/>
                <w:szCs w:val="17"/>
                <w:color w:val="auto"/>
              </w:rPr>
            </w:pPr>
          </w:p>
        </w:tc>
        <w:tc>
          <w:tcPr>
            <w:tcW w:w="1140" w:type="dxa"/>
            <w:vAlign w:val="bottom"/>
          </w:tcPr>
          <w:p>
            <w:pPr>
              <w:jc w:val="center"/>
              <w:ind w:right="137"/>
              <w:spacing w:after="0"/>
              <w:rPr>
                <w:sz w:val="20"/>
                <w:szCs w:val="20"/>
                <w:color w:val="auto"/>
              </w:rPr>
            </w:pPr>
            <w:r>
              <w:rPr>
                <w:rFonts w:ascii="Arial" w:cs="Arial" w:eastAsia="Arial" w:hAnsi="Arial"/>
                <w:sz w:val="15"/>
                <w:szCs w:val="15"/>
                <w:color w:val="auto"/>
              </w:rPr>
              <w:t>Losses</w:t>
            </w:r>
          </w:p>
        </w:tc>
      </w:tr>
      <w:tr>
        <w:trPr>
          <w:trHeight w:val="192"/>
        </w:trPr>
        <w:tc>
          <w:tcPr>
            <w:tcW w:w="20" w:type="dxa"/>
            <w:vAlign w:val="bottom"/>
            <w:tcBorders>
              <w:top w:val="single" w:sz="8" w:color="CCEEFF"/>
            </w:tcBorders>
            <w:shd w:val="clear" w:color="auto" w:fill="CCEEFF"/>
          </w:tcPr>
          <w:p>
            <w:pPr>
              <w:spacing w:after="0"/>
              <w:rPr>
                <w:sz w:val="16"/>
                <w:szCs w:val="16"/>
                <w:color w:val="auto"/>
              </w:rPr>
            </w:pPr>
          </w:p>
        </w:tc>
        <w:tc>
          <w:tcPr>
            <w:tcW w:w="8420" w:type="dxa"/>
            <w:vAlign w:val="bottom"/>
            <w:tcBorders>
              <w:top w:val="single" w:sz="8" w:color="CCEEFF"/>
            </w:tcBorders>
            <w:gridSpan w:val="2"/>
            <w:shd w:val="clear" w:color="auto" w:fill="CCEEFF"/>
          </w:tcPr>
          <w:p>
            <w:pPr>
              <w:spacing w:after="0" w:line="159" w:lineRule="exact"/>
              <w:rPr>
                <w:sz w:val="20"/>
                <w:szCs w:val="20"/>
                <w:color w:val="auto"/>
              </w:rPr>
            </w:pPr>
            <w:r>
              <w:rPr>
                <w:rFonts w:ascii="Arial" w:cs="Arial" w:eastAsia="Arial" w:hAnsi="Arial"/>
                <w:sz w:val="17"/>
                <w:szCs w:val="17"/>
                <w:color w:val="auto"/>
              </w:rPr>
              <w:t>Available for Sale Fixed Maturities</w:t>
            </w:r>
          </w:p>
        </w:tc>
        <w:tc>
          <w:tcPr>
            <w:tcW w:w="22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r>
      <w:tr>
        <w:trPr>
          <w:trHeight w:val="227"/>
        </w:trPr>
        <w:tc>
          <w:tcPr>
            <w:tcW w:w="20" w:type="dxa"/>
            <w:vAlign w:val="bottom"/>
            <w:tcBorders>
              <w:top w:val="single" w:sz="8" w:color="CCEEFF"/>
            </w:tcBorders>
          </w:tcPr>
          <w:p>
            <w:pPr>
              <w:spacing w:after="0"/>
              <w:rPr>
                <w:sz w:val="19"/>
                <w:szCs w:val="19"/>
                <w:color w:val="auto"/>
              </w:rPr>
            </w:pPr>
          </w:p>
        </w:tc>
        <w:tc>
          <w:tcPr>
            <w:tcW w:w="2580" w:type="dxa"/>
            <w:vAlign w:val="bottom"/>
            <w:tcBorders>
              <w:top w:val="single" w:sz="8" w:color="auto"/>
            </w:tcBorders>
          </w:tcPr>
          <w:p>
            <w:pPr>
              <w:ind w:left="340"/>
              <w:spacing w:after="0"/>
              <w:rPr>
                <w:sz w:val="20"/>
                <w:szCs w:val="20"/>
                <w:color w:val="auto"/>
              </w:rPr>
            </w:pPr>
            <w:r>
              <w:rPr>
                <w:rFonts w:ascii="Arial" w:cs="Arial" w:eastAsia="Arial" w:hAnsi="Arial"/>
                <w:sz w:val="17"/>
                <w:szCs w:val="17"/>
                <w:color w:val="auto"/>
              </w:rPr>
              <w:t>Fair value of securities</w:t>
            </w:r>
          </w:p>
        </w:tc>
        <w:tc>
          <w:tcPr>
            <w:tcW w:w="584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jc w:val="right"/>
              <w:ind w:right="15"/>
              <w:spacing w:after="0"/>
              <w:rPr>
                <w:sz w:val="20"/>
                <w:szCs w:val="20"/>
                <w:color w:val="auto"/>
              </w:rPr>
            </w:pPr>
            <w:r>
              <w:rPr>
                <w:rFonts w:ascii="Arial" w:cs="Arial" w:eastAsia="Arial" w:hAnsi="Arial"/>
                <w:sz w:val="17"/>
                <w:szCs w:val="17"/>
                <w:color w:val="auto"/>
              </w:rPr>
              <w:t>$</w:t>
            </w:r>
          </w:p>
        </w:tc>
        <w:tc>
          <w:tcPr>
            <w:tcW w:w="1140" w:type="dxa"/>
            <w:vAlign w:val="bottom"/>
            <w:tcBorders>
              <w:top w:val="single" w:sz="8" w:color="CCEEFF"/>
            </w:tcBorders>
          </w:tcPr>
          <w:p>
            <w:pPr>
              <w:jc w:val="right"/>
              <w:ind w:right="137"/>
              <w:spacing w:after="0"/>
              <w:rPr>
                <w:sz w:val="20"/>
                <w:szCs w:val="20"/>
                <w:color w:val="auto"/>
              </w:rPr>
            </w:pPr>
            <w:r>
              <w:rPr>
                <w:rFonts w:ascii="Arial" w:cs="Arial" w:eastAsia="Arial" w:hAnsi="Arial"/>
                <w:sz w:val="17"/>
                <w:szCs w:val="17"/>
                <w:color w:val="auto"/>
              </w:rPr>
              <w:t>4,912</w:t>
            </w:r>
          </w:p>
        </w:tc>
        <w:tc>
          <w:tcPr>
            <w:tcW w:w="8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jc w:val="right"/>
              <w:ind w:right="15"/>
              <w:spacing w:after="0"/>
              <w:rPr>
                <w:sz w:val="20"/>
                <w:szCs w:val="20"/>
                <w:color w:val="auto"/>
              </w:rPr>
            </w:pPr>
            <w:r>
              <w:rPr>
                <w:rFonts w:ascii="Arial" w:cs="Arial" w:eastAsia="Arial" w:hAnsi="Arial"/>
                <w:sz w:val="17"/>
                <w:szCs w:val="17"/>
                <w:color w:val="auto"/>
              </w:rPr>
              <w:t>$</w:t>
            </w:r>
          </w:p>
        </w:tc>
        <w:tc>
          <w:tcPr>
            <w:tcW w:w="1140" w:type="dxa"/>
            <w:vAlign w:val="bottom"/>
            <w:tcBorders>
              <w:top w:val="single" w:sz="8" w:color="CCEEFF"/>
            </w:tcBorders>
          </w:tcPr>
          <w:p>
            <w:pPr>
              <w:jc w:val="right"/>
              <w:ind w:right="137"/>
              <w:spacing w:after="0"/>
              <w:rPr>
                <w:sz w:val="20"/>
                <w:szCs w:val="20"/>
                <w:color w:val="auto"/>
              </w:rPr>
            </w:pPr>
            <w:r>
              <w:rPr>
                <w:rFonts w:ascii="Arial" w:cs="Arial" w:eastAsia="Arial" w:hAnsi="Arial"/>
                <w:sz w:val="17"/>
                <w:szCs w:val="17"/>
                <w:color w:val="auto"/>
              </w:rPr>
              <w:t>6,034</w:t>
            </w:r>
          </w:p>
        </w:tc>
      </w:tr>
      <w:tr>
        <w:trPr>
          <w:trHeight w:val="232"/>
        </w:trPr>
        <w:tc>
          <w:tcPr>
            <w:tcW w:w="20" w:type="dxa"/>
            <w:vAlign w:val="bottom"/>
            <w:shd w:val="clear" w:color="auto" w:fill="CCEEFF"/>
          </w:tcPr>
          <w:p>
            <w:pPr>
              <w:spacing w:after="0"/>
              <w:rPr>
                <w:sz w:val="20"/>
                <w:szCs w:val="20"/>
                <w:color w:val="auto"/>
              </w:rPr>
            </w:pPr>
          </w:p>
        </w:tc>
        <w:tc>
          <w:tcPr>
            <w:tcW w:w="842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Amortized cost of securities, net of allowance for expected credit losses</w:t>
            </w:r>
          </w:p>
        </w:tc>
        <w:tc>
          <w:tcPr>
            <w:tcW w:w="2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4,800</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6,272</w:t>
            </w:r>
          </w:p>
        </w:tc>
      </w:tr>
      <w:tr>
        <w:trPr>
          <w:trHeight w:val="227"/>
        </w:trPr>
        <w:tc>
          <w:tcPr>
            <w:tcW w:w="20" w:type="dxa"/>
            <w:vAlign w:val="bottom"/>
          </w:tcPr>
          <w:p>
            <w:pPr>
              <w:spacing w:after="0"/>
              <w:rPr>
                <w:sz w:val="19"/>
                <w:szCs w:val="19"/>
                <w:color w:val="auto"/>
              </w:rPr>
            </w:pPr>
          </w:p>
        </w:tc>
        <w:tc>
          <w:tcPr>
            <w:tcW w:w="8420" w:type="dxa"/>
            <w:vAlign w:val="bottom"/>
            <w:gridSpan w:val="2"/>
          </w:tcPr>
          <w:p>
            <w:pPr>
              <w:ind w:left="340"/>
              <w:spacing w:after="0"/>
              <w:rPr>
                <w:sz w:val="20"/>
                <w:szCs w:val="20"/>
                <w:color w:val="auto"/>
              </w:rPr>
            </w:pPr>
            <w:r>
              <w:rPr>
                <w:rFonts w:ascii="Arial" w:cs="Arial" w:eastAsia="Arial" w:hAnsi="Arial"/>
                <w:sz w:val="17"/>
                <w:szCs w:val="17"/>
                <w:color w:val="auto"/>
              </w:rPr>
              <w:t>Gross unrealized gain (loss)</w:t>
            </w:r>
          </w:p>
        </w:tc>
        <w:tc>
          <w:tcPr>
            <w:tcW w:w="2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37"/>
              <w:spacing w:after="0"/>
              <w:rPr>
                <w:sz w:val="20"/>
                <w:szCs w:val="20"/>
                <w:color w:val="auto"/>
              </w:rPr>
            </w:pPr>
            <w:r>
              <w:rPr>
                <w:rFonts w:ascii="Arial" w:cs="Arial" w:eastAsia="Arial" w:hAnsi="Arial"/>
                <w:sz w:val="17"/>
                <w:szCs w:val="17"/>
                <w:color w:val="auto"/>
              </w:rPr>
              <w:t>112</w:t>
            </w:r>
          </w:p>
        </w:tc>
        <w:tc>
          <w:tcPr>
            <w:tcW w:w="80" w:type="dxa"/>
            <w:vAlign w:val="bottom"/>
          </w:tcPr>
          <w:p>
            <w:pPr>
              <w:spacing w:after="0"/>
              <w:rPr>
                <w:sz w:val="19"/>
                <w:szCs w:val="19"/>
                <w:color w:val="auto"/>
              </w:rPr>
            </w:pPr>
          </w:p>
        </w:tc>
        <w:tc>
          <w:tcPr>
            <w:tcW w:w="2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97"/>
              <w:spacing w:after="0"/>
              <w:rPr>
                <w:sz w:val="20"/>
                <w:szCs w:val="20"/>
                <w:color w:val="auto"/>
              </w:rPr>
            </w:pPr>
            <w:r>
              <w:rPr>
                <w:rFonts w:ascii="Arial" w:cs="Arial" w:eastAsia="Arial" w:hAnsi="Arial"/>
                <w:sz w:val="17"/>
                <w:szCs w:val="17"/>
                <w:color w:val="auto"/>
              </w:rPr>
              <w:t>(238)</w:t>
            </w:r>
          </w:p>
        </w:tc>
      </w:tr>
      <w:tr>
        <w:trPr>
          <w:trHeight w:val="232"/>
        </w:trPr>
        <w:tc>
          <w:tcPr>
            <w:tcW w:w="20" w:type="dxa"/>
            <w:vAlign w:val="bottom"/>
            <w:shd w:val="clear" w:color="auto" w:fill="CCEEFF"/>
          </w:tcPr>
          <w:p>
            <w:pPr>
              <w:spacing w:after="0"/>
              <w:rPr>
                <w:sz w:val="20"/>
                <w:szCs w:val="20"/>
                <w:color w:val="auto"/>
              </w:rPr>
            </w:pPr>
          </w:p>
        </w:tc>
        <w:tc>
          <w:tcPr>
            <w:tcW w:w="842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Fair value as % of amortized cost</w:t>
            </w: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w:t>
            </w:r>
          </w:p>
        </w:tc>
      </w:tr>
      <w:tr>
        <w:trPr>
          <w:trHeight w:val="227"/>
        </w:trPr>
        <w:tc>
          <w:tcPr>
            <w:tcW w:w="20" w:type="dxa"/>
            <w:vAlign w:val="bottom"/>
          </w:tcPr>
          <w:p>
            <w:pPr>
              <w:spacing w:after="0"/>
              <w:rPr>
                <w:sz w:val="19"/>
                <w:szCs w:val="19"/>
                <w:color w:val="auto"/>
              </w:rPr>
            </w:pPr>
          </w:p>
        </w:tc>
        <w:tc>
          <w:tcPr>
            <w:tcW w:w="8420" w:type="dxa"/>
            <w:vAlign w:val="bottom"/>
            <w:gridSpan w:val="2"/>
          </w:tcPr>
          <w:p>
            <w:pPr>
              <w:ind w:left="340"/>
              <w:spacing w:after="0"/>
              <w:rPr>
                <w:sz w:val="20"/>
                <w:szCs w:val="20"/>
                <w:color w:val="auto"/>
              </w:rPr>
            </w:pPr>
            <w:r>
              <w:rPr>
                <w:rFonts w:ascii="Arial" w:cs="Arial" w:eastAsia="Arial" w:hAnsi="Arial"/>
                <w:sz w:val="17"/>
                <w:szCs w:val="17"/>
                <w:color w:val="auto"/>
              </w:rPr>
              <w:t>Number of security positions</w:t>
            </w:r>
          </w:p>
        </w:tc>
        <w:tc>
          <w:tcPr>
            <w:tcW w:w="220" w:type="dxa"/>
            <w:vAlign w:val="bottom"/>
          </w:tcPr>
          <w:p>
            <w:pPr>
              <w:spacing w:after="0"/>
              <w:rPr>
                <w:sz w:val="19"/>
                <w:szCs w:val="19"/>
                <w:color w:val="auto"/>
              </w:rPr>
            </w:pPr>
          </w:p>
        </w:tc>
        <w:tc>
          <w:tcPr>
            <w:tcW w:w="1140" w:type="dxa"/>
            <w:vAlign w:val="bottom"/>
          </w:tcPr>
          <w:p>
            <w:pPr>
              <w:jc w:val="right"/>
              <w:ind w:right="137"/>
              <w:spacing w:after="0"/>
              <w:rPr>
                <w:sz w:val="20"/>
                <w:szCs w:val="20"/>
                <w:color w:val="auto"/>
              </w:rPr>
            </w:pPr>
            <w:r>
              <w:rPr>
                <w:rFonts w:ascii="Arial" w:cs="Arial" w:eastAsia="Arial" w:hAnsi="Arial"/>
                <w:sz w:val="17"/>
                <w:szCs w:val="17"/>
                <w:color w:val="auto"/>
              </w:rPr>
              <w:t>869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ind w:right="137"/>
              <w:spacing w:after="0"/>
              <w:rPr>
                <w:sz w:val="20"/>
                <w:szCs w:val="20"/>
                <w:color w:val="auto"/>
              </w:rPr>
            </w:pPr>
            <w:r>
              <w:rPr>
                <w:rFonts w:ascii="Arial" w:cs="Arial" w:eastAsia="Arial" w:hAnsi="Arial"/>
                <w:sz w:val="17"/>
                <w:szCs w:val="17"/>
                <w:color w:val="auto"/>
              </w:rPr>
              <w:t>1,097</w:t>
            </w:r>
          </w:p>
        </w:tc>
      </w:tr>
      <w:tr>
        <w:trPr>
          <w:trHeight w:val="232"/>
        </w:trPr>
        <w:tc>
          <w:tcPr>
            <w:tcW w:w="20" w:type="dxa"/>
            <w:vAlign w:val="bottom"/>
            <w:shd w:val="clear" w:color="auto" w:fill="CCEEFF"/>
          </w:tcPr>
          <w:p>
            <w:pPr>
              <w:spacing w:after="0"/>
              <w:rPr>
                <w:sz w:val="20"/>
                <w:szCs w:val="20"/>
                <w:color w:val="auto"/>
              </w:rPr>
            </w:pPr>
          </w:p>
        </w:tc>
        <w:tc>
          <w:tcPr>
            <w:tcW w:w="842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Number individually exceeding $2 million gain or loss</w:t>
            </w: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2</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26</w:t>
            </w:r>
          </w:p>
        </w:tc>
      </w:tr>
      <w:tr>
        <w:trPr>
          <w:trHeight w:val="227"/>
        </w:trPr>
        <w:tc>
          <w:tcPr>
            <w:tcW w:w="20" w:type="dxa"/>
            <w:vAlign w:val="bottom"/>
          </w:tcPr>
          <w:p>
            <w:pPr>
              <w:spacing w:after="0"/>
              <w:rPr>
                <w:sz w:val="19"/>
                <w:szCs w:val="19"/>
                <w:color w:val="auto"/>
              </w:rPr>
            </w:pPr>
          </w:p>
        </w:tc>
        <w:tc>
          <w:tcPr>
            <w:tcW w:w="8420" w:type="dxa"/>
            <w:vAlign w:val="bottom"/>
            <w:gridSpan w:val="2"/>
          </w:tcPr>
          <w:p>
            <w:pPr>
              <w:ind w:left="340"/>
              <w:spacing w:after="0"/>
              <w:rPr>
                <w:sz w:val="20"/>
                <w:szCs w:val="20"/>
                <w:color w:val="auto"/>
              </w:rPr>
            </w:pPr>
            <w:r>
              <w:rPr>
                <w:rFonts w:ascii="Arial" w:cs="Arial" w:eastAsia="Arial" w:hAnsi="Arial"/>
                <w:sz w:val="17"/>
                <w:szCs w:val="17"/>
                <w:color w:val="auto"/>
              </w:rPr>
              <w:t>Concentration of gains (losses) by type or industry (exceeding 5% of unrealized):</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2"/>
        </w:trPr>
        <w:tc>
          <w:tcPr>
            <w:tcW w:w="20" w:type="dxa"/>
            <w:vAlign w:val="bottom"/>
            <w:shd w:val="clear" w:color="auto" w:fill="CCEEFF"/>
          </w:tcPr>
          <w:p>
            <w:pPr>
              <w:spacing w:after="0"/>
              <w:rPr>
                <w:sz w:val="20"/>
                <w:szCs w:val="20"/>
                <w:color w:val="auto"/>
              </w:rPr>
            </w:pPr>
          </w:p>
        </w:tc>
        <w:tc>
          <w:tcPr>
            <w:tcW w:w="8420" w:type="dxa"/>
            <w:vAlign w:val="bottom"/>
            <w:gridSpan w:val="2"/>
            <w:shd w:val="clear" w:color="auto" w:fill="CCEEFF"/>
          </w:tcPr>
          <w:p>
            <w:pPr>
              <w:ind w:left="660"/>
              <w:spacing w:after="0"/>
              <w:rPr>
                <w:sz w:val="20"/>
                <w:szCs w:val="20"/>
                <w:color w:val="auto"/>
              </w:rPr>
            </w:pPr>
            <w:r>
              <w:rPr>
                <w:rFonts w:ascii="Arial" w:cs="Arial" w:eastAsia="Arial" w:hAnsi="Arial"/>
                <w:sz w:val="17"/>
                <w:szCs w:val="17"/>
                <w:color w:val="auto"/>
              </w:rPr>
              <w:t>Residential mortgage-backed securities</w:t>
            </w:r>
          </w:p>
        </w:tc>
        <w:tc>
          <w:tcPr>
            <w:tcW w:w="2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32</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rPr>
              <w:t>(117)</w:t>
            </w:r>
          </w:p>
        </w:tc>
      </w:tr>
      <w:tr>
        <w:trPr>
          <w:trHeight w:val="227"/>
        </w:trPr>
        <w:tc>
          <w:tcPr>
            <w:tcW w:w="20" w:type="dxa"/>
            <w:vAlign w:val="bottom"/>
          </w:tcPr>
          <w:p>
            <w:pPr>
              <w:spacing w:after="0"/>
              <w:rPr>
                <w:sz w:val="19"/>
                <w:szCs w:val="19"/>
                <w:color w:val="auto"/>
              </w:rPr>
            </w:pPr>
          </w:p>
        </w:tc>
        <w:tc>
          <w:tcPr>
            <w:tcW w:w="8420" w:type="dxa"/>
            <w:vAlign w:val="bottom"/>
            <w:gridSpan w:val="2"/>
          </w:tcPr>
          <w:p>
            <w:pPr>
              <w:ind w:left="660"/>
              <w:spacing w:after="0"/>
              <w:rPr>
                <w:sz w:val="20"/>
                <w:szCs w:val="20"/>
                <w:color w:val="auto"/>
              </w:rPr>
            </w:pPr>
            <w:r>
              <w:rPr>
                <w:rFonts w:ascii="Arial" w:cs="Arial" w:eastAsia="Arial" w:hAnsi="Arial"/>
                <w:sz w:val="17"/>
                <w:szCs w:val="17"/>
                <w:color w:val="auto"/>
              </w:rPr>
              <w:t>Other asset-backed securities</w:t>
            </w:r>
          </w:p>
        </w:tc>
        <w:tc>
          <w:tcPr>
            <w:tcW w:w="220" w:type="dxa"/>
            <w:vAlign w:val="bottom"/>
          </w:tcPr>
          <w:p>
            <w:pPr>
              <w:spacing w:after="0"/>
              <w:rPr>
                <w:sz w:val="19"/>
                <w:szCs w:val="19"/>
                <w:color w:val="auto"/>
              </w:rPr>
            </w:pPr>
          </w:p>
        </w:tc>
        <w:tc>
          <w:tcPr>
            <w:tcW w:w="1140" w:type="dxa"/>
            <w:vAlign w:val="bottom"/>
          </w:tcPr>
          <w:p>
            <w:pPr>
              <w:jc w:val="right"/>
              <w:ind w:right="137"/>
              <w:spacing w:after="0"/>
              <w:rPr>
                <w:sz w:val="20"/>
                <w:szCs w:val="20"/>
                <w:color w:val="auto"/>
              </w:rPr>
            </w:pPr>
            <w:r>
              <w:rPr>
                <w:rFonts w:ascii="Arial" w:cs="Arial" w:eastAsia="Arial" w:hAnsi="Arial"/>
                <w:sz w:val="17"/>
                <w:szCs w:val="17"/>
                <w:color w:val="auto"/>
              </w:rPr>
              <w:t>21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ind w:right="97"/>
              <w:spacing w:after="0"/>
              <w:rPr>
                <w:sz w:val="20"/>
                <w:szCs w:val="20"/>
                <w:color w:val="auto"/>
              </w:rPr>
            </w:pPr>
            <w:r>
              <w:rPr>
                <w:rFonts w:ascii="Arial" w:cs="Arial" w:eastAsia="Arial" w:hAnsi="Arial"/>
                <w:sz w:val="17"/>
                <w:szCs w:val="17"/>
                <w:color w:val="auto"/>
              </w:rPr>
              <w:t>(49)</w:t>
            </w:r>
          </w:p>
        </w:tc>
      </w:tr>
      <w:tr>
        <w:trPr>
          <w:trHeight w:val="232"/>
        </w:trPr>
        <w:tc>
          <w:tcPr>
            <w:tcW w:w="20" w:type="dxa"/>
            <w:vAlign w:val="bottom"/>
            <w:shd w:val="clear" w:color="auto" w:fill="CCEEFF"/>
          </w:tcPr>
          <w:p>
            <w:pPr>
              <w:spacing w:after="0"/>
              <w:rPr>
                <w:sz w:val="20"/>
                <w:szCs w:val="20"/>
                <w:color w:val="auto"/>
              </w:rPr>
            </w:pPr>
          </w:p>
        </w:tc>
        <w:tc>
          <w:tcPr>
            <w:tcW w:w="8420" w:type="dxa"/>
            <w:vAlign w:val="bottom"/>
            <w:gridSpan w:val="2"/>
            <w:shd w:val="clear" w:color="auto" w:fill="CCEEFF"/>
          </w:tcPr>
          <w:p>
            <w:pPr>
              <w:ind w:left="660"/>
              <w:spacing w:after="0"/>
              <w:rPr>
                <w:sz w:val="20"/>
                <w:szCs w:val="20"/>
                <w:color w:val="auto"/>
              </w:rPr>
            </w:pPr>
            <w:r>
              <w:rPr>
                <w:rFonts w:ascii="Arial" w:cs="Arial" w:eastAsia="Arial" w:hAnsi="Arial"/>
                <w:sz w:val="17"/>
                <w:szCs w:val="17"/>
                <w:color w:val="auto"/>
              </w:rPr>
              <w:t>Banking</w:t>
            </w: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13</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rPr>
              <w:t>(6)</w:t>
            </w:r>
          </w:p>
        </w:tc>
      </w:tr>
      <w:tr>
        <w:trPr>
          <w:trHeight w:val="227"/>
        </w:trPr>
        <w:tc>
          <w:tcPr>
            <w:tcW w:w="20" w:type="dxa"/>
            <w:vAlign w:val="bottom"/>
          </w:tcPr>
          <w:p>
            <w:pPr>
              <w:spacing w:after="0"/>
              <w:rPr>
                <w:sz w:val="19"/>
                <w:szCs w:val="19"/>
                <w:color w:val="auto"/>
              </w:rPr>
            </w:pPr>
          </w:p>
        </w:tc>
        <w:tc>
          <w:tcPr>
            <w:tcW w:w="8420" w:type="dxa"/>
            <w:vAlign w:val="bottom"/>
            <w:gridSpan w:val="2"/>
          </w:tcPr>
          <w:p>
            <w:pPr>
              <w:ind w:left="660"/>
              <w:spacing w:after="0"/>
              <w:rPr>
                <w:sz w:val="20"/>
                <w:szCs w:val="20"/>
                <w:color w:val="auto"/>
              </w:rPr>
            </w:pPr>
            <w:r>
              <w:rPr>
                <w:rFonts w:ascii="Arial" w:cs="Arial" w:eastAsia="Arial" w:hAnsi="Arial"/>
                <w:sz w:val="17"/>
                <w:szCs w:val="17"/>
                <w:color w:val="auto"/>
              </w:rPr>
              <w:t>States and municipalities</w:t>
            </w:r>
          </w:p>
        </w:tc>
        <w:tc>
          <w:tcPr>
            <w:tcW w:w="220" w:type="dxa"/>
            <w:vAlign w:val="bottom"/>
          </w:tcPr>
          <w:p>
            <w:pPr>
              <w:spacing w:after="0"/>
              <w:rPr>
                <w:sz w:val="19"/>
                <w:szCs w:val="19"/>
                <w:color w:val="auto"/>
              </w:rPr>
            </w:pPr>
          </w:p>
        </w:tc>
        <w:tc>
          <w:tcPr>
            <w:tcW w:w="1140" w:type="dxa"/>
            <w:vAlign w:val="bottom"/>
          </w:tcPr>
          <w:p>
            <w:pPr>
              <w:jc w:val="right"/>
              <w:ind w:right="137"/>
              <w:spacing w:after="0"/>
              <w:rPr>
                <w:sz w:val="20"/>
                <w:szCs w:val="20"/>
                <w:color w:val="auto"/>
              </w:rPr>
            </w:pPr>
            <w:r>
              <w:rPr>
                <w:rFonts w:ascii="Arial" w:cs="Arial" w:eastAsia="Arial" w:hAnsi="Arial"/>
                <w:sz w:val="17"/>
                <w:szCs w:val="17"/>
                <w:color w:val="auto"/>
              </w:rPr>
              <w:t>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ind w:right="97"/>
              <w:spacing w:after="0"/>
              <w:rPr>
                <w:sz w:val="20"/>
                <w:szCs w:val="20"/>
                <w:color w:val="auto"/>
              </w:rPr>
            </w:pPr>
            <w:r>
              <w:rPr>
                <w:rFonts w:ascii="Arial" w:cs="Arial" w:eastAsia="Arial" w:hAnsi="Arial"/>
                <w:sz w:val="17"/>
                <w:szCs w:val="17"/>
                <w:color w:val="auto"/>
              </w:rPr>
              <w:t>(35)</w:t>
            </w:r>
          </w:p>
        </w:tc>
      </w:tr>
      <w:tr>
        <w:trPr>
          <w:trHeight w:val="232"/>
        </w:trPr>
        <w:tc>
          <w:tcPr>
            <w:tcW w:w="20" w:type="dxa"/>
            <w:vAlign w:val="bottom"/>
            <w:shd w:val="clear" w:color="auto" w:fill="CCEEFF"/>
          </w:tcPr>
          <w:p>
            <w:pPr>
              <w:spacing w:after="0"/>
              <w:rPr>
                <w:sz w:val="20"/>
                <w:szCs w:val="20"/>
                <w:color w:val="auto"/>
              </w:rPr>
            </w:pPr>
          </w:p>
        </w:tc>
        <w:tc>
          <w:tcPr>
            <w:tcW w:w="842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Percentage rated investment grade</w:t>
            </w: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5" w:name="page36"/>
    <w:bookmarkEnd w:id="35"/>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5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table below sets forth the scheduled maturities of AFG’s available for sale fixed maturity securities at March 31, 2026, based on their fair values. Securities with sinking funds are reported at average maturity. Actual maturities may differ from contractual maturities because certain securities may be called or prepaid by the issuers.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5"/>
                <w:szCs w:val="15"/>
                <w:color w:val="auto"/>
              </w:rPr>
              <w:t>Securities</w:t>
            </w:r>
          </w:p>
        </w:tc>
        <w:tc>
          <w:tcPr>
            <w:tcW w:w="1340" w:type="dxa"/>
            <w:vAlign w:val="bottom"/>
          </w:tcPr>
          <w:p>
            <w:pPr>
              <w:jc w:val="center"/>
              <w:spacing w:after="0"/>
              <w:rPr>
                <w:sz w:val="20"/>
                <w:szCs w:val="20"/>
                <w:color w:val="auto"/>
              </w:rPr>
            </w:pPr>
            <w:r>
              <w:rPr>
                <w:rFonts w:ascii="Arial" w:cs="Arial" w:eastAsia="Arial" w:hAnsi="Arial"/>
                <w:sz w:val="15"/>
                <w:szCs w:val="15"/>
                <w:color w:val="auto"/>
              </w:rPr>
              <w:t>Securities</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4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jc w:val="center"/>
              <w:ind w:right="360"/>
              <w:spacing w:after="0" w:line="153" w:lineRule="exact"/>
              <w:rPr>
                <w:sz w:val="20"/>
                <w:szCs w:val="20"/>
                <w:color w:val="auto"/>
              </w:rPr>
            </w:pPr>
            <w:r>
              <w:rPr>
                <w:rFonts w:ascii="Arial" w:cs="Arial" w:eastAsia="Arial" w:hAnsi="Arial"/>
                <w:sz w:val="15"/>
                <w:szCs w:val="15"/>
                <w:color w:val="auto"/>
              </w:rPr>
              <w:t>With</w:t>
            </w:r>
          </w:p>
        </w:tc>
        <w:tc>
          <w:tcPr>
            <w:tcW w:w="1340" w:type="dxa"/>
            <w:vAlign w:val="bottom"/>
          </w:tcPr>
          <w:p>
            <w:pPr>
              <w:jc w:val="center"/>
              <w:spacing w:after="0" w:line="153" w:lineRule="exact"/>
              <w:rPr>
                <w:sz w:val="20"/>
                <w:szCs w:val="20"/>
                <w:color w:val="auto"/>
              </w:rPr>
            </w:pPr>
            <w:r>
              <w:rPr>
                <w:rFonts w:ascii="Arial" w:cs="Arial" w:eastAsia="Arial" w:hAnsi="Arial"/>
                <w:sz w:val="15"/>
                <w:szCs w:val="15"/>
                <w:color w:val="auto"/>
                <w:w w:val="99"/>
              </w:rPr>
              <w:t>With</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360"/>
              <w:spacing w:after="0" w:line="149" w:lineRule="exact"/>
              <w:rPr>
                <w:sz w:val="20"/>
                <w:szCs w:val="20"/>
                <w:color w:val="auto"/>
              </w:rPr>
            </w:pPr>
            <w:r>
              <w:rPr>
                <w:rFonts w:ascii="Arial" w:cs="Arial" w:eastAsia="Arial" w:hAnsi="Arial"/>
                <w:sz w:val="15"/>
                <w:szCs w:val="15"/>
                <w:color w:val="auto"/>
              </w:rPr>
              <w:t>Unrealized</w:t>
            </w:r>
          </w:p>
        </w:tc>
        <w:tc>
          <w:tcPr>
            <w:tcW w:w="1340" w:type="dxa"/>
            <w:vAlign w:val="bottom"/>
          </w:tcPr>
          <w:p>
            <w:pPr>
              <w:jc w:val="center"/>
              <w:spacing w:after="0" w:line="149" w:lineRule="exact"/>
              <w:rPr>
                <w:sz w:val="20"/>
                <w:szCs w:val="20"/>
                <w:color w:val="auto"/>
              </w:rPr>
            </w:pPr>
            <w:r>
              <w:rPr>
                <w:rFonts w:ascii="Arial" w:cs="Arial" w:eastAsia="Arial" w:hAnsi="Arial"/>
                <w:sz w:val="15"/>
                <w:szCs w:val="15"/>
                <w:color w:val="auto"/>
              </w:rPr>
              <w:t>Unrealized</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4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5"/>
                <w:szCs w:val="15"/>
                <w:color w:val="auto"/>
              </w:rPr>
              <w:t>Gains</w:t>
            </w:r>
          </w:p>
        </w:tc>
        <w:tc>
          <w:tcPr>
            <w:tcW w:w="1340" w:type="dxa"/>
            <w:vAlign w:val="bottom"/>
          </w:tcPr>
          <w:p>
            <w:pPr>
              <w:jc w:val="center"/>
              <w:spacing w:after="0"/>
              <w:rPr>
                <w:sz w:val="20"/>
                <w:szCs w:val="20"/>
                <w:color w:val="auto"/>
              </w:rPr>
            </w:pPr>
            <w:r>
              <w:rPr>
                <w:rFonts w:ascii="Arial" w:cs="Arial" w:eastAsia="Arial" w:hAnsi="Arial"/>
                <w:sz w:val="15"/>
                <w:szCs w:val="15"/>
                <w:color w:val="auto"/>
              </w:rPr>
              <w:t>Losses</w:t>
            </w:r>
          </w:p>
        </w:tc>
        <w:tc>
          <w:tcPr>
            <w:tcW w:w="0" w:type="dxa"/>
            <w:vAlign w:val="bottom"/>
          </w:tcPr>
          <w:p>
            <w:pPr>
              <w:spacing w:after="0"/>
              <w:rPr>
                <w:sz w:val="1"/>
                <w:szCs w:val="1"/>
                <w:color w:val="auto"/>
              </w:rPr>
            </w:pPr>
          </w:p>
        </w:tc>
      </w:tr>
      <w:tr>
        <w:trPr>
          <w:trHeight w:val="191"/>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620" w:type="dxa"/>
            <w:vAlign w:val="bottom"/>
            <w:tcBorders>
              <w:top w:val="single" w:sz="8" w:color="CCEEFF"/>
              <w:bottom w:val="single" w:sz="8" w:color="auto"/>
            </w:tcBorders>
            <w:shd w:val="clear" w:color="auto" w:fill="CCEEFF"/>
          </w:tcPr>
          <w:p>
            <w:pPr>
              <w:spacing w:after="0" w:line="157" w:lineRule="exact"/>
              <w:rPr>
                <w:sz w:val="20"/>
                <w:szCs w:val="20"/>
                <w:color w:val="auto"/>
              </w:rPr>
            </w:pPr>
            <w:r>
              <w:rPr>
                <w:rFonts w:ascii="Arial" w:cs="Arial" w:eastAsia="Arial" w:hAnsi="Arial"/>
                <w:sz w:val="17"/>
                <w:szCs w:val="17"/>
                <w:color w:val="auto"/>
                <w:w w:val="99"/>
              </w:rPr>
              <w:t>Maturity</w:t>
            </w:r>
          </w:p>
        </w:tc>
        <w:tc>
          <w:tcPr>
            <w:tcW w:w="666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100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106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340" w:type="dxa"/>
            <w:vAlign w:val="bottom"/>
            <w:tcBorders>
              <w:top w:val="single" w:sz="8" w:color="auto"/>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280" w:type="dxa"/>
            <w:vAlign w:val="bottom"/>
            <w:gridSpan w:val="3"/>
          </w:tcPr>
          <w:p>
            <w:pPr>
              <w:ind w:left="340"/>
              <w:spacing w:after="0"/>
              <w:rPr>
                <w:sz w:val="20"/>
                <w:szCs w:val="20"/>
                <w:color w:val="auto"/>
              </w:rPr>
            </w:pPr>
            <w:r>
              <w:rPr>
                <w:rFonts w:ascii="Arial" w:cs="Arial" w:eastAsia="Arial" w:hAnsi="Arial"/>
                <w:sz w:val="17"/>
                <w:szCs w:val="17"/>
                <w:color w:val="auto"/>
              </w:rPr>
              <w:t>One year or less</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232"/>
        </w:trPr>
        <w:tc>
          <w:tcPr>
            <w:tcW w:w="20" w:type="dxa"/>
            <w:vAlign w:val="bottom"/>
            <w:shd w:val="clear" w:color="auto" w:fill="CCEEFF"/>
          </w:tcPr>
          <w:p>
            <w:pPr>
              <w:spacing w:after="0"/>
              <w:rPr>
                <w:sz w:val="20"/>
                <w:szCs w:val="20"/>
                <w:color w:val="auto"/>
              </w:rPr>
            </w:pPr>
          </w:p>
        </w:tc>
        <w:tc>
          <w:tcPr>
            <w:tcW w:w="7280" w:type="dxa"/>
            <w:vAlign w:val="bottom"/>
            <w:gridSpan w:val="3"/>
            <w:shd w:val="clear" w:color="auto" w:fill="CCEEFF"/>
          </w:tcPr>
          <w:p>
            <w:pPr>
              <w:ind w:left="340"/>
              <w:spacing w:after="0"/>
              <w:rPr>
                <w:sz w:val="20"/>
                <w:szCs w:val="20"/>
                <w:color w:val="auto"/>
              </w:rPr>
            </w:pPr>
            <w:r>
              <w:rPr>
                <w:rFonts w:ascii="Arial" w:cs="Arial" w:eastAsia="Arial" w:hAnsi="Arial"/>
                <w:sz w:val="17"/>
                <w:szCs w:val="17"/>
                <w:color w:val="auto"/>
              </w:rPr>
              <w:t>After one year through five years</w:t>
            </w: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280" w:type="dxa"/>
            <w:vAlign w:val="bottom"/>
            <w:gridSpan w:val="3"/>
          </w:tcPr>
          <w:p>
            <w:pPr>
              <w:ind w:left="340"/>
              <w:spacing w:after="0"/>
              <w:rPr>
                <w:sz w:val="20"/>
                <w:szCs w:val="20"/>
                <w:color w:val="auto"/>
              </w:rPr>
            </w:pPr>
            <w:r>
              <w:rPr>
                <w:rFonts w:ascii="Arial" w:cs="Arial" w:eastAsia="Arial" w:hAnsi="Arial"/>
                <w:sz w:val="17"/>
                <w:szCs w:val="17"/>
                <w:color w:val="auto"/>
              </w:rPr>
              <w:t>After five years through ten years</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17%</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280" w:type="dxa"/>
            <w:vAlign w:val="bottom"/>
            <w:gridSpan w:val="3"/>
            <w:shd w:val="clear" w:color="auto" w:fill="CCEEFF"/>
          </w:tcPr>
          <w:p>
            <w:pPr>
              <w:ind w:left="340"/>
              <w:spacing w:after="0"/>
              <w:rPr>
                <w:sz w:val="20"/>
                <w:szCs w:val="20"/>
                <w:color w:val="auto"/>
              </w:rPr>
            </w:pPr>
            <w:r>
              <w:rPr>
                <w:rFonts w:ascii="Arial" w:cs="Arial" w:eastAsia="Arial" w:hAnsi="Arial"/>
                <w:sz w:val="17"/>
                <w:szCs w:val="17"/>
                <w:color w:val="auto"/>
              </w:rPr>
              <w:t>After ten years</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43%</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36%</w:t>
            </w:r>
          </w:p>
        </w:tc>
        <w:tc>
          <w:tcPr>
            <w:tcW w:w="0" w:type="dxa"/>
            <w:vAlign w:val="bottom"/>
          </w:tcPr>
          <w:p>
            <w:pPr>
              <w:spacing w:after="0"/>
              <w:rPr>
                <w:sz w:val="1"/>
                <w:szCs w:val="1"/>
                <w:color w:val="auto"/>
              </w:rPr>
            </w:pPr>
          </w:p>
        </w:tc>
      </w:tr>
      <w:tr>
        <w:trPr>
          <w:trHeight w:val="232"/>
        </w:trPr>
        <w:tc>
          <w:tcPr>
            <w:tcW w:w="20" w:type="dxa"/>
            <w:vAlign w:val="bottom"/>
            <w:shd w:val="clear" w:color="auto" w:fill="CCEEFF"/>
          </w:tcPr>
          <w:p>
            <w:pPr>
              <w:spacing w:after="0"/>
              <w:rPr>
                <w:sz w:val="20"/>
                <w:szCs w:val="20"/>
                <w:color w:val="auto"/>
              </w:rPr>
            </w:pPr>
          </w:p>
        </w:tc>
        <w:tc>
          <w:tcPr>
            <w:tcW w:w="7280" w:type="dxa"/>
            <w:vAlign w:val="bottom"/>
            <w:gridSpan w:val="3"/>
            <w:shd w:val="clear" w:color="auto" w:fill="CCEEFF"/>
          </w:tcPr>
          <w:p>
            <w:pPr>
              <w:ind w:left="340"/>
              <w:spacing w:after="0"/>
              <w:rPr>
                <w:sz w:val="20"/>
                <w:szCs w:val="20"/>
                <w:color w:val="auto"/>
              </w:rPr>
            </w:pPr>
            <w:r>
              <w:rPr>
                <w:rFonts w:ascii="Arial" w:cs="Arial" w:eastAsia="Arial" w:hAnsi="Arial"/>
                <w:sz w:val="17"/>
                <w:szCs w:val="17"/>
                <w:color w:val="auto"/>
              </w:rPr>
              <w:t>CLOs and other asset-backed securities (average life of approximately 3.5 years)</w:t>
            </w: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w:t>
            </w: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0" w:type="dxa"/>
            <w:vAlign w:val="bottom"/>
          </w:tcPr>
          <w:p>
            <w:pPr>
              <w:spacing w:after="0"/>
              <w:rPr>
                <w:sz w:val="1"/>
                <w:szCs w:val="1"/>
                <w:color w:val="auto"/>
              </w:rPr>
            </w:pPr>
          </w:p>
        </w:tc>
      </w:tr>
      <w:tr>
        <w:trPr>
          <w:trHeight w:val="227"/>
        </w:trPr>
        <w:tc>
          <w:tcPr>
            <w:tcW w:w="20" w:type="dxa"/>
            <w:vAlign w:val="bottom"/>
            <w:tcBorders>
              <w:bottom w:val="single" w:sz="8" w:color="CCEEFF"/>
            </w:tcBorders>
          </w:tcPr>
          <w:p>
            <w:pPr>
              <w:spacing w:after="0"/>
              <w:rPr>
                <w:sz w:val="19"/>
                <w:szCs w:val="19"/>
                <w:color w:val="auto"/>
              </w:rPr>
            </w:pPr>
          </w:p>
        </w:tc>
        <w:tc>
          <w:tcPr>
            <w:tcW w:w="7280" w:type="dxa"/>
            <w:vAlign w:val="bottom"/>
            <w:tcBorders>
              <w:bottom w:val="single" w:sz="8" w:color="CCEEFF"/>
            </w:tcBorders>
            <w:gridSpan w:val="3"/>
          </w:tcPr>
          <w:p>
            <w:pPr>
              <w:ind w:left="340"/>
              <w:spacing w:after="0"/>
              <w:rPr>
                <w:sz w:val="20"/>
                <w:szCs w:val="20"/>
                <w:color w:val="auto"/>
              </w:rPr>
            </w:pPr>
            <w:r>
              <w:rPr>
                <w:rFonts w:ascii="Arial" w:cs="Arial" w:eastAsia="Arial" w:hAnsi="Arial"/>
                <w:sz w:val="17"/>
                <w:szCs w:val="17"/>
                <w:color w:val="auto"/>
              </w:rPr>
              <w:t>Residential mortgage-backed securities (average life of approximately 6 years)</w:t>
            </w:r>
          </w:p>
        </w:tc>
        <w:tc>
          <w:tcPr>
            <w:tcW w:w="18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c>
          <w:tcPr>
            <w:tcW w:w="46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5820" w:type="dxa"/>
            <w:vAlign w:val="bottom"/>
            <w:tcBorders>
              <w:top w:val="single" w:sz="8" w:color="CCEEFF"/>
            </w:tcBorders>
            <w:gridSpan w:val="3"/>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6"/>
        </w:trPr>
        <w:tc>
          <w:tcPr>
            <w:tcW w:w="9900" w:type="dxa"/>
            <w:vAlign w:val="bottom"/>
            <w:gridSpan w:val="11"/>
          </w:tcPr>
          <w:p>
            <w:pPr>
              <w:spacing w:after="0"/>
              <w:rPr>
                <w:sz w:val="20"/>
                <w:szCs w:val="20"/>
                <w:color w:val="auto"/>
              </w:rPr>
            </w:pPr>
            <w:r>
              <w:rPr>
                <w:rFonts w:ascii="Arial" w:cs="Arial" w:eastAsia="Arial" w:hAnsi="Arial"/>
                <w:sz w:val="17"/>
                <w:szCs w:val="17"/>
                <w:color w:val="auto"/>
              </w:rPr>
              <w:t>The table below (dollars in millions) summarizes the unrealized gains and losses on fixed maturity securities by dollar amount:</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4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0" w:type="dxa"/>
            <w:vAlign w:val="bottom"/>
          </w:tcPr>
          <w:p>
            <w:pPr>
              <w:jc w:val="center"/>
              <w:ind w:right="78"/>
              <w:spacing w:after="0"/>
              <w:rPr>
                <w:sz w:val="20"/>
                <w:szCs w:val="20"/>
                <w:color w:val="auto"/>
              </w:rPr>
            </w:pPr>
            <w:r>
              <w:rPr>
                <w:rFonts w:ascii="Arial" w:cs="Arial" w:eastAsia="Arial" w:hAnsi="Arial"/>
                <w:sz w:val="15"/>
                <w:szCs w:val="15"/>
                <w:color w:val="auto"/>
              </w:rPr>
              <w:t>Aggregate</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5"/>
                <w:szCs w:val="15"/>
                <w:color w:val="auto"/>
              </w:rPr>
              <w:t>Aggregate</w:t>
            </w:r>
          </w:p>
        </w:tc>
        <w:tc>
          <w:tcPr>
            <w:tcW w:w="1340" w:type="dxa"/>
            <w:vAlign w:val="bottom"/>
          </w:tcPr>
          <w:p>
            <w:pPr>
              <w:jc w:val="center"/>
              <w:spacing w:after="0"/>
              <w:rPr>
                <w:sz w:val="20"/>
                <w:szCs w:val="20"/>
                <w:color w:val="auto"/>
              </w:rPr>
            </w:pPr>
            <w:r>
              <w:rPr>
                <w:rFonts w:ascii="Arial" w:cs="Arial" w:eastAsia="Arial" w:hAnsi="Arial"/>
                <w:sz w:val="15"/>
                <w:szCs w:val="15"/>
                <w:color w:val="auto"/>
              </w:rPr>
              <w:t>Fair</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jc w:val="center"/>
              <w:ind w:right="78"/>
              <w:spacing w:after="0" w:line="149" w:lineRule="exact"/>
              <w:rPr>
                <w:sz w:val="20"/>
                <w:szCs w:val="20"/>
                <w:color w:val="auto"/>
              </w:rPr>
            </w:pPr>
            <w:r>
              <w:rPr>
                <w:rFonts w:ascii="Arial" w:cs="Arial" w:eastAsia="Arial" w:hAnsi="Arial"/>
                <w:sz w:val="15"/>
                <w:szCs w:val="15"/>
                <w:color w:val="auto"/>
              </w:rPr>
              <w:t>Fair</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Arial" w:cs="Arial" w:eastAsia="Arial" w:hAnsi="Arial"/>
                <w:sz w:val="15"/>
                <w:szCs w:val="15"/>
                <w:color w:val="auto"/>
              </w:rPr>
              <w:t>Unrealized</w:t>
            </w:r>
          </w:p>
        </w:tc>
        <w:tc>
          <w:tcPr>
            <w:tcW w:w="1340" w:type="dxa"/>
            <w:vAlign w:val="bottom"/>
          </w:tcPr>
          <w:p>
            <w:pPr>
              <w:jc w:val="center"/>
              <w:spacing w:after="0" w:line="149" w:lineRule="exact"/>
              <w:rPr>
                <w:sz w:val="20"/>
                <w:szCs w:val="20"/>
                <w:color w:val="auto"/>
              </w:rPr>
            </w:pPr>
            <w:r>
              <w:rPr>
                <w:rFonts w:ascii="Arial" w:cs="Arial" w:eastAsia="Arial" w:hAnsi="Arial"/>
                <w:sz w:val="15"/>
                <w:szCs w:val="15"/>
                <w:color w:val="auto"/>
                <w:w w:val="99"/>
              </w:rPr>
              <w:t>Value as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center"/>
              <w:ind w:right="98"/>
              <w:spacing w:after="0"/>
              <w:rPr>
                <w:sz w:val="20"/>
                <w:szCs w:val="20"/>
                <w:color w:val="auto"/>
              </w:rPr>
            </w:pPr>
            <w:r>
              <w:rPr>
                <w:rFonts w:ascii="Arial" w:cs="Arial" w:eastAsia="Arial" w:hAnsi="Arial"/>
                <w:sz w:val="15"/>
                <w:szCs w:val="15"/>
                <w:color w:val="auto"/>
                <w:w w:val="98"/>
              </w:rPr>
              <w:t>Value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5"/>
                <w:szCs w:val="15"/>
                <w:color w:val="auto"/>
              </w:rPr>
              <w:t>Gain (Loss)</w:t>
            </w:r>
          </w:p>
        </w:tc>
        <w:tc>
          <w:tcPr>
            <w:tcW w:w="1340" w:type="dxa"/>
            <w:vAlign w:val="bottom"/>
          </w:tcPr>
          <w:p>
            <w:pPr>
              <w:jc w:val="center"/>
              <w:spacing w:after="0"/>
              <w:rPr>
                <w:sz w:val="20"/>
                <w:szCs w:val="20"/>
                <w:color w:val="auto"/>
              </w:rPr>
            </w:pPr>
            <w:r>
              <w:rPr>
                <w:rFonts w:ascii="Arial" w:cs="Arial" w:eastAsia="Arial" w:hAnsi="Arial"/>
                <w:sz w:val="15"/>
                <w:szCs w:val="15"/>
                <w:color w:val="auto"/>
              </w:rPr>
              <w:t>% of Cost</w:t>
            </w:r>
          </w:p>
        </w:tc>
        <w:tc>
          <w:tcPr>
            <w:tcW w:w="0" w:type="dxa"/>
            <w:vAlign w:val="bottom"/>
          </w:tcPr>
          <w:p>
            <w:pPr>
              <w:spacing w:after="0"/>
              <w:rPr>
                <w:sz w:val="1"/>
                <w:szCs w:val="1"/>
                <w:color w:val="auto"/>
              </w:rPr>
            </w:pPr>
          </w:p>
        </w:tc>
      </w:tr>
      <w:tr>
        <w:trPr>
          <w:trHeight w:val="196"/>
        </w:trPr>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640" w:type="dxa"/>
            <w:vAlign w:val="bottom"/>
            <w:tcBorders>
              <w:top w:val="single" w:sz="8" w:color="CCEEFF"/>
              <w:bottom w:val="single" w:sz="8" w:color="auto"/>
            </w:tcBorders>
            <w:gridSpan w:val="2"/>
            <w:shd w:val="clear" w:color="auto" w:fill="CCEEFF"/>
          </w:tcPr>
          <w:p>
            <w:pPr>
              <w:spacing w:after="0" w:line="162" w:lineRule="exact"/>
              <w:rPr>
                <w:sz w:val="20"/>
                <w:szCs w:val="20"/>
                <w:color w:val="auto"/>
              </w:rPr>
            </w:pPr>
            <w:r>
              <w:rPr>
                <w:rFonts w:ascii="Arial" w:cs="Arial" w:eastAsia="Arial" w:hAnsi="Arial"/>
                <w:sz w:val="17"/>
                <w:szCs w:val="17"/>
                <w:color w:val="auto"/>
              </w:rPr>
              <w:t>Fixed Maturities at March 31, 2026</w:t>
            </w:r>
          </w:p>
        </w:tc>
        <w:tc>
          <w:tcPr>
            <w:tcW w:w="464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CCEEFF"/>
            </w:tcBorders>
            <w:shd w:val="clear" w:color="auto" w:fill="CCEEFF"/>
          </w:tcPr>
          <w:p>
            <w:pPr>
              <w:spacing w:after="0"/>
              <w:rPr>
                <w:sz w:val="17"/>
                <w:szCs w:val="17"/>
                <w:color w:val="auto"/>
              </w:rPr>
            </w:pPr>
          </w:p>
        </w:tc>
        <w:tc>
          <w:tcPr>
            <w:tcW w:w="1000" w:type="dxa"/>
            <w:vAlign w:val="bottom"/>
            <w:tcBorders>
              <w:top w:val="single" w:sz="8" w:color="auto"/>
              <w:bottom w:val="single" w:sz="8" w:color="CCEEFF"/>
            </w:tcBorders>
            <w:shd w:val="clear" w:color="auto" w:fill="CCEEFF"/>
          </w:tcPr>
          <w:p>
            <w:pPr>
              <w:spacing w:after="0"/>
              <w:rPr>
                <w:sz w:val="17"/>
                <w:szCs w:val="17"/>
                <w:color w:val="auto"/>
              </w:rPr>
            </w:pPr>
          </w:p>
        </w:tc>
        <w:tc>
          <w:tcPr>
            <w:tcW w:w="2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CCEEFF"/>
            </w:tcBorders>
            <w:shd w:val="clear" w:color="auto" w:fill="CCEEFF"/>
          </w:tcPr>
          <w:p>
            <w:pPr>
              <w:spacing w:after="0"/>
              <w:rPr>
                <w:sz w:val="17"/>
                <w:szCs w:val="17"/>
                <w:color w:val="auto"/>
              </w:rPr>
            </w:pPr>
          </w:p>
        </w:tc>
        <w:tc>
          <w:tcPr>
            <w:tcW w:w="106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340" w:type="dxa"/>
            <w:vAlign w:val="bottom"/>
            <w:tcBorders>
              <w:top w:val="single" w:sz="8" w:color="auto"/>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280" w:type="dxa"/>
            <w:vAlign w:val="bottom"/>
            <w:gridSpan w:val="3"/>
          </w:tcPr>
          <w:p>
            <w:pPr>
              <w:spacing w:after="0"/>
              <w:rPr>
                <w:sz w:val="20"/>
                <w:szCs w:val="20"/>
                <w:color w:val="auto"/>
              </w:rPr>
            </w:pPr>
            <w:r>
              <w:rPr>
                <w:rFonts w:ascii="Arial" w:cs="Arial" w:eastAsia="Arial" w:hAnsi="Arial"/>
                <w:sz w:val="17"/>
                <w:szCs w:val="17"/>
                <w:b w:val="1"/>
                <w:bCs w:val="1"/>
                <w:color w:val="auto"/>
              </w:rPr>
              <w:t>Securities with unrealized gains:</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280" w:type="dxa"/>
            <w:vAlign w:val="bottom"/>
            <w:gridSpan w:val="3"/>
            <w:shd w:val="clear" w:color="auto" w:fill="CCEEFF"/>
          </w:tcPr>
          <w:p>
            <w:pPr>
              <w:ind w:left="340"/>
              <w:spacing w:after="0"/>
              <w:rPr>
                <w:sz w:val="20"/>
                <w:szCs w:val="20"/>
                <w:color w:val="auto"/>
              </w:rPr>
            </w:pPr>
            <w:r>
              <w:rPr>
                <w:rFonts w:ascii="Arial" w:cs="Arial" w:eastAsia="Arial" w:hAnsi="Arial"/>
                <w:sz w:val="17"/>
                <w:szCs w:val="17"/>
                <w:color w:val="auto"/>
              </w:rPr>
              <w:t>Exceeding $500,000 (44 securities)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691</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w:t>
            </w:r>
          </w:p>
        </w:tc>
        <w:tc>
          <w:tcPr>
            <w:tcW w:w="0" w:type="dxa"/>
            <w:vAlign w:val="bottom"/>
          </w:tcPr>
          <w:p>
            <w:pPr>
              <w:spacing w:after="0"/>
              <w:rPr>
                <w:sz w:val="1"/>
                <w:szCs w:val="1"/>
                <w:color w:val="auto"/>
              </w:rPr>
            </w:pPr>
          </w:p>
        </w:tc>
      </w:tr>
      <w:tr>
        <w:trPr>
          <w:trHeight w:val="227"/>
        </w:trPr>
        <w:tc>
          <w:tcPr>
            <w:tcW w:w="20" w:type="dxa"/>
            <w:vAlign w:val="bottom"/>
            <w:tcBorders>
              <w:bottom w:val="single" w:sz="8" w:color="CCEEFF"/>
            </w:tcBorders>
          </w:tcPr>
          <w:p>
            <w:pPr>
              <w:spacing w:after="0"/>
              <w:rPr>
                <w:sz w:val="19"/>
                <w:szCs w:val="19"/>
                <w:color w:val="auto"/>
              </w:rPr>
            </w:pPr>
          </w:p>
        </w:tc>
        <w:tc>
          <w:tcPr>
            <w:tcW w:w="7280" w:type="dxa"/>
            <w:vAlign w:val="bottom"/>
            <w:tcBorders>
              <w:bottom w:val="single" w:sz="8" w:color="CCEEFF"/>
            </w:tcBorders>
            <w:gridSpan w:val="3"/>
          </w:tcPr>
          <w:p>
            <w:pPr>
              <w:ind w:left="340"/>
              <w:spacing w:after="0"/>
              <w:rPr>
                <w:sz w:val="20"/>
                <w:szCs w:val="20"/>
                <w:color w:val="auto"/>
              </w:rPr>
            </w:pPr>
            <w:r>
              <w:rPr>
                <w:rFonts w:ascii="Arial" w:cs="Arial" w:eastAsia="Arial" w:hAnsi="Arial"/>
                <w:sz w:val="17"/>
                <w:szCs w:val="17"/>
                <w:color w:val="auto"/>
              </w:rPr>
              <w:t>$500,000 or less (825 securities)</w:t>
            </w: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4,221</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102%</w:t>
            </w: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c>
          <w:tcPr>
            <w:tcW w:w="46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4,912</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28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7"/>
                <w:szCs w:val="17"/>
                <w:b w:val="1"/>
                <w:bCs w:val="1"/>
                <w:color w:val="auto"/>
              </w:rPr>
              <w:t>Securities with unrealized losses: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tcPr>
          <w:p>
            <w:pPr>
              <w:spacing w:after="0"/>
              <w:rPr>
                <w:sz w:val="15"/>
                <w:szCs w:val="15"/>
                <w:color w:val="auto"/>
              </w:rPr>
            </w:pPr>
          </w:p>
        </w:tc>
        <w:tc>
          <w:tcPr>
            <w:tcW w:w="728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280" w:type="dxa"/>
            <w:vAlign w:val="bottom"/>
            <w:gridSpan w:val="3"/>
            <w:shd w:val="clear" w:color="auto" w:fill="CCEEFF"/>
          </w:tcPr>
          <w:p>
            <w:pPr>
              <w:ind w:left="340"/>
              <w:spacing w:after="0"/>
              <w:rPr>
                <w:sz w:val="20"/>
                <w:szCs w:val="20"/>
                <w:color w:val="auto"/>
              </w:rPr>
            </w:pPr>
            <w:r>
              <w:rPr>
                <w:rFonts w:ascii="Arial" w:cs="Arial" w:eastAsia="Arial" w:hAnsi="Arial"/>
                <w:sz w:val="17"/>
                <w:szCs w:val="17"/>
                <w:color w:val="auto"/>
              </w:rPr>
              <w:t>Exceeding $500,000 (95 securities)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1,324</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w:t>
            </w:r>
          </w:p>
        </w:tc>
        <w:tc>
          <w:tcPr>
            <w:tcW w:w="0" w:type="dxa"/>
            <w:vAlign w:val="bottom"/>
          </w:tcPr>
          <w:p>
            <w:pPr>
              <w:spacing w:after="0"/>
              <w:rPr>
                <w:sz w:val="1"/>
                <w:szCs w:val="1"/>
                <w:color w:val="auto"/>
              </w:rPr>
            </w:pPr>
          </w:p>
        </w:tc>
      </w:tr>
      <w:tr>
        <w:trPr>
          <w:trHeight w:val="227"/>
        </w:trPr>
        <w:tc>
          <w:tcPr>
            <w:tcW w:w="20" w:type="dxa"/>
            <w:vAlign w:val="bottom"/>
            <w:tcBorders>
              <w:bottom w:val="single" w:sz="8" w:color="CCEEFF"/>
            </w:tcBorders>
          </w:tcPr>
          <w:p>
            <w:pPr>
              <w:spacing w:after="0"/>
              <w:rPr>
                <w:sz w:val="19"/>
                <w:szCs w:val="19"/>
                <w:color w:val="auto"/>
              </w:rPr>
            </w:pPr>
          </w:p>
        </w:tc>
        <w:tc>
          <w:tcPr>
            <w:tcW w:w="7280" w:type="dxa"/>
            <w:vAlign w:val="bottom"/>
            <w:tcBorders>
              <w:bottom w:val="single" w:sz="8" w:color="CCEEFF"/>
            </w:tcBorders>
            <w:gridSpan w:val="3"/>
          </w:tcPr>
          <w:p>
            <w:pPr>
              <w:ind w:left="340"/>
              <w:spacing w:after="0"/>
              <w:rPr>
                <w:sz w:val="20"/>
                <w:szCs w:val="20"/>
                <w:color w:val="auto"/>
              </w:rPr>
            </w:pPr>
            <w:r>
              <w:rPr>
                <w:rFonts w:ascii="Arial" w:cs="Arial" w:eastAsia="Arial" w:hAnsi="Arial"/>
                <w:sz w:val="17"/>
                <w:szCs w:val="17"/>
                <w:color w:val="auto"/>
              </w:rPr>
              <w:t>$500,000 or less (1,002 securities)</w:t>
            </w: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4,710</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(88)</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98%</w:t>
            </w: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c>
          <w:tcPr>
            <w:tcW w:w="46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6,034</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(238)</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46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ind w:right="180"/>
        <w:spacing w:after="0" w:line="301" w:lineRule="auto"/>
        <w:rPr>
          <w:sz w:val="20"/>
          <w:szCs w:val="20"/>
          <w:color w:val="auto"/>
        </w:rPr>
      </w:pPr>
      <w:r>
        <w:rPr>
          <w:rFonts w:ascii="Arial" w:cs="Arial" w:eastAsia="Arial" w:hAnsi="Arial"/>
          <w:sz w:val="17"/>
          <w:szCs w:val="17"/>
          <w:color w:val="auto"/>
        </w:rPr>
        <w:t>The following table (dollars in millions) summarizes the unrealized losses for all securities with unrealized losses by issuer quality and the length of time those securities have been in an unrealized loss position:</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5"/>
                <w:szCs w:val="15"/>
                <w:color w:val="auto"/>
              </w:rPr>
              <w:t>Aggregate</w:t>
            </w:r>
          </w:p>
        </w:tc>
        <w:tc>
          <w:tcPr>
            <w:tcW w:w="180" w:type="dxa"/>
            <w:vAlign w:val="bottom"/>
          </w:tcPr>
          <w:p>
            <w:pPr>
              <w:spacing w:after="0"/>
              <w:rPr>
                <w:sz w:val="15"/>
                <w:szCs w:val="15"/>
                <w:color w:val="auto"/>
              </w:rPr>
            </w:pPr>
          </w:p>
        </w:tc>
        <w:tc>
          <w:tcPr>
            <w:tcW w:w="1020" w:type="dxa"/>
            <w:vAlign w:val="bottom"/>
          </w:tcPr>
          <w:p>
            <w:pPr>
              <w:jc w:val="center"/>
              <w:ind w:right="98"/>
              <w:spacing w:after="0"/>
              <w:rPr>
                <w:sz w:val="20"/>
                <w:szCs w:val="20"/>
                <w:color w:val="auto"/>
              </w:rPr>
            </w:pPr>
            <w:r>
              <w:rPr>
                <w:rFonts w:ascii="Arial" w:cs="Arial" w:eastAsia="Arial" w:hAnsi="Arial"/>
                <w:sz w:val="15"/>
                <w:szCs w:val="15"/>
                <w:color w:val="auto"/>
              </w:rPr>
              <w:t>Aggregate</w:t>
            </w:r>
          </w:p>
        </w:tc>
        <w:tc>
          <w:tcPr>
            <w:tcW w:w="10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Arial" w:cs="Arial" w:eastAsia="Arial" w:hAnsi="Arial"/>
                <w:sz w:val="15"/>
                <w:szCs w:val="15"/>
                <w:color w:val="auto"/>
              </w:rPr>
              <w:t>Fair</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2"/>
          </w:tcPr>
          <w:p>
            <w:pPr>
              <w:jc w:val="center"/>
              <w:ind w:right="280"/>
              <w:spacing w:after="0" w:line="153" w:lineRule="exact"/>
              <w:rPr>
                <w:sz w:val="20"/>
                <w:szCs w:val="20"/>
                <w:color w:val="auto"/>
              </w:rPr>
            </w:pPr>
            <w:r>
              <w:rPr>
                <w:rFonts w:ascii="Arial" w:cs="Arial" w:eastAsia="Arial" w:hAnsi="Arial"/>
                <w:sz w:val="15"/>
                <w:szCs w:val="15"/>
                <w:color w:val="auto"/>
              </w:rPr>
              <w:t>Fair</w:t>
            </w:r>
          </w:p>
        </w:tc>
        <w:tc>
          <w:tcPr>
            <w:tcW w:w="180" w:type="dxa"/>
            <w:vAlign w:val="bottom"/>
          </w:tcPr>
          <w:p>
            <w:pPr>
              <w:spacing w:after="0"/>
              <w:rPr>
                <w:sz w:val="13"/>
                <w:szCs w:val="13"/>
                <w:color w:val="auto"/>
              </w:rPr>
            </w:pPr>
          </w:p>
        </w:tc>
        <w:tc>
          <w:tcPr>
            <w:tcW w:w="1020" w:type="dxa"/>
            <w:vAlign w:val="bottom"/>
          </w:tcPr>
          <w:p>
            <w:pPr>
              <w:jc w:val="center"/>
              <w:ind w:right="98"/>
              <w:spacing w:after="0" w:line="153" w:lineRule="exact"/>
              <w:rPr>
                <w:sz w:val="20"/>
                <w:szCs w:val="20"/>
                <w:color w:val="auto"/>
              </w:rPr>
            </w:pPr>
            <w:r>
              <w:rPr>
                <w:rFonts w:ascii="Arial" w:cs="Arial" w:eastAsia="Arial" w:hAnsi="Arial"/>
                <w:sz w:val="15"/>
                <w:szCs w:val="15"/>
                <w:color w:val="auto"/>
              </w:rPr>
              <w:t>Unrealized</w:t>
            </w:r>
          </w:p>
        </w:tc>
        <w:tc>
          <w:tcPr>
            <w:tcW w:w="100" w:type="dxa"/>
            <w:vAlign w:val="bottom"/>
          </w:tcPr>
          <w:p>
            <w:pPr>
              <w:spacing w:after="0"/>
              <w:rPr>
                <w:sz w:val="13"/>
                <w:szCs w:val="13"/>
                <w:color w:val="auto"/>
              </w:rPr>
            </w:pPr>
          </w:p>
        </w:tc>
        <w:tc>
          <w:tcPr>
            <w:tcW w:w="1340" w:type="dxa"/>
            <w:vAlign w:val="bottom"/>
          </w:tcPr>
          <w:p>
            <w:pPr>
              <w:jc w:val="center"/>
              <w:spacing w:after="0" w:line="153" w:lineRule="exact"/>
              <w:rPr>
                <w:sz w:val="20"/>
                <w:szCs w:val="20"/>
                <w:color w:val="auto"/>
              </w:rPr>
            </w:pPr>
            <w:r>
              <w:rPr>
                <w:rFonts w:ascii="Arial" w:cs="Arial" w:eastAsia="Arial" w:hAnsi="Arial"/>
                <w:sz w:val="15"/>
                <w:szCs w:val="15"/>
                <w:color w:val="auto"/>
                <w:w w:val="99"/>
              </w:rPr>
              <w:t>Value as</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5"/>
                <w:szCs w:val="15"/>
                <w:color w:val="auto"/>
                <w:w w:val="98"/>
              </w:rPr>
              <w:t>Value</w:t>
            </w:r>
          </w:p>
        </w:tc>
        <w:tc>
          <w:tcPr>
            <w:tcW w:w="180" w:type="dxa"/>
            <w:vAlign w:val="bottom"/>
          </w:tcPr>
          <w:p>
            <w:pPr>
              <w:spacing w:after="0"/>
              <w:rPr>
                <w:sz w:val="17"/>
                <w:szCs w:val="17"/>
                <w:color w:val="auto"/>
              </w:rPr>
            </w:pPr>
          </w:p>
        </w:tc>
        <w:tc>
          <w:tcPr>
            <w:tcW w:w="1020" w:type="dxa"/>
            <w:vAlign w:val="bottom"/>
          </w:tcPr>
          <w:p>
            <w:pPr>
              <w:jc w:val="center"/>
              <w:ind w:right="98"/>
              <w:spacing w:after="0"/>
              <w:rPr>
                <w:sz w:val="20"/>
                <w:szCs w:val="20"/>
                <w:color w:val="auto"/>
              </w:rPr>
            </w:pPr>
            <w:r>
              <w:rPr>
                <w:rFonts w:ascii="Arial" w:cs="Arial" w:eastAsia="Arial" w:hAnsi="Arial"/>
                <w:sz w:val="15"/>
                <w:szCs w:val="15"/>
                <w:color w:val="auto"/>
              </w:rPr>
              <w:t>Loss</w:t>
            </w:r>
          </w:p>
        </w:tc>
        <w:tc>
          <w:tcPr>
            <w:tcW w:w="10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Arial" w:cs="Arial" w:eastAsia="Arial" w:hAnsi="Arial"/>
                <w:sz w:val="15"/>
                <w:szCs w:val="15"/>
                <w:color w:val="auto"/>
              </w:rPr>
              <w:t>% of Cost</w:t>
            </w:r>
          </w:p>
        </w:tc>
        <w:tc>
          <w:tcPr>
            <w:tcW w:w="0" w:type="dxa"/>
            <w:vAlign w:val="bottom"/>
          </w:tcPr>
          <w:p>
            <w:pPr>
              <w:spacing w:after="0"/>
              <w:rPr>
                <w:sz w:val="1"/>
                <w:szCs w:val="1"/>
                <w:color w:val="auto"/>
              </w:rPr>
            </w:pPr>
          </w:p>
        </w:tc>
      </w:tr>
      <w:tr>
        <w:trPr>
          <w:trHeight w:val="157"/>
        </w:trPr>
        <w:tc>
          <w:tcPr>
            <w:tcW w:w="20" w:type="dxa"/>
            <w:vAlign w:val="bottom"/>
            <w:tcBorders>
              <w:top w:val="single" w:sz="8" w:color="CCEEFF"/>
            </w:tcBorders>
            <w:shd w:val="clear" w:color="auto" w:fill="CCEEFF"/>
          </w:tcPr>
          <w:p>
            <w:pPr>
              <w:spacing w:after="0"/>
              <w:rPr>
                <w:sz w:val="13"/>
                <w:szCs w:val="13"/>
                <w:color w:val="auto"/>
              </w:rPr>
            </w:pPr>
          </w:p>
        </w:tc>
        <w:tc>
          <w:tcPr>
            <w:tcW w:w="7280" w:type="dxa"/>
            <w:vAlign w:val="bottom"/>
            <w:tcBorders>
              <w:top w:val="single" w:sz="8" w:color="CCEEFF"/>
            </w:tcBorders>
            <w:gridSpan w:val="2"/>
            <w:shd w:val="clear" w:color="auto" w:fill="CCEEFF"/>
          </w:tcPr>
          <w:p>
            <w:pPr>
              <w:spacing w:after="0" w:line="157" w:lineRule="exact"/>
              <w:rPr>
                <w:sz w:val="20"/>
                <w:szCs w:val="20"/>
                <w:color w:val="auto"/>
              </w:rPr>
            </w:pPr>
            <w:r>
              <w:rPr>
                <w:rFonts w:ascii="Arial" w:cs="Arial" w:eastAsia="Arial" w:hAnsi="Arial"/>
                <w:sz w:val="17"/>
                <w:szCs w:val="17"/>
                <w:color w:val="auto"/>
              </w:rPr>
              <w:t>Securities with Unrealized Losses at March 31, 2026</w:t>
            </w:r>
          </w:p>
        </w:tc>
        <w:tc>
          <w:tcPr>
            <w:tcW w:w="18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3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3980" w:type="dxa"/>
            <w:vAlign w:val="bottom"/>
            <w:tcBorders>
              <w:top w:val="single" w:sz="8" w:color="auto"/>
            </w:tcBorders>
            <w:shd w:val="clear" w:color="auto" w:fill="CCEEFF"/>
          </w:tcPr>
          <w:p>
            <w:pPr>
              <w:spacing w:after="0"/>
              <w:rPr>
                <w:sz w:val="2"/>
                <w:szCs w:val="2"/>
                <w:color w:val="auto"/>
              </w:rPr>
            </w:pPr>
          </w:p>
        </w:tc>
        <w:tc>
          <w:tcPr>
            <w:tcW w:w="33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34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7280" w:type="dxa"/>
            <w:vAlign w:val="bottom"/>
            <w:gridSpan w:val="2"/>
          </w:tcPr>
          <w:p>
            <w:pPr>
              <w:spacing w:after="0"/>
              <w:rPr>
                <w:sz w:val="20"/>
                <w:szCs w:val="20"/>
                <w:color w:val="auto"/>
              </w:rPr>
            </w:pPr>
            <w:r>
              <w:rPr>
                <w:rFonts w:ascii="Arial" w:cs="Arial" w:eastAsia="Arial" w:hAnsi="Arial"/>
                <w:sz w:val="17"/>
                <w:szCs w:val="17"/>
                <w:b w:val="1"/>
                <w:bCs w:val="1"/>
                <w:color w:val="auto"/>
              </w:rPr>
              <w:t>Investment grade fixed maturities with losses for:</w:t>
            </w: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Less than one year (430 securities)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99%</w:t>
            </w:r>
          </w:p>
        </w:tc>
        <w:tc>
          <w:tcPr>
            <w:tcW w:w="0" w:type="dxa"/>
            <w:vAlign w:val="bottom"/>
          </w:tcPr>
          <w:p>
            <w:pPr>
              <w:spacing w:after="0"/>
              <w:rPr>
                <w:sz w:val="1"/>
                <w:szCs w:val="1"/>
                <w:color w:val="auto"/>
              </w:rPr>
            </w:pPr>
          </w:p>
        </w:tc>
      </w:tr>
      <w:tr>
        <w:trPr>
          <w:trHeight w:val="227"/>
        </w:trPr>
        <w:tc>
          <w:tcPr>
            <w:tcW w:w="20" w:type="dxa"/>
            <w:vAlign w:val="bottom"/>
            <w:tcBorders>
              <w:bottom w:val="single" w:sz="8" w:color="CCEEFF"/>
            </w:tcBorders>
          </w:tcPr>
          <w:p>
            <w:pPr>
              <w:spacing w:after="0"/>
              <w:rPr>
                <w:sz w:val="19"/>
                <w:szCs w:val="19"/>
                <w:color w:val="auto"/>
              </w:rPr>
            </w:pPr>
          </w:p>
        </w:tc>
        <w:tc>
          <w:tcPr>
            <w:tcW w:w="7280" w:type="dxa"/>
            <w:vAlign w:val="bottom"/>
            <w:tcBorders>
              <w:bottom w:val="single" w:sz="8" w:color="CCEEFF"/>
            </w:tcBorders>
            <w:gridSpan w:val="2"/>
          </w:tcPr>
          <w:p>
            <w:pPr>
              <w:ind w:left="340"/>
              <w:spacing w:after="0"/>
              <w:rPr>
                <w:sz w:val="20"/>
                <w:szCs w:val="20"/>
                <w:color w:val="auto"/>
              </w:rPr>
            </w:pPr>
            <w:r>
              <w:rPr>
                <w:rFonts w:ascii="Arial" w:cs="Arial" w:eastAsia="Arial" w:hAnsi="Arial"/>
                <w:sz w:val="17"/>
                <w:szCs w:val="17"/>
                <w:color w:val="auto"/>
              </w:rPr>
              <w:t>One year or longer (535 securities)</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2,561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(191)</w:t>
            </w:r>
          </w:p>
        </w:tc>
        <w:tc>
          <w:tcPr>
            <w:tcW w:w="1440" w:type="dxa"/>
            <w:vAlign w:val="bottom"/>
            <w:tcBorders>
              <w:bottom w:val="single" w:sz="8" w:color="CCEEFF"/>
            </w:tcBorders>
            <w:gridSpan w:val="2"/>
          </w:tcPr>
          <w:p>
            <w:pPr>
              <w:jc w:val="right"/>
              <w:spacing w:after="0"/>
              <w:rPr>
                <w:sz w:val="20"/>
                <w:szCs w:val="20"/>
                <w:color w:val="auto"/>
              </w:rPr>
            </w:pPr>
            <w:r>
              <w:rPr>
                <w:rFonts w:ascii="Arial" w:cs="Arial" w:eastAsia="Arial" w:hAnsi="Arial"/>
                <w:sz w:val="17"/>
                <w:szCs w:val="17"/>
                <w:color w:val="auto"/>
              </w:rPr>
              <w:t>93%</w:t>
            </w: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980" w:type="dxa"/>
            <w:vAlign w:val="bottom"/>
            <w:tcBorders>
              <w:bottom w:val="single" w:sz="8" w:color="CCEEFF"/>
            </w:tcBorders>
            <w:shd w:val="clear" w:color="auto" w:fill="CCEEFF"/>
          </w:tcPr>
          <w:p>
            <w:pPr>
              <w:spacing w:after="0"/>
              <w:rPr>
                <w:sz w:val="21"/>
                <w:szCs w:val="21"/>
                <w:color w:val="auto"/>
              </w:rPr>
            </w:pPr>
          </w:p>
        </w:tc>
        <w:tc>
          <w:tcPr>
            <w:tcW w:w="33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(230)</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96%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728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7"/>
                <w:szCs w:val="17"/>
                <w:b w:val="1"/>
                <w:bCs w:val="1"/>
                <w:color w:val="auto"/>
              </w:rPr>
              <w:t>Non-investment grade fixed maturities with losses for:</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vMerge w:val="continue"/>
          </w:tcPr>
          <w:p>
            <w:pPr>
              <w:spacing w:after="0"/>
              <w:rPr>
                <w:sz w:val="15"/>
                <w:szCs w:val="15"/>
                <w:color w:val="auto"/>
              </w:rPr>
            </w:pPr>
          </w:p>
        </w:tc>
        <w:tc>
          <w:tcPr>
            <w:tcW w:w="72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Less than one year (40 securities)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96%</w:t>
            </w:r>
          </w:p>
        </w:tc>
        <w:tc>
          <w:tcPr>
            <w:tcW w:w="0" w:type="dxa"/>
            <w:vAlign w:val="bottom"/>
          </w:tcPr>
          <w:p>
            <w:pPr>
              <w:spacing w:after="0"/>
              <w:rPr>
                <w:sz w:val="1"/>
                <w:szCs w:val="1"/>
                <w:color w:val="auto"/>
              </w:rPr>
            </w:pPr>
          </w:p>
        </w:tc>
      </w:tr>
      <w:tr>
        <w:trPr>
          <w:trHeight w:val="227"/>
        </w:trPr>
        <w:tc>
          <w:tcPr>
            <w:tcW w:w="20" w:type="dxa"/>
            <w:vAlign w:val="bottom"/>
            <w:tcBorders>
              <w:bottom w:val="single" w:sz="8" w:color="CCEEFF"/>
            </w:tcBorders>
          </w:tcPr>
          <w:p>
            <w:pPr>
              <w:spacing w:after="0"/>
              <w:rPr>
                <w:sz w:val="19"/>
                <w:szCs w:val="19"/>
                <w:color w:val="auto"/>
              </w:rPr>
            </w:pPr>
          </w:p>
        </w:tc>
        <w:tc>
          <w:tcPr>
            <w:tcW w:w="7280" w:type="dxa"/>
            <w:vAlign w:val="bottom"/>
            <w:tcBorders>
              <w:bottom w:val="single" w:sz="8" w:color="CCEEFF"/>
            </w:tcBorders>
            <w:gridSpan w:val="2"/>
          </w:tcPr>
          <w:p>
            <w:pPr>
              <w:ind w:left="340"/>
              <w:spacing w:after="0"/>
              <w:rPr>
                <w:sz w:val="20"/>
                <w:szCs w:val="20"/>
                <w:color w:val="auto"/>
              </w:rPr>
            </w:pPr>
            <w:r>
              <w:rPr>
                <w:rFonts w:ascii="Arial" w:cs="Arial" w:eastAsia="Arial" w:hAnsi="Arial"/>
                <w:sz w:val="17"/>
                <w:szCs w:val="17"/>
                <w:color w:val="auto"/>
              </w:rPr>
              <w:t>One year or longer (92 securities)</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w:t>
            </w:r>
          </w:p>
        </w:tc>
        <w:tc>
          <w:tcPr>
            <w:tcW w:w="1440" w:type="dxa"/>
            <w:vAlign w:val="bottom"/>
            <w:tcBorders>
              <w:bottom w:val="single" w:sz="8" w:color="CCEEFF"/>
            </w:tcBorders>
            <w:gridSpan w:val="2"/>
          </w:tcPr>
          <w:p>
            <w:pPr>
              <w:jc w:val="right"/>
              <w:spacing w:after="0"/>
              <w:rPr>
                <w:sz w:val="20"/>
                <w:szCs w:val="20"/>
                <w:color w:val="auto"/>
              </w:rPr>
            </w:pPr>
            <w:r>
              <w:rPr>
                <w:rFonts w:ascii="Arial" w:cs="Arial" w:eastAsia="Arial" w:hAnsi="Arial"/>
                <w:sz w:val="17"/>
                <w:szCs w:val="17"/>
                <w:color w:val="auto"/>
              </w:rPr>
              <w:t>95%</w:t>
            </w: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980" w:type="dxa"/>
            <w:vAlign w:val="bottom"/>
            <w:tcBorders>
              <w:bottom w:val="single" w:sz="8" w:color="CCEEFF"/>
            </w:tcBorders>
            <w:shd w:val="clear" w:color="auto" w:fill="CCEEFF"/>
          </w:tcPr>
          <w:p>
            <w:pPr>
              <w:spacing w:after="0"/>
              <w:rPr>
                <w:sz w:val="21"/>
                <w:szCs w:val="21"/>
                <w:color w:val="auto"/>
              </w:rPr>
            </w:pPr>
          </w:p>
        </w:tc>
        <w:tc>
          <w:tcPr>
            <w:tcW w:w="33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96%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980" w:type="dxa"/>
            <w:vAlign w:val="bottom"/>
            <w:tcBorders>
              <w:top w:val="single" w:sz="8" w:color="CCEEFF"/>
            </w:tcBorders>
          </w:tcPr>
          <w:p>
            <w:pPr>
              <w:spacing w:after="0" w:line="20" w:lineRule="exact"/>
              <w:rPr>
                <w:sz w:val="1"/>
                <w:szCs w:val="1"/>
                <w:color w:val="auto"/>
              </w:rPr>
            </w:pPr>
          </w:p>
        </w:tc>
        <w:tc>
          <w:tcPr>
            <w:tcW w:w="3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 xml:space="preserve">When a decline in the value of a specific investment is considered to be other-than-temporary, an allowance for credit losses (impairment) is charged to earnings (accounted for as a realized loss). The determination of whether unrealized losses are other-than-temporary requires judgment based on subjective as well as objective factors as detailed in AFG’s 2025 Form 10-K under </w:t>
      </w:r>
      <w:r>
        <w:rPr>
          <w:rFonts w:ascii="Arial" w:cs="Arial" w:eastAsia="Arial" w:hAnsi="Arial"/>
          <w:sz w:val="17"/>
          <w:szCs w:val="17"/>
          <w:i w:val="1"/>
          <w:iCs w:val="1"/>
          <w:color w:val="auto"/>
        </w:rPr>
        <w:t>Management’s Discussion and Analysis — “Investments.”</w:t>
      </w:r>
    </w:p>
    <w:p>
      <w:pPr>
        <w:sectPr>
          <w:pgSz w:w="11900" w:h="16838" w:orient="portrait"/>
          <w:cols w:equalWidth="0" w:num="1">
            <w:col w:w="11240"/>
          </w:cols>
          <w:pgMar w:left="320" w:top="115"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 xml:space="preserve">Based on its analysis, management believes AFG will recover its cost basis (net of any allowance) in the fixed maturity securities with unrealized losses and that AFG has the ability to hold the securities until they recover in value and had no intent to sell them at March 31, 2026. Although AFG has the ability to continue holding its fixed maturity investments with unrealized losses, its intent to hold them may change due to deterioration in the issuers’ creditworthiness, decisions to lessen exposure to a particular issuer or industry, asset/liability management decisions, market movements, changes in views about appropriate asset allocation or the desire to offset taxable realized gains. Should AFG’s ability or intent change regarding a particular security, a charge for impairment would likely be required. While it is not possible to accurately predict if or when a specific security will become impaired, increases in the allowance for credit losses could be material to results of operations in future periods. Significant declines in the fair value of AFG’s investment portfolio could have a significant adverse effect on AFG’s liquidity. For information on AFG’s realized gains (losses) on securities, see </w:t>
      </w:r>
      <w:r>
        <w:rPr>
          <w:rFonts w:ascii="Arial" w:cs="Arial" w:eastAsia="Arial" w:hAnsi="Arial"/>
          <w:sz w:val="17"/>
          <w:szCs w:val="17"/>
          <w:i w:val="1"/>
          <w:iCs w:val="1"/>
          <w:color w:val="auto"/>
        </w:rPr>
        <w:t>“Results of Operations — Realized Gains (Losses) on Securities.”</w:t>
      </w:r>
    </w:p>
    <w:p>
      <w:pPr>
        <w:spacing w:after="0" w:line="206" w:lineRule="exact"/>
        <w:rPr>
          <w:sz w:val="20"/>
          <w:szCs w:val="20"/>
          <w:color w:val="auto"/>
        </w:rPr>
      </w:pPr>
    </w:p>
    <w:p>
      <w:pPr>
        <w:spacing w:after="0"/>
        <w:rPr>
          <w:sz w:val="20"/>
          <w:szCs w:val="20"/>
          <w:color w:val="auto"/>
        </w:rPr>
      </w:pPr>
      <w:r>
        <w:rPr>
          <w:rFonts w:ascii="Arial" w:cs="Arial" w:eastAsia="Arial" w:hAnsi="Arial"/>
          <w:sz w:val="25"/>
          <w:szCs w:val="25"/>
          <w:b w:val="1"/>
          <w:bCs w:val="1"/>
          <w:color w:val="003366"/>
        </w:rPr>
        <w:t>Uncertainties</w:t>
      </w:r>
    </w:p>
    <w:p>
      <w:pPr>
        <w:spacing w:after="0" w:line="28" w:lineRule="exact"/>
        <w:rPr>
          <w:sz w:val="20"/>
          <w:szCs w:val="20"/>
          <w:color w:val="auto"/>
        </w:rPr>
      </w:pPr>
    </w:p>
    <w:p>
      <w:pPr>
        <w:ind w:right="200"/>
        <w:spacing w:after="0" w:line="256" w:lineRule="auto"/>
        <w:rPr>
          <w:sz w:val="20"/>
          <w:szCs w:val="20"/>
          <w:color w:val="auto"/>
        </w:rPr>
      </w:pPr>
      <w:r>
        <w:rPr>
          <w:rFonts w:ascii="Arial" w:cs="Arial" w:eastAsia="Arial" w:hAnsi="Arial"/>
          <w:sz w:val="17"/>
          <w:szCs w:val="17"/>
          <w:color w:val="auto"/>
        </w:rPr>
        <w:t xml:space="preserve">Management believes that the areas posing the greatest risk of material loss are the adequacy of its insurance reserves and contingencies arising out of its former railroad and manufacturing operations. See </w:t>
      </w:r>
      <w:r>
        <w:rPr>
          <w:rFonts w:ascii="Arial" w:cs="Arial" w:eastAsia="Arial" w:hAnsi="Arial"/>
          <w:sz w:val="17"/>
          <w:szCs w:val="17"/>
          <w:i w:val="1"/>
          <w:iCs w:val="1"/>
          <w:color w:val="auto"/>
        </w:rPr>
        <w:t>Management’s Discussion and Analysis — “Uncertainties — Asbestos and</w:t>
      </w:r>
      <w:r>
        <w:rPr>
          <w:rFonts w:ascii="Arial" w:cs="Arial" w:eastAsia="Arial" w:hAnsi="Arial"/>
          <w:sz w:val="17"/>
          <w:szCs w:val="17"/>
          <w:color w:val="auto"/>
        </w:rPr>
        <w:t xml:space="preserve"> </w:t>
      </w:r>
      <w:r>
        <w:rPr>
          <w:rFonts w:ascii="Arial" w:cs="Arial" w:eastAsia="Arial" w:hAnsi="Arial"/>
          <w:sz w:val="17"/>
          <w:szCs w:val="17"/>
          <w:i w:val="1"/>
          <w:iCs w:val="1"/>
          <w:color w:val="auto"/>
        </w:rPr>
        <w:t>Environmental-related (“A&amp;E”) Insurance Reserves</w:t>
      </w:r>
      <w:r>
        <w:rPr>
          <w:rFonts w:ascii="Arial" w:cs="Arial" w:eastAsia="Arial" w:hAnsi="Arial"/>
          <w:sz w:val="17"/>
          <w:szCs w:val="17"/>
          <w:color w:val="auto"/>
        </w:rPr>
        <w:t>” in AFG’s 2025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37" w:name="page38"/>
    <w:bookmarkEnd w:id="37"/>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9"/>
          <w:szCs w:val="29"/>
          <w:b w:val="1"/>
          <w:bCs w:val="1"/>
          <w:color w:val="003366"/>
        </w:rPr>
        <w:t>MANAGED INVESTMENT ENTITIES</w:t>
      </w:r>
    </w:p>
    <w:p>
      <w:pPr>
        <w:spacing w:after="0" w:line="272" w:lineRule="exact"/>
        <w:rPr>
          <w:sz w:val="20"/>
          <w:szCs w:val="20"/>
          <w:color w:val="auto"/>
        </w:rPr>
      </w:pPr>
    </w:p>
    <w:p>
      <w:pPr>
        <w:ind w:right="180"/>
        <w:spacing w:after="0" w:line="260" w:lineRule="auto"/>
        <w:rPr>
          <w:sz w:val="20"/>
          <w:szCs w:val="20"/>
          <w:color w:val="auto"/>
        </w:rPr>
      </w:pPr>
      <w:r>
        <w:rPr>
          <w:rFonts w:ascii="Arial" w:cs="Arial" w:eastAsia="Arial" w:hAnsi="Arial"/>
          <w:sz w:val="17"/>
          <w:szCs w:val="17"/>
          <w:color w:val="auto"/>
        </w:rPr>
        <w:t xml:space="preserve">Accounting standards require AFG to consolidate its investments in collateralized loan obligation (“CLO”) entities that it manages and owns an interest in (in the form of debt). See </w:t>
      </w:r>
      <w:r>
        <w:rPr>
          <w:rFonts w:ascii="Arial" w:cs="Arial" w:eastAsia="Arial" w:hAnsi="Arial"/>
          <w:sz w:val="17"/>
          <w:szCs w:val="17"/>
          <w:i w:val="1"/>
          <w:iCs w:val="1"/>
          <w:color w:val="auto"/>
        </w:rPr>
        <w:t>Note A — “Accounting Policies — Managed Investment Entities”</w:t>
      </w:r>
      <w:r>
        <w:rPr>
          <w:rFonts w:ascii="Arial" w:cs="Arial" w:eastAsia="Arial" w:hAnsi="Arial"/>
          <w:sz w:val="17"/>
          <w:szCs w:val="17"/>
          <w:color w:val="auto"/>
        </w:rPr>
        <w:t xml:space="preserve"> and </w:t>
      </w:r>
      <w:r>
        <w:rPr>
          <w:rFonts w:ascii="Arial" w:cs="Arial" w:eastAsia="Arial" w:hAnsi="Arial"/>
          <w:sz w:val="17"/>
          <w:szCs w:val="17"/>
          <w:i w:val="1"/>
          <w:iCs w:val="1"/>
          <w:color w:val="auto"/>
        </w:rPr>
        <w:t>Note F — “Managed Investment Entities”</w:t>
      </w:r>
      <w:r>
        <w:rPr>
          <w:rFonts w:ascii="Arial" w:cs="Arial" w:eastAsia="Arial" w:hAnsi="Arial"/>
          <w:sz w:val="17"/>
          <w:szCs w:val="17"/>
          <w:color w:val="auto"/>
        </w:rPr>
        <w:t xml:space="preserve"> to the financial statements. The effect of consolidating these entities is shown in the tables below (in millions). The “Before CLO Consolidation” columns include AFG’s investment and earnings in the CLOs on an unconsolidated basis.</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CONSOLIDATING BALANCE SHEET</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vMerge w:val="restart"/>
          </w:tcPr>
          <w:p>
            <w:pPr>
              <w:jc w:val="center"/>
              <w:ind w:right="260"/>
              <w:spacing w:after="0"/>
              <w:rPr>
                <w:sz w:val="20"/>
                <w:szCs w:val="20"/>
                <w:color w:val="auto"/>
              </w:rPr>
            </w:pPr>
            <w:r>
              <w:rPr>
                <w:rFonts w:ascii="Arial" w:cs="Arial" w:eastAsia="Arial" w:hAnsi="Arial"/>
                <w:sz w:val="14"/>
                <w:szCs w:val="14"/>
                <w:color w:val="auto"/>
              </w:rPr>
              <w:t>Before CLO</w:t>
            </w:r>
          </w:p>
        </w:tc>
        <w:tc>
          <w:tcPr>
            <w:tcW w:w="12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color w:val="auto"/>
              </w:rPr>
              <w:t>Managed</w:t>
            </w:r>
          </w:p>
        </w:tc>
        <w:tc>
          <w:tcPr>
            <w:tcW w:w="200" w:type="dxa"/>
            <w:vAlign w:val="bottom"/>
          </w:tcPr>
          <w:p>
            <w:pPr>
              <w:spacing w:after="0"/>
              <w:rPr>
                <w:sz w:val="14"/>
                <w:szCs w:val="14"/>
                <w:color w:val="auto"/>
              </w:rPr>
            </w:pPr>
          </w:p>
        </w:tc>
        <w:tc>
          <w:tcPr>
            <w:tcW w:w="860" w:type="dxa"/>
            <w:vAlign w:val="bottom"/>
            <w:vMerge w:val="restart"/>
          </w:tcPr>
          <w:p>
            <w:pPr>
              <w:jc w:val="right"/>
              <w:ind w:right="208"/>
              <w:spacing w:after="0"/>
              <w:rPr>
                <w:sz w:val="20"/>
                <w:szCs w:val="20"/>
                <w:color w:val="auto"/>
              </w:rPr>
            </w:pPr>
            <w:r>
              <w:rPr>
                <w:rFonts w:ascii="Arial" w:cs="Arial" w:eastAsia="Arial" w:hAnsi="Arial"/>
                <w:sz w:val="14"/>
                <w:szCs w:val="14"/>
                <w:color w:val="auto"/>
              </w:rPr>
              <w:t>Consol.</w:t>
            </w: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vMerge w:val="restart"/>
          </w:tcPr>
          <w:p>
            <w:pPr>
              <w:jc w:val="right"/>
              <w:ind w:right="88"/>
              <w:spacing w:after="0"/>
              <w:rPr>
                <w:sz w:val="20"/>
                <w:szCs w:val="20"/>
                <w:color w:val="auto"/>
              </w:rPr>
            </w:pPr>
            <w:r>
              <w:rPr>
                <w:rFonts w:ascii="Arial" w:cs="Arial" w:eastAsia="Arial" w:hAnsi="Arial"/>
                <w:sz w:val="14"/>
                <w:szCs w:val="14"/>
                <w:color w:val="auto"/>
              </w:rPr>
              <w:t>Consolidated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rPr>
              <w:t>Investment</w:t>
            </w:r>
          </w:p>
        </w:tc>
        <w:tc>
          <w:tcPr>
            <w:tcW w:w="20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color w:val="auto"/>
              </w:rPr>
              <w:t>Consolidation</w:t>
            </w:r>
          </w:p>
        </w:tc>
        <w:tc>
          <w:tcPr>
            <w:tcW w:w="120" w:type="dxa"/>
            <w:vAlign w:val="bottom"/>
          </w:tcPr>
          <w:p>
            <w:pPr>
              <w:spacing w:after="0"/>
              <w:rPr>
                <w:sz w:val="16"/>
                <w:szCs w:val="16"/>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color w:val="auto"/>
              </w:rPr>
              <w:t>Entities</w:t>
            </w:r>
          </w:p>
        </w:tc>
        <w:tc>
          <w:tcPr>
            <w:tcW w:w="200" w:type="dxa"/>
            <w:vAlign w:val="bottom"/>
          </w:tcPr>
          <w:p>
            <w:pPr>
              <w:spacing w:after="0"/>
              <w:rPr>
                <w:sz w:val="16"/>
                <w:szCs w:val="16"/>
                <w:color w:val="auto"/>
              </w:rPr>
            </w:pPr>
          </w:p>
        </w:tc>
        <w:tc>
          <w:tcPr>
            <w:tcW w:w="860" w:type="dxa"/>
            <w:vAlign w:val="bottom"/>
          </w:tcPr>
          <w:p>
            <w:pPr>
              <w:jc w:val="right"/>
              <w:ind w:right="228"/>
              <w:spacing w:after="0"/>
              <w:rPr>
                <w:sz w:val="20"/>
                <w:szCs w:val="20"/>
                <w:color w:val="auto"/>
              </w:rPr>
            </w:pPr>
            <w:r>
              <w:rPr>
                <w:rFonts w:ascii="Arial" w:cs="Arial" w:eastAsia="Arial" w:hAnsi="Arial"/>
                <w:sz w:val="14"/>
                <w:szCs w:val="14"/>
                <w:color w:val="auto"/>
              </w:rPr>
              <w:t>Entries</w:t>
            </w: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As Reported</w:t>
            </w:r>
          </w:p>
        </w:tc>
        <w:tc>
          <w:tcPr>
            <w:tcW w:w="0" w:type="dxa"/>
            <w:vAlign w:val="bottom"/>
          </w:tcPr>
          <w:p>
            <w:pPr>
              <w:spacing w:after="0"/>
              <w:rPr>
                <w:sz w:val="1"/>
                <w:szCs w:val="1"/>
                <w:color w:val="auto"/>
              </w:rPr>
            </w:pPr>
          </w:p>
        </w:tc>
      </w:tr>
      <w:tr>
        <w:trPr>
          <w:trHeight w:val="163"/>
        </w:trPr>
        <w:tc>
          <w:tcPr>
            <w:tcW w:w="20" w:type="dxa"/>
            <w:vAlign w:val="bottom"/>
            <w:tcBorders>
              <w:top w:val="single" w:sz="8" w:color="CCEEFF"/>
            </w:tcBorders>
            <w:shd w:val="clear" w:color="auto" w:fill="CCEEFF"/>
          </w:tcPr>
          <w:p>
            <w:pPr>
              <w:spacing w:after="0"/>
              <w:rPr>
                <w:sz w:val="14"/>
                <w:szCs w:val="14"/>
                <w:color w:val="auto"/>
              </w:rPr>
            </w:pPr>
          </w:p>
        </w:tc>
        <w:tc>
          <w:tcPr>
            <w:tcW w:w="5680" w:type="dxa"/>
            <w:vAlign w:val="bottom"/>
            <w:tcBorders>
              <w:top w:val="single" w:sz="8" w:color="CCEEFF"/>
            </w:tcBorders>
            <w:gridSpan w:val="3"/>
            <w:shd w:val="clear" w:color="auto" w:fill="CCEEFF"/>
          </w:tcPr>
          <w:p>
            <w:pPr>
              <w:spacing w:after="0" w:line="142" w:lineRule="exact"/>
              <w:rPr>
                <w:sz w:val="20"/>
                <w:szCs w:val="20"/>
                <w:color w:val="auto"/>
              </w:rPr>
            </w:pPr>
            <w:r>
              <w:rPr>
                <w:rFonts w:ascii="Arial" w:cs="Arial" w:eastAsia="Arial" w:hAnsi="Arial"/>
                <w:sz w:val="14"/>
                <w:szCs w:val="14"/>
                <w:color w:val="auto"/>
              </w:rPr>
              <w:t>March 31, 2026</w:t>
            </w:r>
          </w:p>
        </w:tc>
        <w:tc>
          <w:tcPr>
            <w:tcW w:w="18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Borders>
              <w:top w:val="single" w:sz="8" w:color="CCEEFF"/>
            </w:tcBorders>
          </w:tcPr>
          <w:p>
            <w:pPr>
              <w:spacing w:after="0"/>
              <w:rPr>
                <w:sz w:val="17"/>
                <w:szCs w:val="17"/>
                <w:color w:val="auto"/>
              </w:rPr>
            </w:pPr>
          </w:p>
        </w:tc>
        <w:tc>
          <w:tcPr>
            <w:tcW w:w="100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Assets:</w:t>
            </w:r>
          </w:p>
        </w:tc>
        <w:tc>
          <w:tcPr>
            <w:tcW w:w="4680" w:type="dxa"/>
            <w:vAlign w:val="bottom"/>
            <w:tcBorders>
              <w:top w:val="single" w:sz="8" w:color="CCEEFF"/>
            </w:tcBorders>
            <w:gridSpan w:val="2"/>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2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860" w:type="dxa"/>
            <w:vAlign w:val="bottom"/>
            <w:tcBorders>
              <w:top w:val="single" w:sz="8" w:color="CCEEFF"/>
            </w:tcBorders>
          </w:tcPr>
          <w:p>
            <w:pPr>
              <w:spacing w:after="0"/>
              <w:rPr>
                <w:sz w:val="17"/>
                <w:szCs w:val="17"/>
                <w:color w:val="auto"/>
              </w:rPr>
            </w:pPr>
          </w:p>
        </w:tc>
        <w:tc>
          <w:tcPr>
            <w:tcW w:w="7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568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Cash and investments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17,276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w:t>
            </w:r>
          </w:p>
        </w:tc>
        <w:tc>
          <w:tcPr>
            <w:tcW w:w="72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17,143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80" w:type="dxa"/>
            <w:vAlign w:val="bottom"/>
            <w:gridSpan w:val="3"/>
          </w:tcPr>
          <w:p>
            <w:pPr>
              <w:ind w:left="340"/>
              <w:spacing w:after="0"/>
              <w:rPr>
                <w:sz w:val="20"/>
                <w:szCs w:val="20"/>
                <w:color w:val="auto"/>
              </w:rPr>
            </w:pPr>
            <w:r>
              <w:rPr>
                <w:rFonts w:ascii="Arial" w:cs="Arial" w:eastAsia="Arial" w:hAnsi="Arial"/>
                <w:sz w:val="14"/>
                <w:szCs w:val="14"/>
                <w:color w:val="auto"/>
              </w:rPr>
              <w:t>Assets of managed investment entities</w:t>
            </w:r>
          </w:p>
        </w:tc>
        <w:tc>
          <w:tcPr>
            <w:tcW w:w="18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3,987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3,987</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68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Other assets</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11,223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11,223</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680" w:type="dxa"/>
            <w:vAlign w:val="bottom"/>
            <w:gridSpan w:val="2"/>
          </w:tcPr>
          <w:p>
            <w:pPr>
              <w:ind w:left="100"/>
              <w:spacing w:after="0"/>
              <w:rPr>
                <w:sz w:val="20"/>
                <w:szCs w:val="20"/>
                <w:color w:val="auto"/>
              </w:rPr>
            </w:pPr>
            <w:r>
              <w:rPr>
                <w:rFonts w:ascii="Arial" w:cs="Arial" w:eastAsia="Arial" w:hAnsi="Arial"/>
                <w:sz w:val="14"/>
                <w:szCs w:val="14"/>
                <w:color w:val="auto"/>
              </w:rPr>
              <w:t>Total assets</w:t>
            </w: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28,499</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3,987</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(133)</w:t>
            </w:r>
          </w:p>
        </w:tc>
        <w:tc>
          <w:tcPr>
            <w:tcW w:w="7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32,353</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44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568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Liabilities:</w:t>
            </w:r>
          </w:p>
        </w:tc>
        <w:tc>
          <w:tcPr>
            <w:tcW w:w="1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80" w:type="dxa"/>
            <w:vAlign w:val="bottom"/>
            <w:gridSpan w:val="3"/>
          </w:tcPr>
          <w:p>
            <w:pPr>
              <w:ind w:left="340"/>
              <w:spacing w:after="0"/>
              <w:rPr>
                <w:sz w:val="20"/>
                <w:szCs w:val="20"/>
                <w:color w:val="auto"/>
              </w:rPr>
            </w:pPr>
            <w:r>
              <w:rPr>
                <w:rFonts w:ascii="Arial" w:cs="Arial" w:eastAsia="Arial" w:hAnsi="Arial"/>
                <w:sz w:val="14"/>
                <w:szCs w:val="14"/>
                <w:color w:val="auto"/>
              </w:rPr>
              <w:t>Unpaid losses and loss adjustment expenses and unearned premiums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18,825</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18,825</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68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Liabilities of managed investment entities</w:t>
            </w:r>
          </w:p>
        </w:tc>
        <w:tc>
          <w:tcPr>
            <w:tcW w:w="1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3,977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w:t>
            </w:r>
          </w:p>
        </w:tc>
        <w:tc>
          <w:tcPr>
            <w:tcW w:w="72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3,854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80" w:type="dxa"/>
            <w:vAlign w:val="bottom"/>
            <w:gridSpan w:val="3"/>
          </w:tcPr>
          <w:p>
            <w:pPr>
              <w:ind w:left="340"/>
              <w:spacing w:after="0"/>
              <w:rPr>
                <w:sz w:val="20"/>
                <w:szCs w:val="20"/>
                <w:color w:val="auto"/>
              </w:rPr>
            </w:pPr>
            <w:r>
              <w:rPr>
                <w:rFonts w:ascii="Arial" w:cs="Arial" w:eastAsia="Arial" w:hAnsi="Arial"/>
                <w:sz w:val="14"/>
                <w:szCs w:val="14"/>
                <w:color w:val="auto"/>
              </w:rPr>
              <w:t>Long-term debt and other liabilities</w:t>
            </w: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4,996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4,996</w:t>
            </w:r>
          </w:p>
        </w:tc>
        <w:tc>
          <w:tcPr>
            <w:tcW w:w="0" w:type="dxa"/>
            <w:vAlign w:val="bottom"/>
          </w:tcPr>
          <w:p>
            <w:pPr>
              <w:spacing w:after="0"/>
              <w:rPr>
                <w:sz w:val="1"/>
                <w:szCs w:val="1"/>
                <w:color w:val="auto"/>
              </w:rPr>
            </w:pPr>
          </w:p>
        </w:tc>
      </w:tr>
      <w:tr>
        <w:trPr>
          <w:trHeight w:val="200"/>
        </w:trPr>
        <w:tc>
          <w:tcPr>
            <w:tcW w:w="2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CCEEFF"/>
            </w:tcBorders>
            <w:shd w:val="clear" w:color="auto" w:fill="CCEEFF"/>
          </w:tcPr>
          <w:p>
            <w:pPr>
              <w:spacing w:after="0"/>
              <w:rPr>
                <w:sz w:val="17"/>
                <w:szCs w:val="17"/>
                <w:color w:val="auto"/>
              </w:rPr>
            </w:pPr>
          </w:p>
        </w:tc>
        <w:tc>
          <w:tcPr>
            <w:tcW w:w="4680" w:type="dxa"/>
            <w:vAlign w:val="bottom"/>
            <w:tcBorders>
              <w:top w:val="single" w:sz="8" w:color="CCEEFF"/>
            </w:tcBorders>
            <w:gridSpan w:val="2"/>
            <w:shd w:val="clear" w:color="auto" w:fill="CCEEFF"/>
          </w:tcPr>
          <w:p>
            <w:pPr>
              <w:ind w:left="100"/>
              <w:spacing w:after="0"/>
              <w:rPr>
                <w:sz w:val="20"/>
                <w:szCs w:val="20"/>
                <w:color w:val="auto"/>
              </w:rPr>
            </w:pPr>
            <w:r>
              <w:rPr>
                <w:rFonts w:ascii="Arial" w:cs="Arial" w:eastAsia="Arial" w:hAnsi="Arial"/>
                <w:sz w:val="14"/>
                <w:szCs w:val="14"/>
                <w:color w:val="auto"/>
              </w:rPr>
              <w:t>Total liabilities</w:t>
            </w:r>
          </w:p>
        </w:tc>
        <w:tc>
          <w:tcPr>
            <w:tcW w:w="18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23,821</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3,977</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(123)</w:t>
            </w:r>
          </w:p>
        </w:tc>
        <w:tc>
          <w:tcPr>
            <w:tcW w:w="7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68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Shareholders’ equity:</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680" w:type="dxa"/>
            <w:vAlign w:val="bottom"/>
            <w:gridSpan w:val="3"/>
          </w:tcPr>
          <w:p>
            <w:pPr>
              <w:ind w:left="340"/>
              <w:spacing w:after="0"/>
              <w:rPr>
                <w:sz w:val="20"/>
                <w:szCs w:val="20"/>
                <w:color w:val="auto"/>
              </w:rPr>
            </w:pPr>
            <w:r>
              <w:rPr>
                <w:rFonts w:ascii="Arial" w:cs="Arial" w:eastAsia="Arial" w:hAnsi="Arial"/>
                <w:sz w:val="14"/>
                <w:szCs w:val="14"/>
                <w:color w:val="auto"/>
              </w:rPr>
              <w:t>Common Stock and Capital surplus</w:t>
            </w: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1,511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w:t>
            </w: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1,511</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68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Retained earnings</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3,294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3,294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80" w:type="dxa"/>
            <w:vAlign w:val="bottom"/>
            <w:gridSpan w:val="3"/>
          </w:tcPr>
          <w:p>
            <w:pPr>
              <w:ind w:left="340"/>
              <w:spacing w:after="0"/>
              <w:rPr>
                <w:sz w:val="20"/>
                <w:szCs w:val="20"/>
                <w:color w:val="auto"/>
              </w:rPr>
            </w:pPr>
            <w:r>
              <w:rPr>
                <w:rFonts w:ascii="Arial" w:cs="Arial" w:eastAsia="Arial" w:hAnsi="Arial"/>
                <w:sz w:val="14"/>
                <w:szCs w:val="14"/>
                <w:color w:val="auto"/>
              </w:rPr>
              <w:t>Accumulated other comprehensive income (loss), net of tax</w:t>
            </w: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(127)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(127)</w:t>
            </w:r>
          </w:p>
        </w:tc>
        <w:tc>
          <w:tcPr>
            <w:tcW w:w="0" w:type="dxa"/>
            <w:vAlign w:val="bottom"/>
          </w:tcPr>
          <w:p>
            <w:pPr>
              <w:spacing w:after="0"/>
              <w:rPr>
                <w:sz w:val="1"/>
                <w:szCs w:val="1"/>
                <w:color w:val="auto"/>
              </w:rPr>
            </w:pPr>
          </w:p>
        </w:tc>
      </w:tr>
      <w:tr>
        <w:trPr>
          <w:trHeight w:val="196"/>
        </w:trPr>
        <w:tc>
          <w:tcPr>
            <w:tcW w:w="2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CCEEFF"/>
            </w:tcBorders>
            <w:shd w:val="clear" w:color="auto" w:fill="CCEEFF"/>
          </w:tcPr>
          <w:p>
            <w:pPr>
              <w:spacing w:after="0"/>
              <w:rPr>
                <w:sz w:val="17"/>
                <w:szCs w:val="17"/>
                <w:color w:val="auto"/>
              </w:rPr>
            </w:pPr>
          </w:p>
        </w:tc>
        <w:tc>
          <w:tcPr>
            <w:tcW w:w="4680" w:type="dxa"/>
            <w:vAlign w:val="bottom"/>
            <w:tcBorders>
              <w:top w:val="single" w:sz="8" w:color="CCEEFF"/>
            </w:tcBorders>
            <w:gridSpan w:val="2"/>
            <w:shd w:val="clear" w:color="auto" w:fill="CCEEFF"/>
          </w:tcPr>
          <w:p>
            <w:pPr>
              <w:ind w:left="100"/>
              <w:spacing w:after="0"/>
              <w:rPr>
                <w:sz w:val="20"/>
                <w:szCs w:val="20"/>
                <w:color w:val="auto"/>
              </w:rPr>
            </w:pPr>
            <w:r>
              <w:rPr>
                <w:rFonts w:ascii="Arial" w:cs="Arial" w:eastAsia="Arial" w:hAnsi="Arial"/>
                <w:sz w:val="14"/>
                <w:szCs w:val="14"/>
                <w:color w:val="auto"/>
              </w:rPr>
              <w:t>Total shareholders’ equity</w:t>
            </w: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4,678</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7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4,678</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680" w:type="dxa"/>
            <w:vAlign w:val="bottom"/>
            <w:gridSpan w:val="2"/>
          </w:tcPr>
          <w:p>
            <w:pPr>
              <w:ind w:left="100"/>
              <w:spacing w:after="0"/>
              <w:rPr>
                <w:sz w:val="20"/>
                <w:szCs w:val="20"/>
                <w:color w:val="auto"/>
              </w:rPr>
            </w:pPr>
            <w:r>
              <w:rPr>
                <w:rFonts w:ascii="Arial" w:cs="Arial" w:eastAsia="Arial" w:hAnsi="Arial"/>
                <w:sz w:val="14"/>
                <w:szCs w:val="14"/>
                <w:color w:val="auto"/>
              </w:rPr>
              <w:t>Total liabilities and shareholders’ equity</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28,499</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3,987</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(133)</w:t>
            </w:r>
          </w:p>
        </w:tc>
        <w:tc>
          <w:tcPr>
            <w:tcW w:w="7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32,353</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44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4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80" w:type="dxa"/>
            <w:vAlign w:val="bottom"/>
            <w:gridSpan w:val="3"/>
          </w:tcPr>
          <w:p>
            <w:pPr>
              <w:spacing w:after="0"/>
              <w:rPr>
                <w:sz w:val="20"/>
                <w:szCs w:val="20"/>
                <w:color w:val="auto"/>
              </w:rPr>
            </w:pPr>
            <w:r>
              <w:rPr>
                <w:rFonts w:ascii="Arial" w:cs="Arial" w:eastAsia="Arial" w:hAnsi="Arial"/>
                <w:sz w:val="14"/>
                <w:szCs w:val="14"/>
                <w:color w:val="auto"/>
              </w:rPr>
              <w:t>December 31, 2025</w:t>
            </w: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68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Assets:</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80" w:type="dxa"/>
            <w:vAlign w:val="bottom"/>
            <w:gridSpan w:val="3"/>
          </w:tcPr>
          <w:p>
            <w:pPr>
              <w:ind w:left="340"/>
              <w:spacing w:after="0"/>
              <w:rPr>
                <w:sz w:val="20"/>
                <w:szCs w:val="20"/>
                <w:color w:val="auto"/>
              </w:rPr>
            </w:pPr>
            <w:r>
              <w:rPr>
                <w:rFonts w:ascii="Arial" w:cs="Arial" w:eastAsia="Arial" w:hAnsi="Arial"/>
                <w:sz w:val="14"/>
                <w:szCs w:val="14"/>
                <w:color w:val="auto"/>
              </w:rPr>
              <w:t>Cash and investments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17,325</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(143)</w:t>
            </w:r>
          </w:p>
        </w:tc>
        <w:tc>
          <w:tcPr>
            <w:tcW w:w="72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17,182</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68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Assets of managed investment entities</w:t>
            </w:r>
          </w:p>
        </w:tc>
        <w:tc>
          <w:tcPr>
            <w:tcW w:w="1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4,050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4,050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80" w:type="dxa"/>
            <w:vAlign w:val="bottom"/>
            <w:gridSpan w:val="3"/>
          </w:tcPr>
          <w:p>
            <w:pPr>
              <w:ind w:left="340"/>
              <w:spacing w:after="0"/>
              <w:rPr>
                <w:sz w:val="20"/>
                <w:szCs w:val="20"/>
                <w:color w:val="auto"/>
              </w:rPr>
            </w:pPr>
            <w:r>
              <w:rPr>
                <w:rFonts w:ascii="Arial" w:cs="Arial" w:eastAsia="Arial" w:hAnsi="Arial"/>
                <w:sz w:val="14"/>
                <w:szCs w:val="14"/>
                <w:color w:val="auto"/>
              </w:rPr>
              <w:t>Other assets</w:t>
            </w: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11,410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11,410</w:t>
            </w:r>
          </w:p>
        </w:tc>
        <w:tc>
          <w:tcPr>
            <w:tcW w:w="0" w:type="dxa"/>
            <w:vAlign w:val="bottom"/>
          </w:tcPr>
          <w:p>
            <w:pPr>
              <w:spacing w:after="0"/>
              <w:rPr>
                <w:sz w:val="1"/>
                <w:szCs w:val="1"/>
                <w:color w:val="auto"/>
              </w:rPr>
            </w:pPr>
          </w:p>
        </w:tc>
      </w:tr>
      <w:tr>
        <w:trPr>
          <w:trHeight w:val="225"/>
        </w:trPr>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CCEEFF"/>
              <w:bottom w:val="single" w:sz="8" w:color="CCEEFF"/>
            </w:tcBorders>
            <w:shd w:val="clear" w:color="auto" w:fill="CCEEFF"/>
          </w:tcPr>
          <w:p>
            <w:pPr>
              <w:spacing w:after="0"/>
              <w:rPr>
                <w:sz w:val="19"/>
                <w:szCs w:val="19"/>
                <w:color w:val="auto"/>
              </w:rPr>
            </w:pPr>
          </w:p>
        </w:tc>
        <w:tc>
          <w:tcPr>
            <w:tcW w:w="4680" w:type="dxa"/>
            <w:vAlign w:val="bottom"/>
            <w:tcBorders>
              <w:top w:val="single" w:sz="8" w:color="CCEEFF"/>
              <w:bottom w:val="single" w:sz="8" w:color="CCEEFF"/>
            </w:tcBorders>
            <w:gridSpan w:val="2"/>
            <w:shd w:val="clear" w:color="auto" w:fill="CCEEFF"/>
          </w:tcPr>
          <w:p>
            <w:pPr>
              <w:ind w:left="100"/>
              <w:spacing w:after="0"/>
              <w:rPr>
                <w:sz w:val="20"/>
                <w:szCs w:val="20"/>
                <w:color w:val="auto"/>
              </w:rPr>
            </w:pPr>
            <w:r>
              <w:rPr>
                <w:rFonts w:ascii="Arial" w:cs="Arial" w:eastAsia="Arial" w:hAnsi="Arial"/>
                <w:sz w:val="14"/>
                <w:szCs w:val="14"/>
                <w:color w:val="auto"/>
              </w:rPr>
              <w:t>Total assets</w:t>
            </w: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28,735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4,050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(143)</w:t>
            </w:r>
          </w:p>
        </w:tc>
        <w:tc>
          <w:tcPr>
            <w:tcW w:w="7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32,642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568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4"/>
                <w:szCs w:val="14"/>
                <w:color w:val="auto"/>
              </w:rPr>
              <w:t>Liabilities: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20" w:type="dxa"/>
            <w:vAlign w:val="bottom"/>
            <w:vMerge w:val="continue"/>
          </w:tcPr>
          <w:p>
            <w:pPr>
              <w:spacing w:after="0"/>
              <w:rPr>
                <w:sz w:val="12"/>
                <w:szCs w:val="12"/>
                <w:color w:val="auto"/>
              </w:rPr>
            </w:pPr>
          </w:p>
        </w:tc>
        <w:tc>
          <w:tcPr>
            <w:tcW w:w="568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568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Unpaid losses and loss adjustment expenses and unearned premiums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18,830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18,830</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680" w:type="dxa"/>
            <w:vAlign w:val="bottom"/>
            <w:gridSpan w:val="3"/>
          </w:tcPr>
          <w:p>
            <w:pPr>
              <w:ind w:left="340"/>
              <w:spacing w:after="0"/>
              <w:rPr>
                <w:sz w:val="20"/>
                <w:szCs w:val="20"/>
                <w:color w:val="auto"/>
              </w:rPr>
            </w:pPr>
            <w:r>
              <w:rPr>
                <w:rFonts w:ascii="Arial" w:cs="Arial" w:eastAsia="Arial" w:hAnsi="Arial"/>
                <w:sz w:val="14"/>
                <w:szCs w:val="14"/>
                <w:color w:val="auto"/>
              </w:rPr>
              <w:t>Liabilities of managed investment entities</w:t>
            </w:r>
          </w:p>
        </w:tc>
        <w:tc>
          <w:tcPr>
            <w:tcW w:w="18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4,050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(143)</w:t>
            </w:r>
          </w:p>
        </w:tc>
        <w:tc>
          <w:tcPr>
            <w:tcW w:w="72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3,907</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568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Long-term debt and other liabilities</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5,085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5,085</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680" w:type="dxa"/>
            <w:vAlign w:val="bottom"/>
            <w:gridSpan w:val="2"/>
          </w:tcPr>
          <w:p>
            <w:pPr>
              <w:ind w:left="100"/>
              <w:spacing w:after="0"/>
              <w:rPr>
                <w:sz w:val="20"/>
                <w:szCs w:val="20"/>
                <w:color w:val="auto"/>
              </w:rPr>
            </w:pPr>
            <w:r>
              <w:rPr>
                <w:rFonts w:ascii="Arial" w:cs="Arial" w:eastAsia="Arial" w:hAnsi="Arial"/>
                <w:sz w:val="14"/>
                <w:szCs w:val="14"/>
                <w:color w:val="auto"/>
              </w:rPr>
              <w:t>Total liabilities</w:t>
            </w:r>
          </w:p>
        </w:tc>
        <w:tc>
          <w:tcPr>
            <w:tcW w:w="1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23,915</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4,050</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(143)</w:t>
            </w:r>
          </w:p>
        </w:tc>
        <w:tc>
          <w:tcPr>
            <w:tcW w:w="7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27,822</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4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80" w:type="dxa"/>
            <w:vAlign w:val="bottom"/>
            <w:gridSpan w:val="3"/>
          </w:tcPr>
          <w:p>
            <w:pPr>
              <w:spacing w:after="0"/>
              <w:rPr>
                <w:sz w:val="20"/>
                <w:szCs w:val="20"/>
                <w:color w:val="auto"/>
              </w:rPr>
            </w:pPr>
            <w:r>
              <w:rPr>
                <w:rFonts w:ascii="Arial" w:cs="Arial" w:eastAsia="Arial" w:hAnsi="Arial"/>
                <w:sz w:val="14"/>
                <w:szCs w:val="14"/>
                <w:color w:val="auto"/>
              </w:rPr>
              <w:t>Shareholders’ equity:</w:t>
            </w: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68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Common Stock and Capital surplus</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80" w:type="dxa"/>
            <w:vAlign w:val="bottom"/>
            <w:gridSpan w:val="3"/>
          </w:tcPr>
          <w:p>
            <w:pPr>
              <w:ind w:left="340"/>
              <w:spacing w:after="0"/>
              <w:rPr>
                <w:sz w:val="20"/>
                <w:szCs w:val="20"/>
                <w:color w:val="auto"/>
              </w:rPr>
            </w:pPr>
            <w:r>
              <w:rPr>
                <w:rFonts w:ascii="Arial" w:cs="Arial" w:eastAsia="Arial" w:hAnsi="Arial"/>
                <w:sz w:val="14"/>
                <w:szCs w:val="14"/>
                <w:color w:val="auto"/>
              </w:rPr>
              <w:t>Retained earnings</w:t>
            </w: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3,357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3,357</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68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Accumulated other comprehensive income (loss), net of tax</w:t>
            </w:r>
          </w:p>
        </w:tc>
        <w:tc>
          <w:tcPr>
            <w:tcW w:w="1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680" w:type="dxa"/>
            <w:vAlign w:val="bottom"/>
            <w:gridSpan w:val="2"/>
          </w:tcPr>
          <w:p>
            <w:pPr>
              <w:ind w:left="100"/>
              <w:spacing w:after="0"/>
              <w:rPr>
                <w:sz w:val="20"/>
                <w:szCs w:val="20"/>
                <w:color w:val="auto"/>
              </w:rPr>
            </w:pPr>
            <w:r>
              <w:rPr>
                <w:rFonts w:ascii="Arial" w:cs="Arial" w:eastAsia="Arial" w:hAnsi="Arial"/>
                <w:sz w:val="14"/>
                <w:szCs w:val="14"/>
                <w:color w:val="auto"/>
              </w:rPr>
              <w:t>Total shareholders’ equity</w:t>
            </w:r>
          </w:p>
        </w:tc>
        <w:tc>
          <w:tcPr>
            <w:tcW w:w="1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4,820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4,820</w:t>
            </w:r>
          </w:p>
        </w:tc>
        <w:tc>
          <w:tcPr>
            <w:tcW w:w="0" w:type="dxa"/>
            <w:vAlign w:val="bottom"/>
          </w:tcPr>
          <w:p>
            <w:pPr>
              <w:spacing w:after="0"/>
              <w:rPr>
                <w:sz w:val="1"/>
                <w:szCs w:val="1"/>
                <w:color w:val="auto"/>
              </w:rPr>
            </w:pPr>
          </w:p>
        </w:tc>
      </w:tr>
      <w:tr>
        <w:trPr>
          <w:trHeight w:val="225"/>
        </w:trPr>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CCEEFF"/>
              <w:bottom w:val="single" w:sz="8" w:color="CCEEFF"/>
            </w:tcBorders>
            <w:shd w:val="clear" w:color="auto" w:fill="CCEEFF"/>
          </w:tcPr>
          <w:p>
            <w:pPr>
              <w:spacing w:after="0"/>
              <w:rPr>
                <w:sz w:val="19"/>
                <w:szCs w:val="19"/>
                <w:color w:val="auto"/>
              </w:rPr>
            </w:pPr>
          </w:p>
        </w:tc>
        <w:tc>
          <w:tcPr>
            <w:tcW w:w="4680" w:type="dxa"/>
            <w:vAlign w:val="bottom"/>
            <w:tcBorders>
              <w:top w:val="single" w:sz="8" w:color="CCEEFF"/>
              <w:bottom w:val="single" w:sz="8" w:color="CCEEFF"/>
            </w:tcBorders>
            <w:gridSpan w:val="2"/>
            <w:shd w:val="clear" w:color="auto" w:fill="CCEEFF"/>
          </w:tcPr>
          <w:p>
            <w:pPr>
              <w:ind w:left="100"/>
              <w:spacing w:after="0"/>
              <w:rPr>
                <w:sz w:val="20"/>
                <w:szCs w:val="20"/>
                <w:color w:val="auto"/>
              </w:rPr>
            </w:pPr>
            <w:r>
              <w:rPr>
                <w:rFonts w:ascii="Arial" w:cs="Arial" w:eastAsia="Arial" w:hAnsi="Arial"/>
                <w:sz w:val="14"/>
                <w:szCs w:val="14"/>
                <w:color w:val="auto"/>
              </w:rPr>
              <w:t>Total liabilities and shareholders’ equity</w:t>
            </w: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28,735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4,050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(143)</w:t>
            </w:r>
          </w:p>
        </w:tc>
        <w:tc>
          <w:tcPr>
            <w:tcW w:w="7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32,642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4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400" w:hanging="392"/>
        <w:spacing w:after="0"/>
        <w:tabs>
          <w:tab w:leader="none" w:pos="4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Elimination of the fair value of AFG’s investment in CLOs and related accrued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8" w:name="page39"/>
    <w:bookmarkEnd w:id="38"/>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CONSOLIDATING STATEMENT OF EARNINGS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restart"/>
          </w:tcPr>
          <w:p>
            <w:pPr>
              <w:jc w:val="center"/>
              <w:ind w:right="200"/>
              <w:spacing w:after="0"/>
              <w:rPr>
                <w:sz w:val="20"/>
                <w:szCs w:val="20"/>
                <w:color w:val="auto"/>
              </w:rPr>
            </w:pPr>
            <w:r>
              <w:rPr>
                <w:rFonts w:ascii="Arial" w:cs="Arial" w:eastAsia="Arial" w:hAnsi="Arial"/>
                <w:sz w:val="14"/>
                <w:szCs w:val="14"/>
                <w:color w:val="auto"/>
              </w:rPr>
              <w:t>Before CLO</w:t>
            </w:r>
          </w:p>
        </w:tc>
        <w:tc>
          <w:tcPr>
            <w:tcW w:w="12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color w:val="auto"/>
              </w:rPr>
              <w:t>Managed</w:t>
            </w:r>
          </w:p>
        </w:tc>
        <w:tc>
          <w:tcPr>
            <w:tcW w:w="140" w:type="dxa"/>
            <w:vAlign w:val="bottom"/>
          </w:tcPr>
          <w:p>
            <w:pPr>
              <w:spacing w:after="0"/>
              <w:rPr>
                <w:sz w:val="14"/>
                <w:szCs w:val="14"/>
                <w:color w:val="auto"/>
              </w:rPr>
            </w:pPr>
          </w:p>
        </w:tc>
        <w:tc>
          <w:tcPr>
            <w:tcW w:w="740" w:type="dxa"/>
            <w:vAlign w:val="bottom"/>
            <w:vMerge w:val="restart"/>
          </w:tcPr>
          <w:p>
            <w:pPr>
              <w:jc w:val="right"/>
              <w:ind w:right="128"/>
              <w:spacing w:after="0"/>
              <w:rPr>
                <w:sz w:val="20"/>
                <w:szCs w:val="20"/>
                <w:color w:val="auto"/>
              </w:rPr>
            </w:pPr>
            <w:r>
              <w:rPr>
                <w:rFonts w:ascii="Arial" w:cs="Arial" w:eastAsia="Arial" w:hAnsi="Arial"/>
                <w:sz w:val="14"/>
                <w:szCs w:val="14"/>
                <w:color w:val="auto"/>
              </w:rPr>
              <w:t>Consol.</w:t>
            </w: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vMerge w:val="restart"/>
          </w:tcPr>
          <w:p>
            <w:pPr>
              <w:jc w:val="right"/>
              <w:ind w:right="88"/>
              <w:spacing w:after="0"/>
              <w:rPr>
                <w:sz w:val="20"/>
                <w:szCs w:val="20"/>
                <w:color w:val="auto"/>
              </w:rPr>
            </w:pPr>
            <w:r>
              <w:rPr>
                <w:rFonts w:ascii="Arial" w:cs="Arial" w:eastAsia="Arial" w:hAnsi="Arial"/>
                <w:sz w:val="14"/>
                <w:szCs w:val="14"/>
                <w:color w:val="auto"/>
              </w:rPr>
              <w:t>Consolidated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rPr>
              <w:t>Investment</w:t>
            </w:r>
          </w:p>
        </w:tc>
        <w:tc>
          <w:tcPr>
            <w:tcW w:w="14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color w:val="auto"/>
              </w:rPr>
              <w:t>Consol. (a)</w:t>
            </w:r>
          </w:p>
        </w:tc>
        <w:tc>
          <w:tcPr>
            <w:tcW w:w="120" w:type="dxa"/>
            <w:vAlign w:val="bottom"/>
          </w:tcPr>
          <w:p>
            <w:pPr>
              <w:spacing w:after="0"/>
              <w:rPr>
                <w:sz w:val="16"/>
                <w:szCs w:val="16"/>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color w:val="auto"/>
              </w:rPr>
              <w:t>Entities</w:t>
            </w:r>
          </w:p>
        </w:tc>
        <w:tc>
          <w:tcPr>
            <w:tcW w:w="140" w:type="dxa"/>
            <w:vAlign w:val="bottom"/>
          </w:tcPr>
          <w:p>
            <w:pPr>
              <w:spacing w:after="0"/>
              <w:rPr>
                <w:sz w:val="16"/>
                <w:szCs w:val="16"/>
                <w:color w:val="auto"/>
              </w:rPr>
            </w:pPr>
          </w:p>
        </w:tc>
        <w:tc>
          <w:tcPr>
            <w:tcW w:w="740" w:type="dxa"/>
            <w:vAlign w:val="bottom"/>
          </w:tcPr>
          <w:p>
            <w:pPr>
              <w:jc w:val="right"/>
              <w:ind w:right="148"/>
              <w:spacing w:after="0"/>
              <w:rPr>
                <w:sz w:val="20"/>
                <w:szCs w:val="20"/>
                <w:color w:val="auto"/>
              </w:rPr>
            </w:pPr>
            <w:r>
              <w:rPr>
                <w:rFonts w:ascii="Arial" w:cs="Arial" w:eastAsia="Arial" w:hAnsi="Arial"/>
                <w:sz w:val="14"/>
                <w:szCs w:val="14"/>
                <w:color w:val="auto"/>
              </w:rPr>
              <w:t>Entries</w:t>
            </w: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As Reported</w:t>
            </w:r>
          </w:p>
        </w:tc>
        <w:tc>
          <w:tcPr>
            <w:tcW w:w="0" w:type="dxa"/>
            <w:vAlign w:val="bottom"/>
          </w:tcPr>
          <w:p>
            <w:pPr>
              <w:spacing w:after="0"/>
              <w:rPr>
                <w:sz w:val="1"/>
                <w:szCs w:val="1"/>
                <w:color w:val="auto"/>
              </w:rPr>
            </w:pPr>
          </w:p>
        </w:tc>
      </w:tr>
      <w:tr>
        <w:trPr>
          <w:trHeight w:val="162"/>
        </w:trPr>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380" w:type="dxa"/>
            <w:vAlign w:val="bottom"/>
            <w:tcBorders>
              <w:top w:val="single" w:sz="8" w:color="CCEEFF"/>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Three months ended March 31, 2026</w:t>
            </w:r>
          </w:p>
        </w:tc>
        <w:tc>
          <w:tcPr>
            <w:tcW w:w="380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spacing w:after="0"/>
              <w:rPr>
                <w:sz w:val="14"/>
                <w:szCs w:val="14"/>
                <w:color w:val="auto"/>
              </w:rPr>
            </w:pPr>
          </w:p>
        </w:tc>
        <w:tc>
          <w:tcPr>
            <w:tcW w:w="90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spacing w:after="0"/>
              <w:rPr>
                <w:sz w:val="14"/>
                <w:szCs w:val="14"/>
                <w:color w:val="auto"/>
              </w:rPr>
            </w:pPr>
          </w:p>
        </w:tc>
        <w:tc>
          <w:tcPr>
            <w:tcW w:w="88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CCEEFF"/>
            </w:tcBorders>
            <w:shd w:val="clear" w:color="auto" w:fill="CCEEFF"/>
          </w:tcPr>
          <w:p>
            <w:pPr>
              <w:spacing w:after="0"/>
              <w:rPr>
                <w:sz w:val="14"/>
                <w:szCs w:val="14"/>
                <w:color w:val="auto"/>
              </w:rPr>
            </w:pPr>
          </w:p>
        </w:tc>
        <w:tc>
          <w:tcPr>
            <w:tcW w:w="740" w:type="dxa"/>
            <w:vAlign w:val="bottom"/>
            <w:tcBorders>
              <w:top w:val="single" w:sz="8" w:color="auto"/>
              <w:bottom w:val="single" w:sz="8" w:color="CCEEFF"/>
            </w:tcBorders>
            <w:shd w:val="clear" w:color="auto" w:fill="CCEEFF"/>
          </w:tcPr>
          <w:p>
            <w:pPr>
              <w:spacing w:after="0"/>
              <w:rPr>
                <w:sz w:val="14"/>
                <w:szCs w:val="14"/>
                <w:color w:val="auto"/>
              </w:rPr>
            </w:pPr>
          </w:p>
        </w:tc>
        <w:tc>
          <w:tcPr>
            <w:tcW w:w="76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CCEEFF"/>
            </w:tcBorders>
            <w:shd w:val="clear" w:color="auto" w:fill="CCEEFF"/>
          </w:tcPr>
          <w:p>
            <w:pPr>
              <w:spacing w:after="0"/>
              <w:rPr>
                <w:sz w:val="14"/>
                <w:szCs w:val="14"/>
                <w:color w:val="auto"/>
              </w:rPr>
            </w:pPr>
          </w:p>
        </w:tc>
        <w:tc>
          <w:tcPr>
            <w:tcW w:w="1040" w:type="dxa"/>
            <w:vAlign w:val="bottom"/>
            <w:tcBorders>
              <w:top w:val="single" w:sz="8" w:color="auto"/>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180" w:type="dxa"/>
            <w:vAlign w:val="bottom"/>
            <w:gridSpan w:val="2"/>
          </w:tcPr>
          <w:p>
            <w:pPr>
              <w:spacing w:after="0"/>
              <w:rPr>
                <w:sz w:val="20"/>
                <w:szCs w:val="20"/>
                <w:color w:val="auto"/>
              </w:rPr>
            </w:pPr>
            <w:r>
              <w:rPr>
                <w:rFonts w:ascii="Arial" w:cs="Arial" w:eastAsia="Arial" w:hAnsi="Arial"/>
                <w:sz w:val="14"/>
                <w:szCs w:val="14"/>
                <w:color w:val="auto"/>
              </w:rPr>
              <w:t>Revenues:</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Net earned premiums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1,609</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180" w:type="dxa"/>
            <w:vAlign w:val="bottom"/>
            <w:gridSpan w:val="2"/>
          </w:tcPr>
          <w:p>
            <w:pPr>
              <w:ind w:left="340"/>
              <w:spacing w:after="0"/>
              <w:rPr>
                <w:sz w:val="20"/>
                <w:szCs w:val="20"/>
                <w:color w:val="auto"/>
              </w:rPr>
            </w:pPr>
            <w:r>
              <w:rPr>
                <w:rFonts w:ascii="Arial" w:cs="Arial" w:eastAsia="Arial" w:hAnsi="Arial"/>
                <w:sz w:val="14"/>
                <w:szCs w:val="14"/>
                <w:color w:val="auto"/>
              </w:rPr>
              <w:t>Net investment income</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174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13</w:t>
            </w:r>
          </w:p>
        </w:tc>
        <w:tc>
          <w:tcPr>
            <w:tcW w:w="760" w:type="dxa"/>
            <w:vAlign w:val="bottom"/>
          </w:tcPr>
          <w:p>
            <w:pPr>
              <w:ind w:left="100"/>
              <w:spacing w:after="0"/>
              <w:rPr>
                <w:sz w:val="20"/>
                <w:szCs w:val="20"/>
                <w:color w:val="auto"/>
              </w:rPr>
            </w:pPr>
            <w:r>
              <w:rPr>
                <w:rFonts w:ascii="Arial" w:cs="Arial" w:eastAsia="Arial" w:hAnsi="Arial"/>
                <w:sz w:val="14"/>
                <w:szCs w:val="14"/>
                <w:color w:val="auto"/>
              </w:rPr>
              <w:t>(b)</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187</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Realized gains (losses) on securities</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180" w:type="dxa"/>
            <w:vAlign w:val="bottom"/>
            <w:gridSpan w:val="2"/>
          </w:tcPr>
          <w:p>
            <w:pPr>
              <w:ind w:left="340"/>
              <w:spacing w:after="0"/>
              <w:rPr>
                <w:sz w:val="20"/>
                <w:szCs w:val="20"/>
                <w:color w:val="auto"/>
              </w:rPr>
            </w:pPr>
            <w:r>
              <w:rPr>
                <w:rFonts w:ascii="Arial" w:cs="Arial" w:eastAsia="Arial" w:hAnsi="Arial"/>
                <w:sz w:val="14"/>
                <w:szCs w:val="14"/>
                <w:color w:val="auto"/>
              </w:rPr>
              <w:t>Income of managed investment entities:</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Investment income</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180" w:type="dxa"/>
            <w:vAlign w:val="bottom"/>
            <w:gridSpan w:val="2"/>
          </w:tcPr>
          <w:p>
            <w:pPr>
              <w:ind w:left="660"/>
              <w:spacing w:after="0"/>
              <w:rPr>
                <w:sz w:val="20"/>
                <w:szCs w:val="20"/>
                <w:color w:val="auto"/>
              </w:rPr>
            </w:pPr>
            <w:r>
              <w:rPr>
                <w:rFonts w:ascii="Arial" w:cs="Arial" w:eastAsia="Arial" w:hAnsi="Arial"/>
                <w:sz w:val="14"/>
                <w:szCs w:val="14"/>
                <w:color w:val="auto"/>
              </w:rPr>
              <w:t>Gain (loss) on change in fair value of assets/liabilities</w:t>
            </w:r>
          </w:p>
        </w:tc>
        <w:tc>
          <w:tcPr>
            <w:tcW w:w="12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(21)</w:t>
            </w:r>
          </w:p>
        </w:tc>
        <w:tc>
          <w:tcPr>
            <w:tcW w:w="760" w:type="dxa"/>
            <w:vAlign w:val="bottom"/>
          </w:tcPr>
          <w:p>
            <w:pPr>
              <w:ind w:left="100"/>
              <w:spacing w:after="0"/>
              <w:rPr>
                <w:sz w:val="20"/>
                <w:szCs w:val="20"/>
                <w:color w:val="auto"/>
              </w:rPr>
            </w:pPr>
            <w:r>
              <w:rPr>
                <w:rFonts w:ascii="Arial" w:cs="Arial" w:eastAsia="Arial" w:hAnsi="Arial"/>
                <w:sz w:val="14"/>
                <w:szCs w:val="14"/>
                <w:color w:val="auto"/>
              </w:rPr>
              <w:t>(b)</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Other income</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7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180" w:type="dxa"/>
            <w:vAlign w:val="bottom"/>
            <w:gridSpan w:val="2"/>
          </w:tcPr>
          <w:p>
            <w:pPr>
              <w:ind w:left="1100"/>
              <w:spacing w:after="0"/>
              <w:rPr>
                <w:sz w:val="20"/>
                <w:szCs w:val="20"/>
                <w:color w:val="auto"/>
              </w:rPr>
            </w:pPr>
            <w:r>
              <w:rPr>
                <w:rFonts w:ascii="Arial" w:cs="Arial" w:eastAsia="Arial" w:hAnsi="Arial"/>
                <w:sz w:val="14"/>
                <w:szCs w:val="14"/>
                <w:color w:val="auto"/>
              </w:rPr>
              <w:t>Total revenues</w:t>
            </w: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1,796</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68</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7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1,854</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Costs and Expenses:</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180" w:type="dxa"/>
            <w:vAlign w:val="bottom"/>
            <w:gridSpan w:val="2"/>
          </w:tcPr>
          <w:p>
            <w:pPr>
              <w:ind w:left="340"/>
              <w:spacing w:after="0"/>
              <w:rPr>
                <w:sz w:val="20"/>
                <w:szCs w:val="20"/>
                <w:color w:val="auto"/>
              </w:rPr>
            </w:pPr>
            <w:r>
              <w:rPr>
                <w:rFonts w:ascii="Arial" w:cs="Arial" w:eastAsia="Arial" w:hAnsi="Arial"/>
                <w:sz w:val="14"/>
                <w:szCs w:val="14"/>
                <w:color w:val="auto"/>
              </w:rPr>
              <w:t>Insurance benefits and expenses</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1,462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1,462</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Expenses of managed investment entities</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7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(b)(c)</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180" w:type="dxa"/>
            <w:vAlign w:val="bottom"/>
            <w:gridSpan w:val="2"/>
          </w:tcPr>
          <w:p>
            <w:pPr>
              <w:ind w:left="340"/>
              <w:spacing w:after="0"/>
              <w:rPr>
                <w:sz w:val="20"/>
                <w:szCs w:val="20"/>
                <w:color w:val="auto"/>
              </w:rPr>
            </w:pPr>
            <w:r>
              <w:rPr>
                <w:rFonts w:ascii="Arial" w:cs="Arial" w:eastAsia="Arial" w:hAnsi="Arial"/>
                <w:sz w:val="14"/>
                <w:szCs w:val="14"/>
                <w:color w:val="auto"/>
              </w:rPr>
              <w:t>Interest charges on borrowed money and other expenses</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200"/>
        </w:trPr>
        <w:tc>
          <w:tcPr>
            <w:tcW w:w="20" w:type="dxa"/>
            <w:vAlign w:val="bottom"/>
            <w:tcBorders>
              <w:top w:val="single" w:sz="8" w:color="CCEEFF"/>
            </w:tcBorders>
            <w:shd w:val="clear" w:color="auto" w:fill="CCEEFF"/>
          </w:tcPr>
          <w:p>
            <w:pPr>
              <w:spacing w:after="0"/>
              <w:rPr>
                <w:sz w:val="17"/>
                <w:szCs w:val="17"/>
                <w:color w:val="auto"/>
              </w:rPr>
            </w:pPr>
          </w:p>
        </w:tc>
        <w:tc>
          <w:tcPr>
            <w:tcW w:w="6180" w:type="dxa"/>
            <w:vAlign w:val="bottom"/>
            <w:tcBorders>
              <w:top w:val="single" w:sz="8" w:color="CCEEFF"/>
            </w:tcBorders>
            <w:gridSpan w:val="2"/>
            <w:shd w:val="clear" w:color="auto" w:fill="CCEEFF"/>
          </w:tcPr>
          <w:p>
            <w:pPr>
              <w:ind w:left="1100"/>
              <w:spacing w:after="0"/>
              <w:rPr>
                <w:sz w:val="20"/>
                <w:szCs w:val="20"/>
                <w:color w:val="auto"/>
              </w:rPr>
            </w:pPr>
            <w:r>
              <w:rPr>
                <w:rFonts w:ascii="Arial" w:cs="Arial" w:eastAsia="Arial" w:hAnsi="Arial"/>
                <w:sz w:val="14"/>
                <w:szCs w:val="14"/>
                <w:color w:val="auto"/>
              </w:rPr>
              <w:t>Total costs and expenses</w:t>
            </w: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1,557</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7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1,615</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180" w:type="dxa"/>
            <w:vAlign w:val="bottom"/>
            <w:gridSpan w:val="2"/>
          </w:tcPr>
          <w:p>
            <w:pPr>
              <w:spacing w:after="0"/>
              <w:rPr>
                <w:sz w:val="20"/>
                <w:szCs w:val="20"/>
                <w:color w:val="auto"/>
              </w:rPr>
            </w:pPr>
            <w:r>
              <w:rPr>
                <w:rFonts w:ascii="Arial" w:cs="Arial" w:eastAsia="Arial" w:hAnsi="Arial"/>
                <w:sz w:val="14"/>
                <w:szCs w:val="14"/>
                <w:color w:val="auto"/>
              </w:rPr>
              <w:t>Earnings before income taxes</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239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239</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Provision for income taxes</w:t>
            </w: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180" w:type="dxa"/>
            <w:vAlign w:val="bottom"/>
            <w:gridSpan w:val="2"/>
          </w:tcPr>
          <w:p>
            <w:pPr>
              <w:spacing w:after="0"/>
              <w:rPr>
                <w:sz w:val="20"/>
                <w:szCs w:val="20"/>
                <w:color w:val="auto"/>
              </w:rPr>
            </w:pPr>
            <w:r>
              <w:rPr>
                <w:rFonts w:ascii="Arial" w:cs="Arial" w:eastAsia="Arial" w:hAnsi="Arial"/>
                <w:sz w:val="14"/>
                <w:szCs w:val="14"/>
                <w:color w:val="auto"/>
              </w:rPr>
              <w:t>Net earnings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191</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191</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380" w:type="dxa"/>
            <w:vAlign w:val="bottom"/>
            <w:tcBorders>
              <w:bottom w:val="single" w:sz="8" w:color="CCEEFF"/>
            </w:tcBorders>
          </w:tcPr>
          <w:p>
            <w:pPr>
              <w:spacing w:after="0" w:line="20" w:lineRule="exact"/>
              <w:rPr>
                <w:sz w:val="1"/>
                <w:szCs w:val="1"/>
                <w:color w:val="auto"/>
              </w:rPr>
            </w:pPr>
          </w:p>
        </w:tc>
        <w:tc>
          <w:tcPr>
            <w:tcW w:w="38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2380" w:type="dxa"/>
            <w:vAlign w:val="bottom"/>
            <w:shd w:val="clear" w:color="auto" w:fill="CCEEFF"/>
          </w:tcPr>
          <w:p>
            <w:pPr>
              <w:spacing w:after="0"/>
              <w:rPr>
                <w:sz w:val="15"/>
                <w:szCs w:val="15"/>
                <w:color w:val="auto"/>
              </w:rPr>
            </w:pPr>
          </w:p>
        </w:tc>
        <w:tc>
          <w:tcPr>
            <w:tcW w:w="3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80" w:type="dxa"/>
            <w:vAlign w:val="bottom"/>
            <w:gridSpan w:val="2"/>
          </w:tcPr>
          <w:p>
            <w:pPr>
              <w:spacing w:after="0"/>
              <w:rPr>
                <w:sz w:val="20"/>
                <w:szCs w:val="20"/>
                <w:color w:val="auto"/>
              </w:rPr>
            </w:pPr>
            <w:r>
              <w:rPr>
                <w:rFonts w:ascii="Arial" w:cs="Arial" w:eastAsia="Arial" w:hAnsi="Arial"/>
                <w:sz w:val="14"/>
                <w:szCs w:val="14"/>
                <w:color w:val="auto"/>
              </w:rPr>
              <w:t>Three months ended March 31, 2025</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380" w:type="dxa"/>
            <w:vAlign w:val="bottom"/>
            <w:tcBorders>
              <w:top w:val="single" w:sz="8" w:color="auto"/>
            </w:tcBorders>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Revenues:</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180" w:type="dxa"/>
            <w:vAlign w:val="bottom"/>
            <w:gridSpan w:val="2"/>
          </w:tcPr>
          <w:p>
            <w:pPr>
              <w:ind w:left="340"/>
              <w:spacing w:after="0"/>
              <w:rPr>
                <w:sz w:val="20"/>
                <w:szCs w:val="20"/>
                <w:color w:val="auto"/>
              </w:rPr>
            </w:pPr>
            <w:r>
              <w:rPr>
                <w:rFonts w:ascii="Arial" w:cs="Arial" w:eastAsia="Arial" w:hAnsi="Arial"/>
                <w:sz w:val="14"/>
                <w:szCs w:val="14"/>
                <w:color w:val="auto"/>
              </w:rPr>
              <w:t>Net earned premiums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1,580</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1,580</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Net investment income</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7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(b)</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180" w:type="dxa"/>
            <w:vAlign w:val="bottom"/>
            <w:gridSpan w:val="2"/>
          </w:tcPr>
          <w:p>
            <w:pPr>
              <w:ind w:left="340"/>
              <w:spacing w:after="0"/>
              <w:rPr>
                <w:sz w:val="20"/>
                <w:szCs w:val="20"/>
                <w:color w:val="auto"/>
              </w:rPr>
            </w:pPr>
            <w:r>
              <w:rPr>
                <w:rFonts w:ascii="Arial" w:cs="Arial" w:eastAsia="Arial" w:hAnsi="Arial"/>
                <w:sz w:val="14"/>
                <w:szCs w:val="14"/>
                <w:color w:val="auto"/>
              </w:rPr>
              <w:t>Realized gains (losses) on securities</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Income of managed investment entities:</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180" w:type="dxa"/>
            <w:vAlign w:val="bottom"/>
            <w:gridSpan w:val="2"/>
          </w:tcPr>
          <w:p>
            <w:pPr>
              <w:ind w:left="660"/>
              <w:spacing w:after="0"/>
              <w:rPr>
                <w:sz w:val="20"/>
                <w:szCs w:val="20"/>
                <w:color w:val="auto"/>
              </w:rPr>
            </w:pPr>
            <w:r>
              <w:rPr>
                <w:rFonts w:ascii="Arial" w:cs="Arial" w:eastAsia="Arial" w:hAnsi="Arial"/>
                <w:sz w:val="14"/>
                <w:szCs w:val="14"/>
                <w:color w:val="auto"/>
              </w:rPr>
              <w:t>Investment income</w:t>
            </w:r>
          </w:p>
        </w:tc>
        <w:tc>
          <w:tcPr>
            <w:tcW w:w="12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Gain (loss) on change in fair value of assets/liabilities</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7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(b)</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180" w:type="dxa"/>
            <w:vAlign w:val="bottom"/>
            <w:gridSpan w:val="2"/>
          </w:tcPr>
          <w:p>
            <w:pPr>
              <w:ind w:left="340"/>
              <w:spacing w:after="0"/>
              <w:rPr>
                <w:sz w:val="20"/>
                <w:szCs w:val="20"/>
                <w:color w:val="auto"/>
              </w:rPr>
            </w:pPr>
            <w:r>
              <w:rPr>
                <w:rFonts w:ascii="Arial" w:cs="Arial" w:eastAsia="Arial" w:hAnsi="Arial"/>
                <w:sz w:val="14"/>
                <w:szCs w:val="14"/>
                <w:color w:val="auto"/>
              </w:rPr>
              <w:t>Other income</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w:t>
            </w:r>
          </w:p>
        </w:tc>
        <w:tc>
          <w:tcPr>
            <w:tcW w:w="760" w:type="dxa"/>
            <w:vAlign w:val="bottom"/>
          </w:tcPr>
          <w:p>
            <w:pPr>
              <w:ind w:left="100"/>
              <w:spacing w:after="0"/>
              <w:rPr>
                <w:sz w:val="20"/>
                <w:szCs w:val="20"/>
                <w:color w:val="auto"/>
              </w:rPr>
            </w:pPr>
            <w:r>
              <w:rPr>
                <w:rFonts w:ascii="Arial" w:cs="Arial" w:eastAsia="Arial" w:hAnsi="Arial"/>
                <w:sz w:val="14"/>
                <w:szCs w:val="14"/>
                <w:color w:val="auto"/>
              </w:rPr>
              <w:t>(c)</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200"/>
        </w:trPr>
        <w:tc>
          <w:tcPr>
            <w:tcW w:w="20" w:type="dxa"/>
            <w:vAlign w:val="bottom"/>
            <w:tcBorders>
              <w:top w:val="single" w:sz="8" w:color="CCEEFF"/>
            </w:tcBorders>
            <w:shd w:val="clear" w:color="auto" w:fill="CCEEFF"/>
          </w:tcPr>
          <w:p>
            <w:pPr>
              <w:spacing w:after="0"/>
              <w:rPr>
                <w:sz w:val="17"/>
                <w:szCs w:val="17"/>
                <w:color w:val="auto"/>
              </w:rPr>
            </w:pPr>
          </w:p>
        </w:tc>
        <w:tc>
          <w:tcPr>
            <w:tcW w:w="6180" w:type="dxa"/>
            <w:vAlign w:val="bottom"/>
            <w:tcBorders>
              <w:top w:val="single" w:sz="8" w:color="CCEEFF"/>
            </w:tcBorders>
            <w:gridSpan w:val="2"/>
            <w:shd w:val="clear" w:color="auto" w:fill="CCEEFF"/>
          </w:tcPr>
          <w:p>
            <w:pPr>
              <w:ind w:left="1100"/>
              <w:spacing w:after="0"/>
              <w:rPr>
                <w:sz w:val="20"/>
                <w:szCs w:val="20"/>
                <w:color w:val="auto"/>
              </w:rPr>
            </w:pPr>
            <w:r>
              <w:rPr>
                <w:rFonts w:ascii="Arial" w:cs="Arial" w:eastAsia="Arial" w:hAnsi="Arial"/>
                <w:sz w:val="14"/>
                <w:szCs w:val="14"/>
                <w:color w:val="auto"/>
              </w:rPr>
              <w:t>Total revenues</w:t>
            </w: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1,788</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7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1,856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180" w:type="dxa"/>
            <w:vAlign w:val="bottom"/>
            <w:gridSpan w:val="2"/>
          </w:tcPr>
          <w:p>
            <w:pPr>
              <w:spacing w:after="0"/>
              <w:rPr>
                <w:sz w:val="20"/>
                <w:szCs w:val="20"/>
                <w:color w:val="auto"/>
              </w:rPr>
            </w:pPr>
            <w:r>
              <w:rPr>
                <w:rFonts w:ascii="Arial" w:cs="Arial" w:eastAsia="Arial" w:hAnsi="Arial"/>
                <w:sz w:val="14"/>
                <w:szCs w:val="14"/>
                <w:color w:val="auto"/>
              </w:rPr>
              <w:t>Costs and Expenses:</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Insurance benefits and expenses</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180" w:type="dxa"/>
            <w:vAlign w:val="bottom"/>
            <w:gridSpan w:val="2"/>
          </w:tcPr>
          <w:p>
            <w:pPr>
              <w:ind w:left="340"/>
              <w:spacing w:after="0"/>
              <w:rPr>
                <w:sz w:val="20"/>
                <w:szCs w:val="20"/>
                <w:color w:val="auto"/>
              </w:rPr>
            </w:pPr>
            <w:r>
              <w:rPr>
                <w:rFonts w:ascii="Arial" w:cs="Arial" w:eastAsia="Arial" w:hAnsi="Arial"/>
                <w:sz w:val="14"/>
                <w:szCs w:val="14"/>
                <w:color w:val="auto"/>
              </w:rPr>
              <w:t>Expenses of managed investment entities</w:t>
            </w:r>
          </w:p>
        </w:tc>
        <w:tc>
          <w:tcPr>
            <w:tcW w:w="12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w:t>
            </w:r>
          </w:p>
        </w:tc>
        <w:tc>
          <w:tcPr>
            <w:tcW w:w="760" w:type="dxa"/>
            <w:vAlign w:val="bottom"/>
          </w:tcPr>
          <w:p>
            <w:pPr>
              <w:ind w:left="100"/>
              <w:spacing w:after="0"/>
              <w:rPr>
                <w:sz w:val="20"/>
                <w:szCs w:val="20"/>
                <w:color w:val="auto"/>
              </w:rPr>
            </w:pPr>
            <w:r>
              <w:rPr>
                <w:rFonts w:ascii="Arial" w:cs="Arial" w:eastAsia="Arial" w:hAnsi="Arial"/>
                <w:sz w:val="14"/>
                <w:szCs w:val="14"/>
                <w:color w:val="auto"/>
              </w:rPr>
              <w:t>(b)(c)</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Interest charges on borrowed money and other expenses</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192"/>
        </w:trPr>
        <w:tc>
          <w:tcPr>
            <w:tcW w:w="20" w:type="dxa"/>
            <w:vAlign w:val="bottom"/>
            <w:tcBorders>
              <w:bottom w:val="single" w:sz="8" w:color="CCEEFF"/>
            </w:tcBorders>
          </w:tcPr>
          <w:p>
            <w:pPr>
              <w:spacing w:after="0"/>
              <w:rPr>
                <w:sz w:val="16"/>
                <w:szCs w:val="16"/>
                <w:color w:val="auto"/>
              </w:rPr>
            </w:pPr>
          </w:p>
        </w:tc>
        <w:tc>
          <w:tcPr>
            <w:tcW w:w="6180" w:type="dxa"/>
            <w:vAlign w:val="bottom"/>
            <w:tcBorders>
              <w:bottom w:val="single" w:sz="8" w:color="CCEEFF"/>
            </w:tcBorders>
            <w:gridSpan w:val="2"/>
          </w:tcPr>
          <w:p>
            <w:pPr>
              <w:ind w:left="1100"/>
              <w:spacing w:after="0"/>
              <w:rPr>
                <w:sz w:val="20"/>
                <w:szCs w:val="20"/>
                <w:color w:val="auto"/>
              </w:rPr>
            </w:pPr>
            <w:r>
              <w:rPr>
                <w:rFonts w:ascii="Arial" w:cs="Arial" w:eastAsia="Arial" w:hAnsi="Arial"/>
                <w:sz w:val="14"/>
                <w:szCs w:val="14"/>
                <w:color w:val="auto"/>
              </w:rPr>
              <w:t>Total costs and expenses</w:t>
            </w:r>
          </w:p>
        </w:tc>
        <w:tc>
          <w:tcPr>
            <w:tcW w:w="12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1,591</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79</w:t>
            </w:r>
          </w:p>
        </w:tc>
        <w:tc>
          <w:tcPr>
            <w:tcW w:w="1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76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1,659</w:t>
            </w:r>
          </w:p>
        </w:tc>
        <w:tc>
          <w:tcPr>
            <w:tcW w:w="0" w:type="dxa"/>
            <w:vAlign w:val="bottom"/>
          </w:tcPr>
          <w:p>
            <w:pPr>
              <w:spacing w:after="0"/>
              <w:rPr>
                <w:sz w:val="1"/>
                <w:szCs w:val="1"/>
                <w:color w:val="auto"/>
              </w:rPr>
            </w:pPr>
          </w:p>
        </w:tc>
      </w:tr>
      <w:tr>
        <w:trPr>
          <w:trHeight w:val="200"/>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Earnings before income taxes</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180" w:type="dxa"/>
            <w:vAlign w:val="bottom"/>
            <w:gridSpan w:val="2"/>
          </w:tcPr>
          <w:p>
            <w:pPr>
              <w:spacing w:after="0"/>
              <w:rPr>
                <w:sz w:val="20"/>
                <w:szCs w:val="20"/>
                <w:color w:val="auto"/>
              </w:rPr>
            </w:pPr>
            <w:r>
              <w:rPr>
                <w:rFonts w:ascii="Arial" w:cs="Arial" w:eastAsia="Arial" w:hAnsi="Arial"/>
                <w:sz w:val="14"/>
                <w:szCs w:val="14"/>
                <w:color w:val="auto"/>
              </w:rPr>
              <w:t>Provision for income taxes</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225"/>
        </w:trPr>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61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Net earnings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7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CCEEFF"/>
            </w:tcBorders>
          </w:tcPr>
          <w:p>
            <w:pPr>
              <w:spacing w:after="0" w:line="20" w:lineRule="exact"/>
              <w:rPr>
                <w:sz w:val="1"/>
                <w:szCs w:val="1"/>
                <w:color w:val="auto"/>
              </w:rPr>
            </w:pPr>
          </w:p>
        </w:tc>
        <w:tc>
          <w:tcPr>
            <w:tcW w:w="3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ind w:left="420" w:right="280" w:hanging="412"/>
        <w:spacing w:after="0" w:line="261" w:lineRule="auto"/>
        <w:tabs>
          <w:tab w:leader="none" w:pos="407" w:val="left"/>
        </w:tabs>
        <w:numPr>
          <w:ilvl w:val="0"/>
          <w:numId w:val="30"/>
        </w:numPr>
        <w:rPr>
          <w:rFonts w:ascii="Arial" w:cs="Arial" w:eastAsia="Arial" w:hAnsi="Arial"/>
          <w:sz w:val="14"/>
          <w:szCs w:val="14"/>
          <w:color w:val="auto"/>
        </w:rPr>
      </w:pPr>
      <w:r>
        <w:rPr>
          <w:rFonts w:ascii="Arial" w:cs="Arial" w:eastAsia="Arial" w:hAnsi="Arial"/>
          <w:sz w:val="14"/>
          <w:szCs w:val="14"/>
          <w:color w:val="auto"/>
        </w:rPr>
        <w:t>Includes a loss of $13 million in the first three months of 2026 and income of $2 million in the first three months of 2025, representing the change in fair value of AFG’s CLO investments and $2 million and $3 million of income in the first three months of 2026 and 2025, respectively, in CLO management fees earned.</w:t>
      </w:r>
    </w:p>
    <w:p>
      <w:pPr>
        <w:spacing w:after="0" w:line="1" w:lineRule="exact"/>
        <w:rPr>
          <w:rFonts w:ascii="Arial" w:cs="Arial" w:eastAsia="Arial" w:hAnsi="Arial"/>
          <w:sz w:val="14"/>
          <w:szCs w:val="14"/>
          <w:color w:val="auto"/>
        </w:rPr>
      </w:pPr>
    </w:p>
    <w:p>
      <w:pPr>
        <w:ind w:left="420" w:right="120" w:hanging="412"/>
        <w:spacing w:after="0" w:line="261" w:lineRule="auto"/>
        <w:tabs>
          <w:tab w:leader="none" w:pos="407" w:val="left"/>
        </w:tabs>
        <w:numPr>
          <w:ilvl w:val="0"/>
          <w:numId w:val="30"/>
        </w:numPr>
        <w:rPr>
          <w:rFonts w:ascii="Arial" w:cs="Arial" w:eastAsia="Arial" w:hAnsi="Arial"/>
          <w:sz w:val="14"/>
          <w:szCs w:val="14"/>
          <w:color w:val="auto"/>
        </w:rPr>
      </w:pPr>
      <w:r>
        <w:rPr>
          <w:rFonts w:ascii="Arial" w:cs="Arial" w:eastAsia="Arial" w:hAnsi="Arial"/>
          <w:sz w:val="14"/>
          <w:szCs w:val="14"/>
          <w:color w:val="auto"/>
        </w:rPr>
        <w:t>Elimination of the change in fair value of AFG’s investments in the CLOs, including $8 million in both the first three months of 2026 and 2025, in distributions recorded as interest expense by the CLOs.</w:t>
      </w:r>
    </w:p>
    <w:p>
      <w:pPr>
        <w:ind w:left="400" w:hanging="392"/>
        <w:spacing w:after="0"/>
        <w:tabs>
          <w:tab w:leader="none" w:pos="400" w:val="left"/>
        </w:tabs>
        <w:numPr>
          <w:ilvl w:val="0"/>
          <w:numId w:val="30"/>
        </w:numPr>
        <w:rPr>
          <w:rFonts w:ascii="Arial" w:cs="Arial" w:eastAsia="Arial" w:hAnsi="Arial"/>
          <w:sz w:val="14"/>
          <w:szCs w:val="14"/>
          <w:color w:val="auto"/>
        </w:rPr>
      </w:pPr>
      <w:r>
        <w:rPr>
          <w:rFonts w:ascii="Arial" w:cs="Arial" w:eastAsia="Arial" w:hAnsi="Arial"/>
          <w:sz w:val="14"/>
          <w:szCs w:val="14"/>
          <w:color w:val="auto"/>
        </w:rPr>
        <w:t>Elimination of management fees earned by AFG.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39" w:name="page40"/>
    <w:bookmarkEnd w:id="39"/>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9"/>
          <w:szCs w:val="29"/>
          <w:b w:val="1"/>
          <w:bCs w:val="1"/>
          <w:color w:val="003366"/>
        </w:rPr>
        <w:t>RESULTS OF OPERATIONS</w:t>
      </w:r>
    </w:p>
    <w:p>
      <w:pPr>
        <w:spacing w:after="0" w:line="270" w:lineRule="exact"/>
        <w:rPr>
          <w:sz w:val="20"/>
          <w:szCs w:val="20"/>
          <w:color w:val="auto"/>
        </w:rPr>
      </w:pPr>
    </w:p>
    <w:p>
      <w:pPr>
        <w:spacing w:after="0"/>
        <w:rPr>
          <w:sz w:val="20"/>
          <w:szCs w:val="20"/>
          <w:color w:val="auto"/>
        </w:rPr>
      </w:pPr>
      <w:r>
        <w:rPr>
          <w:rFonts w:ascii="Arial" w:cs="Arial" w:eastAsia="Arial" w:hAnsi="Arial"/>
          <w:sz w:val="25"/>
          <w:szCs w:val="25"/>
          <w:b w:val="1"/>
          <w:bCs w:val="1"/>
          <w:color w:val="003366"/>
        </w:rPr>
        <w:t>General</w:t>
      </w:r>
    </w:p>
    <w:p>
      <w:pPr>
        <w:spacing w:after="0" w:line="28" w:lineRule="exact"/>
        <w:rPr>
          <w:sz w:val="20"/>
          <w:szCs w:val="20"/>
          <w:color w:val="auto"/>
        </w:rPr>
      </w:pPr>
    </w:p>
    <w:p>
      <w:pPr>
        <w:ind w:right="180"/>
        <w:spacing w:after="0" w:line="259" w:lineRule="auto"/>
        <w:rPr>
          <w:sz w:val="20"/>
          <w:szCs w:val="20"/>
          <w:color w:val="auto"/>
        </w:rPr>
      </w:pPr>
      <w:r>
        <w:rPr>
          <w:rFonts w:ascii="Arial" w:cs="Arial" w:eastAsia="Arial" w:hAnsi="Arial"/>
          <w:sz w:val="17"/>
          <w:szCs w:val="17"/>
          <w:color w:val="auto"/>
        </w:rPr>
        <w:t>AFG’s net earnings, determined in accordance with GAAP, include certain items that may not be indicative of its ongoing core operations. Core net operating earnings excludes realized gains (losses) on securities because such gains and losses are influenced significantly by financial markets, interest rates and the timing of sales. In addition, special charges related to coverage that AFG no longer writes, such as asbestos and environmental exposures, are excluded from core earnings.</w:t>
      </w:r>
    </w:p>
    <w:p>
      <w:pPr>
        <w:spacing w:after="0" w:line="207" w:lineRule="exact"/>
        <w:rPr>
          <w:sz w:val="20"/>
          <w:szCs w:val="20"/>
          <w:color w:val="auto"/>
        </w:rPr>
      </w:pPr>
    </w:p>
    <w:p>
      <w:pPr>
        <w:ind w:right="280"/>
        <w:spacing w:after="0" w:line="260" w:lineRule="auto"/>
        <w:rPr>
          <w:sz w:val="20"/>
          <w:szCs w:val="20"/>
          <w:color w:val="auto"/>
        </w:rPr>
      </w:pPr>
      <w:r>
        <w:rPr>
          <w:rFonts w:ascii="Arial" w:cs="Arial" w:eastAsia="Arial" w:hAnsi="Arial"/>
          <w:sz w:val="17"/>
          <w:szCs w:val="17"/>
          <w:color w:val="auto"/>
        </w:rPr>
        <w:t>The following table (in millions, except per share amounts) identifies non-core items and reconciles net earnings to core net operating earnings, a non-GAAP financial measure. AFG believes core net operating earnings is a useful tool for investors and analysts in analyzing ongoing operating trends and for management to evaluate financial performance against historical results because it believes this provides a more comparable measure of its continuing business.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220" w:type="dxa"/>
            <w:vAlign w:val="bottom"/>
          </w:tcPr>
          <w:p>
            <w:pPr>
              <w:spacing w:after="0"/>
              <w:rPr>
                <w:sz w:val="16"/>
                <w:szCs w:val="16"/>
                <w:color w:val="auto"/>
              </w:rPr>
            </w:pPr>
          </w:p>
        </w:tc>
        <w:tc>
          <w:tcPr>
            <w:tcW w:w="25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Three months ended March 31,</w:t>
            </w:r>
          </w:p>
        </w:tc>
        <w:tc>
          <w:tcPr>
            <w:tcW w:w="440" w:type="dxa"/>
            <w:vAlign w:val="bottom"/>
            <w:tcBorders>
              <w:bottom w:val="single" w:sz="8" w:color="auto"/>
            </w:tcBorders>
          </w:tcPr>
          <w:p>
            <w:pPr>
              <w:spacing w:after="0"/>
              <w:rPr>
                <w:sz w:val="16"/>
                <w:szCs w:val="16"/>
                <w:color w:val="auto"/>
              </w:rPr>
            </w:pPr>
          </w:p>
        </w:tc>
      </w:tr>
      <w:tr>
        <w:trPr>
          <w:trHeight w:val="196"/>
        </w:trPr>
        <w:tc>
          <w:tcPr>
            <w:tcW w:w="822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2026</w:t>
            </w:r>
          </w:p>
        </w:tc>
        <w:tc>
          <w:tcPr>
            <w:tcW w:w="5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color w:val="auto"/>
              </w:rPr>
              <w:t>2025</w:t>
            </w:r>
          </w:p>
        </w:tc>
        <w:tc>
          <w:tcPr>
            <w:tcW w:w="440" w:type="dxa"/>
            <w:vAlign w:val="bottom"/>
            <w:tcBorders>
              <w:bottom w:val="single" w:sz="8" w:color="auto"/>
            </w:tcBorders>
          </w:tcPr>
          <w:p>
            <w:pPr>
              <w:spacing w:after="0"/>
              <w:rPr>
                <w:sz w:val="17"/>
                <w:szCs w:val="17"/>
                <w:color w:val="auto"/>
              </w:rPr>
            </w:pPr>
          </w:p>
        </w:tc>
      </w:tr>
      <w:tr>
        <w:trPr>
          <w:trHeight w:val="200"/>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Components of net earnings:</w:t>
            </w:r>
          </w:p>
        </w:tc>
        <w:tc>
          <w:tcPr>
            <w:tcW w:w="9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r>
      <w:tr>
        <w:trPr>
          <w:trHeight w:val="215"/>
        </w:trPr>
        <w:tc>
          <w:tcPr>
            <w:tcW w:w="8220" w:type="dxa"/>
            <w:vAlign w:val="bottom"/>
          </w:tcPr>
          <w:p>
            <w:pPr>
              <w:ind w:left="260"/>
              <w:spacing w:after="0"/>
              <w:rPr>
                <w:sz w:val="20"/>
                <w:szCs w:val="20"/>
                <w:color w:val="auto"/>
              </w:rPr>
            </w:pPr>
            <w:r>
              <w:rPr>
                <w:rFonts w:ascii="Arial" w:cs="Arial" w:eastAsia="Arial" w:hAnsi="Arial"/>
                <w:sz w:val="16"/>
                <w:szCs w:val="16"/>
                <w:color w:val="auto"/>
              </w:rPr>
              <w:t>Core operating earnings before income taxes</w:t>
            </w:r>
          </w:p>
        </w:tc>
        <w:tc>
          <w:tcPr>
            <w:tcW w:w="960" w:type="dxa"/>
            <w:vAlign w:val="bottom"/>
          </w:tcPr>
          <w:p>
            <w:pPr>
              <w:jc w:val="right"/>
              <w:ind w:right="761"/>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257</w:t>
            </w:r>
          </w:p>
        </w:tc>
        <w:tc>
          <w:tcPr>
            <w:tcW w:w="100" w:type="dxa"/>
            <w:vAlign w:val="bottom"/>
          </w:tcPr>
          <w:p>
            <w:pPr>
              <w:spacing w:after="0"/>
              <w:rPr>
                <w:sz w:val="18"/>
                <w:szCs w:val="18"/>
                <w:color w:val="auto"/>
              </w:rPr>
            </w:pPr>
          </w:p>
        </w:tc>
        <w:tc>
          <w:tcPr>
            <w:tcW w:w="1020" w:type="dxa"/>
            <w:vAlign w:val="bottom"/>
          </w:tcPr>
          <w:p>
            <w:pPr>
              <w:jc w:val="right"/>
              <w:ind w:right="820"/>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194</w:t>
            </w:r>
          </w:p>
        </w:tc>
      </w:tr>
      <w:tr>
        <w:trPr>
          <w:trHeight w:val="217"/>
        </w:trPr>
        <w:tc>
          <w:tcPr>
            <w:tcW w:w="82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Pretax non-core item:</w:t>
            </w: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r>
      <w:tr>
        <w:trPr>
          <w:trHeight w:val="215"/>
        </w:trPr>
        <w:tc>
          <w:tcPr>
            <w:tcW w:w="822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Realized gains (losses) on securities</w:t>
            </w:r>
          </w:p>
        </w:tc>
        <w:tc>
          <w:tcPr>
            <w:tcW w:w="9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r>
      <w:tr>
        <w:trPr>
          <w:trHeight w:val="210"/>
        </w:trPr>
        <w:tc>
          <w:tcPr>
            <w:tcW w:w="82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Earnings before income taxes</w:t>
            </w: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w:t>
            </w:r>
          </w:p>
        </w:tc>
      </w:tr>
      <w:tr>
        <w:trPr>
          <w:trHeight w:val="215"/>
        </w:trPr>
        <w:tc>
          <w:tcPr>
            <w:tcW w:w="8220" w:type="dxa"/>
            <w:vAlign w:val="bottom"/>
          </w:tcPr>
          <w:p>
            <w:pPr>
              <w:ind w:left="260"/>
              <w:spacing w:after="0"/>
              <w:rPr>
                <w:sz w:val="20"/>
                <w:szCs w:val="20"/>
                <w:color w:val="auto"/>
              </w:rPr>
            </w:pPr>
            <w:r>
              <w:rPr>
                <w:rFonts w:ascii="Arial" w:cs="Arial" w:eastAsia="Arial" w:hAnsi="Arial"/>
                <w:sz w:val="16"/>
                <w:szCs w:val="16"/>
                <w:color w:val="auto"/>
              </w:rPr>
              <w:t>Provision for income taxes:</w:t>
            </w: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7"/>
        </w:trPr>
        <w:tc>
          <w:tcPr>
            <w:tcW w:w="8220" w:type="dxa"/>
            <w:vAlign w:val="bottom"/>
            <w:shd w:val="clear" w:color="auto" w:fill="CCEEFF"/>
          </w:tcPr>
          <w:p>
            <w:pPr>
              <w:ind w:left="440"/>
              <w:spacing w:after="0"/>
              <w:rPr>
                <w:sz w:val="20"/>
                <w:szCs w:val="20"/>
                <w:color w:val="auto"/>
              </w:rPr>
            </w:pPr>
            <w:r>
              <w:rPr>
                <w:rFonts w:ascii="Arial" w:cs="Arial" w:eastAsia="Arial" w:hAnsi="Arial"/>
                <w:sz w:val="16"/>
                <w:szCs w:val="16"/>
                <w:color w:val="auto"/>
              </w:rPr>
              <w:t>Core operating earnings</w:t>
            </w: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r>
      <w:tr>
        <w:trPr>
          <w:trHeight w:val="215"/>
        </w:trPr>
        <w:tc>
          <w:tcPr>
            <w:tcW w:w="8220" w:type="dxa"/>
            <w:vAlign w:val="bottom"/>
          </w:tcPr>
          <w:p>
            <w:pPr>
              <w:ind w:left="440"/>
              <w:spacing w:after="0"/>
              <w:rPr>
                <w:sz w:val="20"/>
                <w:szCs w:val="20"/>
                <w:color w:val="auto"/>
              </w:rPr>
            </w:pPr>
            <w:r>
              <w:rPr>
                <w:rFonts w:ascii="Arial" w:cs="Arial" w:eastAsia="Arial" w:hAnsi="Arial"/>
                <w:sz w:val="16"/>
                <w:szCs w:val="16"/>
                <w:color w:val="auto"/>
              </w:rPr>
              <w:t>Non-core item:</w:t>
            </w: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7"/>
        </w:trPr>
        <w:tc>
          <w:tcPr>
            <w:tcW w:w="82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Realized gains (losses) on securities</w:t>
            </w:r>
          </w:p>
        </w:tc>
        <w:tc>
          <w:tcPr>
            <w:tcW w:w="9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09"/>
        </w:trPr>
        <w:tc>
          <w:tcPr>
            <w:tcW w:w="8220" w:type="dxa"/>
            <w:vAlign w:val="bottom"/>
            <w:tcBorders>
              <w:bottom w:val="single" w:sz="8" w:color="CCEEFF"/>
            </w:tcBorders>
          </w:tcPr>
          <w:p>
            <w:pPr>
              <w:ind w:left="840"/>
              <w:spacing w:after="0"/>
              <w:rPr>
                <w:sz w:val="20"/>
                <w:szCs w:val="20"/>
                <w:color w:val="auto"/>
              </w:rPr>
            </w:pPr>
            <w:r>
              <w:rPr>
                <w:rFonts w:ascii="Arial" w:cs="Arial" w:eastAsia="Arial" w:hAnsi="Arial"/>
                <w:sz w:val="16"/>
                <w:szCs w:val="16"/>
                <w:color w:val="auto"/>
              </w:rPr>
              <w:t>Total provision for income taxes</w:t>
            </w:r>
          </w:p>
        </w:tc>
        <w:tc>
          <w:tcPr>
            <w:tcW w:w="9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w:t>
            </w: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w:t>
            </w:r>
          </w:p>
        </w:tc>
      </w:tr>
      <w:tr>
        <w:trPr>
          <w:trHeight w:val="235"/>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earnings</w:t>
            </w:r>
          </w:p>
        </w:tc>
        <w:tc>
          <w:tcPr>
            <w:tcW w:w="960" w:type="dxa"/>
            <w:vAlign w:val="bottom"/>
            <w:tcBorders>
              <w:bottom w:val="single" w:sz="8" w:color="auto"/>
            </w:tcBorders>
            <w:shd w:val="clear" w:color="auto" w:fill="CCEEFF"/>
          </w:tcPr>
          <w:p>
            <w:pPr>
              <w:jc w:val="right"/>
              <w:ind w:right="761"/>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8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216"/>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earnings:</w:t>
            </w: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r>
      <w:tr>
        <w:trPr>
          <w:trHeight w:val="215"/>
        </w:trPr>
        <w:tc>
          <w:tcPr>
            <w:tcW w:w="8220" w:type="dxa"/>
            <w:vAlign w:val="bottom"/>
          </w:tcPr>
          <w:p>
            <w:pPr>
              <w:ind w:left="260"/>
              <w:spacing w:after="0"/>
              <w:rPr>
                <w:sz w:val="20"/>
                <w:szCs w:val="20"/>
                <w:color w:val="auto"/>
              </w:rPr>
            </w:pPr>
            <w:r>
              <w:rPr>
                <w:rFonts w:ascii="Arial" w:cs="Arial" w:eastAsia="Arial" w:hAnsi="Arial"/>
                <w:sz w:val="16"/>
                <w:szCs w:val="16"/>
                <w:color w:val="auto"/>
              </w:rPr>
              <w:t>Core net operating earnings</w:t>
            </w:r>
          </w:p>
        </w:tc>
        <w:tc>
          <w:tcPr>
            <w:tcW w:w="960" w:type="dxa"/>
            <w:vAlign w:val="bottom"/>
          </w:tcPr>
          <w:p>
            <w:pPr>
              <w:jc w:val="right"/>
              <w:ind w:right="761"/>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206</w:t>
            </w:r>
          </w:p>
        </w:tc>
        <w:tc>
          <w:tcPr>
            <w:tcW w:w="100" w:type="dxa"/>
            <w:vAlign w:val="bottom"/>
          </w:tcPr>
          <w:p>
            <w:pPr>
              <w:spacing w:after="0"/>
              <w:rPr>
                <w:sz w:val="18"/>
                <w:szCs w:val="18"/>
                <w:color w:val="auto"/>
              </w:rPr>
            </w:pPr>
          </w:p>
        </w:tc>
        <w:tc>
          <w:tcPr>
            <w:tcW w:w="1020" w:type="dxa"/>
            <w:vAlign w:val="bottom"/>
          </w:tcPr>
          <w:p>
            <w:pPr>
              <w:jc w:val="right"/>
              <w:ind w:right="820"/>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152</w:t>
            </w:r>
          </w:p>
        </w:tc>
      </w:tr>
      <w:tr>
        <w:trPr>
          <w:trHeight w:val="216"/>
        </w:trPr>
        <w:tc>
          <w:tcPr>
            <w:tcW w:w="82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Realized gains (losses) on securities</w:t>
            </w:r>
          </w:p>
        </w:tc>
        <w:tc>
          <w:tcPr>
            <w:tcW w:w="9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10"/>
        </w:trPr>
        <w:tc>
          <w:tcPr>
            <w:tcW w:w="8220" w:type="dxa"/>
            <w:vAlign w:val="bottom"/>
          </w:tcPr>
          <w:p>
            <w:pPr>
              <w:ind w:left="20"/>
              <w:spacing w:after="0"/>
              <w:rPr>
                <w:sz w:val="20"/>
                <w:szCs w:val="20"/>
                <w:color w:val="auto"/>
              </w:rPr>
            </w:pPr>
            <w:r>
              <w:rPr>
                <w:rFonts w:ascii="Arial" w:cs="Arial" w:eastAsia="Arial" w:hAnsi="Arial"/>
                <w:sz w:val="16"/>
                <w:szCs w:val="16"/>
                <w:b w:val="1"/>
                <w:bCs w:val="1"/>
                <w:color w:val="auto"/>
              </w:rPr>
              <w:t>Net earnings</w:t>
            </w:r>
          </w:p>
        </w:tc>
        <w:tc>
          <w:tcPr>
            <w:tcW w:w="960" w:type="dxa"/>
            <w:vAlign w:val="bottom"/>
            <w:tcBorders>
              <w:bottom w:val="single" w:sz="8" w:color="auto"/>
            </w:tcBorders>
          </w:tcPr>
          <w:p>
            <w:pPr>
              <w:jc w:val="right"/>
              <w:ind w:right="761"/>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w:t>
            </w:r>
          </w:p>
        </w:tc>
        <w:tc>
          <w:tcPr>
            <w:tcW w:w="100" w:type="dxa"/>
            <w:vAlign w:val="bottom"/>
          </w:tcPr>
          <w:p>
            <w:pPr>
              <w:spacing w:after="0"/>
              <w:rPr>
                <w:sz w:val="18"/>
                <w:szCs w:val="18"/>
                <w:color w:val="auto"/>
              </w:rPr>
            </w:pPr>
          </w:p>
        </w:tc>
        <w:tc>
          <w:tcPr>
            <w:tcW w:w="1020" w:type="dxa"/>
            <w:vAlign w:val="bottom"/>
            <w:tcBorders>
              <w:bottom w:val="single" w:sz="8" w:color="auto"/>
            </w:tcBorders>
          </w:tcPr>
          <w:p>
            <w:pPr>
              <w:jc w:val="right"/>
              <w:ind w:right="8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w:t>
            </w: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r>
        <w:trPr>
          <w:trHeight w:val="183"/>
        </w:trPr>
        <w:tc>
          <w:tcPr>
            <w:tcW w:w="8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r>
      <w:tr>
        <w:trPr>
          <w:trHeight w:val="215"/>
        </w:trPr>
        <w:tc>
          <w:tcPr>
            <w:tcW w:w="8220" w:type="dxa"/>
            <w:vAlign w:val="bottom"/>
          </w:tcPr>
          <w:p>
            <w:pPr>
              <w:ind w:left="20"/>
              <w:spacing w:after="0"/>
              <w:rPr>
                <w:sz w:val="20"/>
                <w:szCs w:val="20"/>
                <w:color w:val="auto"/>
              </w:rPr>
            </w:pPr>
            <w:r>
              <w:rPr>
                <w:rFonts w:ascii="Arial" w:cs="Arial" w:eastAsia="Arial" w:hAnsi="Arial"/>
                <w:sz w:val="16"/>
                <w:szCs w:val="16"/>
                <w:color w:val="auto"/>
              </w:rPr>
              <w:t>Diluted per share amounts:</w:t>
            </w: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7"/>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Core net operating earnings</w:t>
            </w:r>
          </w:p>
        </w:tc>
        <w:tc>
          <w:tcPr>
            <w:tcW w:w="960" w:type="dxa"/>
            <w:vAlign w:val="bottom"/>
            <w:shd w:val="clear" w:color="auto" w:fill="CCEEFF"/>
          </w:tcPr>
          <w:p>
            <w:pPr>
              <w:jc w:val="right"/>
              <w:ind w:right="761"/>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2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w:t>
            </w:r>
          </w:p>
        </w:tc>
      </w:tr>
      <w:tr>
        <w:trPr>
          <w:trHeight w:val="215"/>
        </w:trPr>
        <w:tc>
          <w:tcPr>
            <w:tcW w:w="82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Realized gains (losses) on securities</w:t>
            </w:r>
          </w:p>
        </w:tc>
        <w:tc>
          <w:tcPr>
            <w:tcW w:w="9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(0.18)</w:t>
            </w: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0.03</w:t>
            </w:r>
          </w:p>
        </w:tc>
      </w:tr>
      <w:tr>
        <w:trPr>
          <w:trHeight w:val="235"/>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earnings</w:t>
            </w:r>
          </w:p>
        </w:tc>
        <w:tc>
          <w:tcPr>
            <w:tcW w:w="960" w:type="dxa"/>
            <w:vAlign w:val="bottom"/>
            <w:tcBorders>
              <w:bottom w:val="single" w:sz="8" w:color="auto"/>
            </w:tcBorders>
            <w:shd w:val="clear" w:color="auto" w:fill="CCEEFF"/>
          </w:tcPr>
          <w:p>
            <w:pPr>
              <w:jc w:val="right"/>
              <w:ind w:right="761"/>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2.29</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8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1.84</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Net earnings were $191 million in the first three months of 2026 compared to $154 million in the first three months of 2025 reflecting higher core net operating earnings partially offset by net realized losses on securities in the first three months of 2026 compared to net realized gains on securities in the first three months of 2025. Core net operating earnings in the first three months of 2026 increased $54 million compared to the first three months of 2025 reflecting higher underwriting profit. Net realized losses on securities in the first three months of 2026 include after-tax losses of $13 million and net realized gains on securities in the first three months of 2025 include after-tax gains of $5 million, resulting from the change in fair value of equity securities that were still held at the balance sheet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0" w:name="page41"/>
    <w:bookmarkEnd w:id="40"/>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39" w:lineRule="exact"/>
        <w:rPr>
          <w:sz w:val="20"/>
          <w:szCs w:val="20"/>
          <w:color w:val="auto"/>
        </w:rPr>
      </w:pPr>
    </w:p>
    <w:p>
      <w:pPr>
        <w:ind w:right="580"/>
        <w:spacing w:after="0" w:line="298" w:lineRule="auto"/>
        <w:rPr>
          <w:sz w:val="20"/>
          <w:szCs w:val="20"/>
          <w:color w:val="auto"/>
        </w:rPr>
      </w:pPr>
      <w:r>
        <w:rPr>
          <w:rFonts w:ascii="Arial" w:cs="Arial" w:eastAsia="Arial" w:hAnsi="Arial"/>
          <w:sz w:val="29"/>
          <w:szCs w:val="29"/>
          <w:b w:val="1"/>
          <w:bCs w:val="1"/>
          <w:color w:val="003366"/>
        </w:rPr>
        <w:t>RESULTS OF OPERATIONS — THREE MONTHS ENDED MARCH 31, 2026 AND 2025</w:t>
      </w:r>
    </w:p>
    <w:p>
      <w:pPr>
        <w:spacing w:after="0" w:line="113" w:lineRule="exact"/>
        <w:rPr>
          <w:sz w:val="20"/>
          <w:szCs w:val="20"/>
          <w:color w:val="auto"/>
        </w:rPr>
      </w:pPr>
    </w:p>
    <w:p>
      <w:pPr>
        <w:spacing w:after="0"/>
        <w:rPr>
          <w:sz w:val="20"/>
          <w:szCs w:val="20"/>
          <w:color w:val="auto"/>
        </w:rPr>
      </w:pPr>
      <w:r>
        <w:rPr>
          <w:rFonts w:ascii="Arial" w:cs="Arial" w:eastAsia="Arial" w:hAnsi="Arial"/>
          <w:sz w:val="25"/>
          <w:szCs w:val="25"/>
          <w:b w:val="1"/>
          <w:bCs w:val="1"/>
          <w:color w:val="003366"/>
        </w:rPr>
        <w:t>Segmented Statement of Earnings</w:t>
      </w:r>
    </w:p>
    <w:p>
      <w:pPr>
        <w:spacing w:after="0" w:line="41" w:lineRule="exact"/>
        <w:rPr>
          <w:sz w:val="20"/>
          <w:szCs w:val="20"/>
          <w:color w:val="auto"/>
        </w:rPr>
      </w:pPr>
    </w:p>
    <w:p>
      <w:pPr>
        <w:ind w:right="180"/>
        <w:spacing w:after="0" w:line="264" w:lineRule="auto"/>
        <w:rPr>
          <w:sz w:val="20"/>
          <w:szCs w:val="20"/>
          <w:color w:val="auto"/>
        </w:rPr>
      </w:pPr>
      <w:r>
        <w:rPr>
          <w:rFonts w:ascii="Arial" w:cs="Arial" w:eastAsia="Arial" w:hAnsi="Arial"/>
          <w:sz w:val="17"/>
          <w:szCs w:val="17"/>
          <w:color w:val="auto"/>
        </w:rPr>
        <w:t>AFG reports its operations as two segments: (i) Property and casualty insurance (“P&amp;C”) and (ii) Other, which includes holding company costs and income and expenses related to the managed investment entities (“MIEs”).</w:t>
      </w:r>
    </w:p>
    <w:p>
      <w:pPr>
        <w:spacing w:after="0" w:line="202" w:lineRule="exact"/>
        <w:rPr>
          <w:sz w:val="20"/>
          <w:szCs w:val="20"/>
          <w:color w:val="auto"/>
        </w:rPr>
      </w:pPr>
    </w:p>
    <w:p>
      <w:pPr>
        <w:ind w:right="480"/>
        <w:spacing w:after="0" w:line="266" w:lineRule="auto"/>
        <w:rPr>
          <w:sz w:val="20"/>
          <w:szCs w:val="20"/>
          <w:color w:val="auto"/>
        </w:rPr>
      </w:pPr>
      <w:r>
        <w:rPr>
          <w:rFonts w:ascii="Arial" w:cs="Arial" w:eastAsia="Arial" w:hAnsi="Arial"/>
          <w:sz w:val="17"/>
          <w:szCs w:val="17"/>
          <w:color w:val="auto"/>
        </w:rPr>
        <w:t>AFG’s net earnings, determined in accordance with GAAP, include certain items that may not be indicative of its ongoing core operations. The following tables for the three months ended March 31, 2026 and 2025 identify such items by segment and reconcile net earnings to core net operating earnings, a non-GAAP financial measure that AFG believes is a useful tool for investors and analysts in analyzing ongoing operating trends (in millions):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ind w:right="748"/>
              <w:spacing w:after="0"/>
              <w:rPr>
                <w:sz w:val="20"/>
                <w:szCs w:val="20"/>
                <w:color w:val="auto"/>
              </w:rPr>
            </w:pPr>
            <w:r>
              <w:rPr>
                <w:rFonts w:ascii="Arial" w:cs="Arial" w:eastAsia="Arial" w:hAnsi="Arial"/>
                <w:sz w:val="14"/>
                <w:szCs w:val="14"/>
                <w:color w:val="auto"/>
              </w:rPr>
              <w:t>Other</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vMerge w:val="restart"/>
          </w:tcPr>
          <w:p>
            <w:pPr>
              <w:jc w:val="right"/>
              <w:ind w:right="68"/>
              <w:spacing w:after="0"/>
              <w:rPr>
                <w:sz w:val="20"/>
                <w:szCs w:val="20"/>
                <w:color w:val="auto"/>
              </w:rPr>
            </w:pPr>
            <w:r>
              <w:rPr>
                <w:rFonts w:ascii="Arial" w:cs="Arial" w:eastAsia="Arial" w:hAnsi="Arial"/>
                <w:sz w:val="14"/>
                <w:szCs w:val="14"/>
                <w:color w:val="auto"/>
              </w:rPr>
              <w:t>Consol.</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jc w:val="center"/>
              <w:ind w:right="240"/>
              <w:spacing w:after="0" w:line="151" w:lineRule="exact"/>
              <w:rPr>
                <w:sz w:val="20"/>
                <w:szCs w:val="20"/>
                <w:color w:val="auto"/>
              </w:rPr>
            </w:pPr>
            <w:r>
              <w:rPr>
                <w:rFonts w:ascii="Arial" w:cs="Arial" w:eastAsia="Arial" w:hAnsi="Arial"/>
                <w:sz w:val="14"/>
                <w:szCs w:val="14"/>
                <w:color w:val="auto"/>
              </w:rPr>
              <w:t>Holding Co.,</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3"/>
            <w:vMerge w:val="restart"/>
          </w:tcPr>
          <w:p>
            <w:pPr>
              <w:jc w:val="center"/>
              <w:ind w:right="100"/>
              <w:spacing w:after="0"/>
              <w:rPr>
                <w:sz w:val="20"/>
                <w:szCs w:val="20"/>
                <w:color w:val="auto"/>
              </w:rPr>
            </w:pPr>
            <w:r>
              <w:rPr>
                <w:rFonts w:ascii="Arial" w:cs="Arial" w:eastAsia="Arial" w:hAnsi="Arial"/>
                <w:sz w:val="14"/>
                <w:szCs w:val="14"/>
                <w:color w:val="auto"/>
              </w:rPr>
              <w:t>Non-core</w:t>
            </w:r>
          </w:p>
        </w:tc>
        <w:tc>
          <w:tcPr>
            <w:tcW w:w="140" w:type="dxa"/>
            <w:vAlign w:val="bottom"/>
          </w:tcPr>
          <w:p>
            <w:pPr>
              <w:spacing w:after="0"/>
              <w:rPr>
                <w:sz w:val="13"/>
                <w:szCs w:val="13"/>
                <w:color w:val="auto"/>
              </w:rPr>
            </w:pPr>
          </w:p>
        </w:tc>
        <w:tc>
          <w:tcPr>
            <w:tcW w:w="580" w:type="dxa"/>
            <w:vAlign w:val="bottom"/>
            <w:vMerge w:val="restart"/>
          </w:tcPr>
          <w:p>
            <w:pPr>
              <w:jc w:val="right"/>
              <w:ind w:right="88"/>
              <w:spacing w:after="0"/>
              <w:rPr>
                <w:sz w:val="20"/>
                <w:szCs w:val="20"/>
                <w:color w:val="auto"/>
              </w:rPr>
            </w:pPr>
            <w:r>
              <w:rPr>
                <w:rFonts w:ascii="Arial" w:cs="Arial" w:eastAsia="Arial" w:hAnsi="Arial"/>
                <w:sz w:val="14"/>
                <w:szCs w:val="14"/>
                <w:color w:val="auto"/>
              </w:rPr>
              <w:t>GAAP</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4"/>
                <w:szCs w:val="14"/>
                <w:color w:val="auto"/>
              </w:rPr>
              <w:t>P&amp;C</w:t>
            </w:r>
          </w:p>
        </w:tc>
        <w:tc>
          <w:tcPr>
            <w:tcW w:w="1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rPr>
              <w:t>other and</w:t>
            </w:r>
          </w:p>
        </w:tc>
        <w:tc>
          <w:tcPr>
            <w:tcW w:w="160" w:type="dxa"/>
            <w:vAlign w:val="bottom"/>
          </w:tcPr>
          <w:p>
            <w:pPr>
              <w:spacing w:after="0"/>
              <w:rPr>
                <w:sz w:val="12"/>
                <w:szCs w:val="12"/>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4"/>
                <w:szCs w:val="14"/>
                <w:color w:val="auto"/>
              </w:rPr>
              <w:t>Total</w:t>
            </w:r>
          </w:p>
        </w:tc>
        <w:tc>
          <w:tcPr>
            <w:tcW w:w="8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148"/>
              <w:spacing w:after="0"/>
              <w:rPr>
                <w:sz w:val="20"/>
                <w:szCs w:val="20"/>
                <w:color w:val="auto"/>
              </w:rPr>
            </w:pPr>
            <w:r>
              <w:rPr>
                <w:rFonts w:ascii="Arial" w:cs="Arial" w:eastAsia="Arial" w:hAnsi="Arial"/>
                <w:sz w:val="14"/>
                <w:szCs w:val="14"/>
                <w:color w:val="auto"/>
              </w:rPr>
              <w:t>MIEs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color w:val="auto"/>
              </w:rPr>
              <w:t>unallocated</w:t>
            </w:r>
          </w:p>
        </w:tc>
        <w:tc>
          <w:tcPr>
            <w:tcW w:w="16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4"/>
                <w:szCs w:val="14"/>
                <w:color w:val="auto"/>
              </w:rPr>
              <w:t>reclass</w:t>
            </w:r>
          </w:p>
        </w:tc>
        <w:tc>
          <w:tcPr>
            <w:tcW w:w="140" w:type="dxa"/>
            <w:vAlign w:val="bottom"/>
          </w:tcPr>
          <w:p>
            <w:pPr>
              <w:spacing w:after="0"/>
              <w:rPr>
                <w:sz w:val="16"/>
                <w:szCs w:val="16"/>
                <w:color w:val="auto"/>
              </w:rPr>
            </w:pPr>
          </w:p>
        </w:tc>
        <w:tc>
          <w:tcPr>
            <w:tcW w:w="580" w:type="dxa"/>
            <w:vAlign w:val="bottom"/>
          </w:tcPr>
          <w:p>
            <w:pPr>
              <w:jc w:val="right"/>
              <w:ind w:right="12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63"/>
        </w:trPr>
        <w:tc>
          <w:tcPr>
            <w:tcW w:w="20" w:type="dxa"/>
            <w:vAlign w:val="bottom"/>
            <w:tcBorders>
              <w:top w:val="single" w:sz="8" w:color="CCEEFF"/>
            </w:tcBorders>
            <w:shd w:val="clear" w:color="auto" w:fill="CCEEFF"/>
          </w:tcPr>
          <w:p>
            <w:pPr>
              <w:spacing w:after="0"/>
              <w:rPr>
                <w:sz w:val="14"/>
                <w:szCs w:val="14"/>
                <w:color w:val="auto"/>
              </w:rPr>
            </w:pPr>
          </w:p>
        </w:tc>
        <w:tc>
          <w:tcPr>
            <w:tcW w:w="5960" w:type="dxa"/>
            <w:vAlign w:val="bottom"/>
            <w:tcBorders>
              <w:top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Three months ended March 31, 2026</w:t>
            </w:r>
          </w:p>
        </w:tc>
        <w:tc>
          <w:tcPr>
            <w:tcW w:w="16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0" w:type="dxa"/>
            <w:vAlign w:val="bottom"/>
            <w:tcBorders>
              <w:top w:val="single" w:sz="8" w:color="CCEEFF"/>
            </w:tcBorders>
          </w:tcPr>
          <w:p>
            <w:pPr>
              <w:spacing w:after="0"/>
              <w:rPr>
                <w:sz w:val="17"/>
                <w:szCs w:val="17"/>
                <w:color w:val="auto"/>
              </w:rPr>
            </w:pPr>
          </w:p>
        </w:tc>
        <w:tc>
          <w:tcPr>
            <w:tcW w:w="248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Revenues:</w:t>
            </w:r>
          </w:p>
        </w:tc>
        <w:tc>
          <w:tcPr>
            <w:tcW w:w="348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9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5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9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Net earned premiums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60" w:type="dxa"/>
            <w:vAlign w:val="bottom"/>
            <w:gridSpan w:val="2"/>
          </w:tcPr>
          <w:p>
            <w:pPr>
              <w:ind w:left="120"/>
              <w:spacing w:after="0"/>
              <w:rPr>
                <w:sz w:val="20"/>
                <w:szCs w:val="20"/>
                <w:color w:val="auto"/>
              </w:rPr>
            </w:pPr>
            <w:r>
              <w:rPr>
                <w:rFonts w:ascii="Arial" w:cs="Arial" w:eastAsia="Arial" w:hAnsi="Arial"/>
                <w:sz w:val="14"/>
                <w:szCs w:val="14"/>
                <w:color w:val="auto"/>
              </w:rPr>
              <w:t>Net investment income</w:t>
            </w: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168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187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187</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9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Realized gains (losses) on securities</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60" w:type="dxa"/>
            <w:vAlign w:val="bottom"/>
            <w:gridSpan w:val="2"/>
          </w:tcPr>
          <w:p>
            <w:pPr>
              <w:ind w:left="120"/>
              <w:spacing w:after="0"/>
              <w:rPr>
                <w:sz w:val="20"/>
                <w:szCs w:val="20"/>
                <w:color w:val="auto"/>
              </w:rPr>
            </w:pPr>
            <w:r>
              <w:rPr>
                <w:rFonts w:ascii="Arial" w:cs="Arial" w:eastAsia="Arial" w:hAnsi="Arial"/>
                <w:sz w:val="14"/>
                <w:szCs w:val="14"/>
                <w:color w:val="auto"/>
              </w:rPr>
              <w:t>Income of MIEs:</w:t>
            </w: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9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Investment income</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60" w:type="dxa"/>
            <w:vAlign w:val="bottom"/>
            <w:gridSpan w:val="2"/>
          </w:tcPr>
          <w:p>
            <w:pPr>
              <w:ind w:left="200"/>
              <w:spacing w:after="0"/>
              <w:rPr>
                <w:sz w:val="20"/>
                <w:szCs w:val="20"/>
                <w:color w:val="auto"/>
              </w:rPr>
            </w:pPr>
            <w:r>
              <w:rPr>
                <w:rFonts w:ascii="Arial" w:cs="Arial" w:eastAsia="Arial" w:hAnsi="Arial"/>
                <w:sz w:val="14"/>
                <w:szCs w:val="14"/>
                <w:color w:val="auto"/>
              </w:rPr>
              <w:t>Gain (loss) on change in fair value of assets/liabilities</w:t>
            </w:r>
          </w:p>
        </w:tc>
        <w:tc>
          <w:tcPr>
            <w:tcW w:w="16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9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Other income</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960" w:type="dxa"/>
            <w:vAlign w:val="bottom"/>
            <w:gridSpan w:val="2"/>
          </w:tcPr>
          <w:p>
            <w:pPr>
              <w:ind w:left="200"/>
              <w:spacing w:after="0"/>
              <w:rPr>
                <w:sz w:val="20"/>
                <w:szCs w:val="20"/>
                <w:color w:val="auto"/>
              </w:rPr>
            </w:pPr>
            <w:r>
              <w:rPr>
                <w:rFonts w:ascii="Arial" w:cs="Arial" w:eastAsia="Arial" w:hAnsi="Arial"/>
                <w:sz w:val="14"/>
                <w:szCs w:val="14"/>
                <w:color w:val="auto"/>
              </w:rPr>
              <w:t>Total revenues</w:t>
            </w:r>
          </w:p>
        </w:tc>
        <w:tc>
          <w:tcPr>
            <w:tcW w:w="1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1,781</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58</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1,872</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1,854</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2480" w:type="dxa"/>
            <w:vAlign w:val="bottom"/>
            <w:shd w:val="clear" w:color="auto" w:fill="CCEEFF"/>
          </w:tcPr>
          <w:p>
            <w:pPr>
              <w:spacing w:after="0"/>
              <w:rPr>
                <w:sz w:val="19"/>
                <w:szCs w:val="19"/>
                <w:color w:val="auto"/>
              </w:rPr>
            </w:pPr>
          </w:p>
        </w:tc>
        <w:tc>
          <w:tcPr>
            <w:tcW w:w="3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960" w:type="dxa"/>
            <w:vAlign w:val="bottom"/>
            <w:gridSpan w:val="2"/>
          </w:tcPr>
          <w:p>
            <w:pPr>
              <w:spacing w:after="0"/>
              <w:rPr>
                <w:sz w:val="20"/>
                <w:szCs w:val="20"/>
                <w:color w:val="auto"/>
              </w:rPr>
            </w:pPr>
            <w:r>
              <w:rPr>
                <w:rFonts w:ascii="Arial" w:cs="Arial" w:eastAsia="Arial" w:hAnsi="Arial"/>
                <w:sz w:val="14"/>
                <w:szCs w:val="14"/>
                <w:b w:val="1"/>
                <w:bCs w:val="1"/>
                <w:color w:val="auto"/>
              </w:rPr>
              <w:t>Costs and Expenses:</w:t>
            </w: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59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Losses and loss adjustment expenses</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60" w:type="dxa"/>
            <w:vAlign w:val="bottom"/>
            <w:gridSpan w:val="2"/>
          </w:tcPr>
          <w:p>
            <w:pPr>
              <w:ind w:left="120"/>
              <w:spacing w:after="0"/>
              <w:rPr>
                <w:sz w:val="20"/>
                <w:szCs w:val="20"/>
                <w:color w:val="auto"/>
              </w:rPr>
            </w:pPr>
            <w:r>
              <w:rPr>
                <w:rFonts w:ascii="Arial" w:cs="Arial" w:eastAsia="Arial" w:hAnsi="Arial"/>
                <w:sz w:val="14"/>
                <w:szCs w:val="14"/>
                <w:color w:val="auto"/>
              </w:rPr>
              <w:t>Commissions and other underwriting expenses</w:t>
            </w: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547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556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556</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59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Interest charges on borrowed money</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60" w:type="dxa"/>
            <w:vAlign w:val="bottom"/>
            <w:gridSpan w:val="2"/>
          </w:tcPr>
          <w:p>
            <w:pPr>
              <w:ind w:left="120"/>
              <w:spacing w:after="0"/>
              <w:rPr>
                <w:sz w:val="20"/>
                <w:szCs w:val="20"/>
                <w:color w:val="auto"/>
              </w:rPr>
            </w:pPr>
            <w:r>
              <w:rPr>
                <w:rFonts w:ascii="Arial" w:cs="Arial" w:eastAsia="Arial" w:hAnsi="Arial"/>
                <w:sz w:val="14"/>
                <w:szCs w:val="14"/>
                <w:color w:val="auto"/>
              </w:rPr>
              <w:t>Expenses of MIEs</w:t>
            </w:r>
          </w:p>
        </w:tc>
        <w:tc>
          <w:tcPr>
            <w:tcW w:w="16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9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Other expenses</w:t>
            </w:r>
          </w:p>
        </w:tc>
        <w:tc>
          <w:tcPr>
            <w:tcW w:w="1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960" w:type="dxa"/>
            <w:vAlign w:val="bottom"/>
            <w:gridSpan w:val="2"/>
          </w:tcPr>
          <w:p>
            <w:pPr>
              <w:ind w:left="200"/>
              <w:spacing w:after="0"/>
              <w:rPr>
                <w:sz w:val="20"/>
                <w:szCs w:val="20"/>
                <w:color w:val="auto"/>
              </w:rPr>
            </w:pPr>
            <w:r>
              <w:rPr>
                <w:rFonts w:ascii="Arial" w:cs="Arial" w:eastAsia="Arial" w:hAnsi="Arial"/>
                <w:sz w:val="14"/>
                <w:szCs w:val="14"/>
                <w:color w:val="auto"/>
              </w:rPr>
              <w:t>Total costs and expenses</w:t>
            </w: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1,472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1,615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1,615</w:t>
            </w:r>
          </w:p>
        </w:tc>
        <w:tc>
          <w:tcPr>
            <w:tcW w:w="0" w:type="dxa"/>
            <w:vAlign w:val="bottom"/>
          </w:tcPr>
          <w:p>
            <w:pPr>
              <w:spacing w:after="0"/>
              <w:rPr>
                <w:sz w:val="1"/>
                <w:szCs w:val="1"/>
                <w:color w:val="auto"/>
              </w:rPr>
            </w:pPr>
          </w:p>
        </w:tc>
      </w:tr>
      <w:tr>
        <w:trPr>
          <w:trHeight w:val="200"/>
        </w:trPr>
        <w:tc>
          <w:tcPr>
            <w:tcW w:w="20" w:type="dxa"/>
            <w:vAlign w:val="bottom"/>
            <w:tcBorders>
              <w:top w:val="single" w:sz="8" w:color="CCEEFF"/>
            </w:tcBorders>
            <w:shd w:val="clear" w:color="auto" w:fill="CCEEFF"/>
          </w:tcPr>
          <w:p>
            <w:pPr>
              <w:spacing w:after="0"/>
              <w:rPr>
                <w:sz w:val="17"/>
                <w:szCs w:val="17"/>
                <w:color w:val="auto"/>
              </w:rPr>
            </w:pPr>
          </w:p>
        </w:tc>
        <w:tc>
          <w:tcPr>
            <w:tcW w:w="59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Earnings before income taxes</w:t>
            </w:r>
          </w:p>
        </w:tc>
        <w:tc>
          <w:tcPr>
            <w:tcW w:w="1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309</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257</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239</w:t>
            </w:r>
          </w:p>
        </w:tc>
        <w:tc>
          <w:tcPr>
            <w:tcW w:w="0" w:type="dxa"/>
            <w:vAlign w:val="bottom"/>
          </w:tcPr>
          <w:p>
            <w:pPr>
              <w:spacing w:after="0"/>
              <w:rPr>
                <w:sz w:val="1"/>
                <w:szCs w:val="1"/>
                <w:color w:val="auto"/>
              </w:rPr>
            </w:pPr>
          </w:p>
        </w:tc>
      </w:tr>
      <w:tr>
        <w:trPr>
          <w:trHeight w:val="199"/>
        </w:trPr>
        <w:tc>
          <w:tcPr>
            <w:tcW w:w="20" w:type="dxa"/>
            <w:vAlign w:val="bottom"/>
            <w:tcBorders>
              <w:bottom w:val="single" w:sz="8" w:color="CCEEFF"/>
            </w:tcBorders>
          </w:tcPr>
          <w:p>
            <w:pPr>
              <w:spacing w:after="0"/>
              <w:rPr>
                <w:sz w:val="17"/>
                <w:szCs w:val="17"/>
                <w:color w:val="auto"/>
              </w:rPr>
            </w:pPr>
          </w:p>
        </w:tc>
        <w:tc>
          <w:tcPr>
            <w:tcW w:w="596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Provision for income taxes</w:t>
            </w: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6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5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200"/>
        </w:trPr>
        <w:tc>
          <w:tcPr>
            <w:tcW w:w="20" w:type="dxa"/>
            <w:vAlign w:val="bottom"/>
            <w:shd w:val="clear" w:color="auto" w:fill="CCEEFF"/>
          </w:tcPr>
          <w:p>
            <w:pPr>
              <w:spacing w:after="0"/>
              <w:rPr>
                <w:sz w:val="17"/>
                <w:szCs w:val="17"/>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Core Net Operating Earnings</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960" w:type="dxa"/>
            <w:vAlign w:val="bottom"/>
            <w:gridSpan w:val="2"/>
          </w:tcPr>
          <w:p>
            <w:pPr>
              <w:spacing w:after="0"/>
              <w:rPr>
                <w:sz w:val="20"/>
                <w:szCs w:val="20"/>
                <w:color w:val="auto"/>
              </w:rPr>
            </w:pPr>
            <w:r>
              <w:rPr>
                <w:rFonts w:ascii="Arial" w:cs="Arial" w:eastAsia="Arial" w:hAnsi="Arial"/>
                <w:sz w:val="14"/>
                <w:szCs w:val="14"/>
                <w:color w:val="auto"/>
              </w:rPr>
              <w:t>Non-core earnings (loss) (*):</w:t>
            </w: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96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Realized gains (losses) on securities, net of tax</w:t>
            </w:r>
          </w:p>
        </w:tc>
        <w:tc>
          <w:tcPr>
            <w:tcW w:w="1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960" w:type="dxa"/>
            <w:vAlign w:val="bottom"/>
            <w:gridSpan w:val="2"/>
          </w:tcPr>
          <w:p>
            <w:pPr>
              <w:spacing w:after="0"/>
              <w:rPr>
                <w:sz w:val="20"/>
                <w:szCs w:val="20"/>
                <w:color w:val="auto"/>
              </w:rPr>
            </w:pPr>
            <w:r>
              <w:rPr>
                <w:rFonts w:ascii="Arial" w:cs="Arial" w:eastAsia="Arial" w:hAnsi="Arial"/>
                <w:sz w:val="14"/>
                <w:szCs w:val="14"/>
                <w:b w:val="1"/>
                <w:bCs w:val="1"/>
                <w:color w:val="auto"/>
              </w:rPr>
              <w:t>Net Earnings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247</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(56)</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191</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1" w:name="page42"/>
    <w:bookmarkEnd w:id="41"/>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ind w:right="728"/>
              <w:spacing w:after="0"/>
              <w:rPr>
                <w:sz w:val="20"/>
                <w:szCs w:val="20"/>
                <w:color w:val="auto"/>
              </w:rPr>
            </w:pPr>
            <w:r>
              <w:rPr>
                <w:rFonts w:ascii="Arial" w:cs="Arial" w:eastAsia="Arial" w:hAnsi="Arial"/>
                <w:sz w:val="14"/>
                <w:szCs w:val="14"/>
                <w:color w:val="auto"/>
              </w:rPr>
              <w:t>Other</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vMerge w:val="restart"/>
          </w:tcPr>
          <w:p>
            <w:pPr>
              <w:jc w:val="right"/>
              <w:ind w:right="88"/>
              <w:spacing w:after="0"/>
              <w:rPr>
                <w:sz w:val="20"/>
                <w:szCs w:val="20"/>
                <w:color w:val="auto"/>
              </w:rPr>
            </w:pPr>
            <w:r>
              <w:rPr>
                <w:rFonts w:ascii="Arial" w:cs="Arial" w:eastAsia="Arial" w:hAnsi="Arial"/>
                <w:sz w:val="14"/>
                <w:szCs w:val="14"/>
                <w:color w:val="auto"/>
              </w:rPr>
              <w:t>Consol.</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jc w:val="center"/>
              <w:ind w:right="220"/>
              <w:spacing w:after="0" w:line="151" w:lineRule="exact"/>
              <w:rPr>
                <w:sz w:val="20"/>
                <w:szCs w:val="20"/>
                <w:color w:val="auto"/>
              </w:rPr>
            </w:pPr>
            <w:r>
              <w:rPr>
                <w:rFonts w:ascii="Arial" w:cs="Arial" w:eastAsia="Arial" w:hAnsi="Arial"/>
                <w:sz w:val="14"/>
                <w:szCs w:val="14"/>
                <w:color w:val="auto"/>
              </w:rPr>
              <w:t>Holding Co.,</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3"/>
            <w:vMerge w:val="restart"/>
          </w:tcPr>
          <w:p>
            <w:pPr>
              <w:jc w:val="center"/>
              <w:ind w:right="100"/>
              <w:spacing w:after="0"/>
              <w:rPr>
                <w:sz w:val="20"/>
                <w:szCs w:val="20"/>
                <w:color w:val="auto"/>
              </w:rPr>
            </w:pPr>
            <w:r>
              <w:rPr>
                <w:rFonts w:ascii="Arial" w:cs="Arial" w:eastAsia="Arial" w:hAnsi="Arial"/>
                <w:sz w:val="14"/>
                <w:szCs w:val="14"/>
                <w:color w:val="auto"/>
              </w:rPr>
              <w:t>Non-core</w:t>
            </w:r>
          </w:p>
        </w:tc>
        <w:tc>
          <w:tcPr>
            <w:tcW w:w="140" w:type="dxa"/>
            <w:vAlign w:val="bottom"/>
          </w:tcPr>
          <w:p>
            <w:pPr>
              <w:spacing w:after="0"/>
              <w:rPr>
                <w:sz w:val="13"/>
                <w:szCs w:val="13"/>
                <w:color w:val="auto"/>
              </w:rPr>
            </w:pPr>
          </w:p>
        </w:tc>
        <w:tc>
          <w:tcPr>
            <w:tcW w:w="580" w:type="dxa"/>
            <w:vAlign w:val="bottom"/>
            <w:vMerge w:val="restart"/>
          </w:tcPr>
          <w:p>
            <w:pPr>
              <w:jc w:val="right"/>
              <w:ind w:right="88"/>
              <w:spacing w:after="0"/>
              <w:rPr>
                <w:sz w:val="20"/>
                <w:szCs w:val="20"/>
                <w:color w:val="auto"/>
              </w:rPr>
            </w:pPr>
            <w:r>
              <w:rPr>
                <w:rFonts w:ascii="Arial" w:cs="Arial" w:eastAsia="Arial" w:hAnsi="Arial"/>
                <w:sz w:val="14"/>
                <w:szCs w:val="14"/>
                <w:color w:val="auto"/>
              </w:rPr>
              <w:t>GAAP</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4"/>
                <w:szCs w:val="14"/>
                <w:color w:val="auto"/>
              </w:rPr>
              <w:t>P&amp;C</w:t>
            </w:r>
          </w:p>
        </w:tc>
        <w:tc>
          <w:tcPr>
            <w:tcW w:w="1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220"/>
              <w:spacing w:after="0" w:line="145" w:lineRule="exact"/>
              <w:rPr>
                <w:sz w:val="20"/>
                <w:szCs w:val="20"/>
                <w:color w:val="auto"/>
              </w:rPr>
            </w:pPr>
            <w:r>
              <w:rPr>
                <w:rFonts w:ascii="Arial" w:cs="Arial" w:eastAsia="Arial" w:hAnsi="Arial"/>
                <w:sz w:val="14"/>
                <w:szCs w:val="14"/>
                <w:color w:val="auto"/>
              </w:rPr>
              <w:t>other and</w:t>
            </w:r>
          </w:p>
        </w:tc>
        <w:tc>
          <w:tcPr>
            <w:tcW w:w="160" w:type="dxa"/>
            <w:vAlign w:val="bottom"/>
          </w:tcPr>
          <w:p>
            <w:pPr>
              <w:spacing w:after="0"/>
              <w:rPr>
                <w:sz w:val="12"/>
                <w:szCs w:val="12"/>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4"/>
                <w:szCs w:val="14"/>
                <w:color w:val="auto"/>
              </w:rPr>
              <w:t>Total</w:t>
            </w:r>
          </w:p>
        </w:tc>
        <w:tc>
          <w:tcPr>
            <w:tcW w:w="8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168"/>
              <w:spacing w:after="0"/>
              <w:rPr>
                <w:sz w:val="20"/>
                <w:szCs w:val="20"/>
                <w:color w:val="auto"/>
              </w:rPr>
            </w:pPr>
            <w:r>
              <w:rPr>
                <w:rFonts w:ascii="Arial" w:cs="Arial" w:eastAsia="Arial" w:hAnsi="Arial"/>
                <w:sz w:val="14"/>
                <w:szCs w:val="14"/>
                <w:color w:val="auto"/>
              </w:rPr>
              <w:t>MIEs</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color w:val="auto"/>
              </w:rPr>
              <w:t>unallocated</w:t>
            </w:r>
          </w:p>
        </w:tc>
        <w:tc>
          <w:tcPr>
            <w:tcW w:w="16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4"/>
                <w:szCs w:val="14"/>
                <w:color w:val="auto"/>
              </w:rPr>
              <w:t>reclass</w:t>
            </w:r>
          </w:p>
        </w:tc>
        <w:tc>
          <w:tcPr>
            <w:tcW w:w="140" w:type="dxa"/>
            <w:vAlign w:val="bottom"/>
          </w:tcPr>
          <w:p>
            <w:pPr>
              <w:spacing w:after="0"/>
              <w:rPr>
                <w:sz w:val="16"/>
                <w:szCs w:val="16"/>
                <w:color w:val="auto"/>
              </w:rPr>
            </w:pPr>
          </w:p>
        </w:tc>
        <w:tc>
          <w:tcPr>
            <w:tcW w:w="580" w:type="dxa"/>
            <w:vAlign w:val="bottom"/>
          </w:tcPr>
          <w:p>
            <w:pPr>
              <w:jc w:val="right"/>
              <w:ind w:right="12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63"/>
        </w:trPr>
        <w:tc>
          <w:tcPr>
            <w:tcW w:w="20" w:type="dxa"/>
            <w:vAlign w:val="bottom"/>
            <w:tcBorders>
              <w:top w:val="single" w:sz="8" w:color="CCEEFF"/>
            </w:tcBorders>
            <w:shd w:val="clear" w:color="auto" w:fill="CCEEFF"/>
          </w:tcPr>
          <w:p>
            <w:pPr>
              <w:spacing w:after="0"/>
              <w:rPr>
                <w:sz w:val="14"/>
                <w:szCs w:val="14"/>
                <w:color w:val="auto"/>
              </w:rPr>
            </w:pPr>
          </w:p>
        </w:tc>
        <w:tc>
          <w:tcPr>
            <w:tcW w:w="5980" w:type="dxa"/>
            <w:vAlign w:val="bottom"/>
            <w:tcBorders>
              <w:top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Three months ended March 31, 2025</w:t>
            </w:r>
          </w:p>
        </w:tc>
        <w:tc>
          <w:tcPr>
            <w:tcW w:w="16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0" w:type="dxa"/>
            <w:vAlign w:val="bottom"/>
            <w:tcBorders>
              <w:top w:val="single" w:sz="8" w:color="CCEEFF"/>
            </w:tcBorders>
          </w:tcPr>
          <w:p>
            <w:pPr>
              <w:spacing w:after="0"/>
              <w:rPr>
                <w:sz w:val="17"/>
                <w:szCs w:val="17"/>
                <w:color w:val="auto"/>
              </w:rPr>
            </w:pPr>
          </w:p>
        </w:tc>
        <w:tc>
          <w:tcPr>
            <w:tcW w:w="248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Revenues:</w:t>
            </w:r>
          </w:p>
        </w:tc>
        <w:tc>
          <w:tcPr>
            <w:tcW w:w="350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9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5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Net earned premiums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80" w:type="dxa"/>
            <w:vAlign w:val="bottom"/>
            <w:gridSpan w:val="2"/>
          </w:tcPr>
          <w:p>
            <w:pPr>
              <w:ind w:left="120"/>
              <w:spacing w:after="0"/>
              <w:rPr>
                <w:sz w:val="20"/>
                <w:szCs w:val="20"/>
                <w:color w:val="auto"/>
              </w:rPr>
            </w:pPr>
            <w:r>
              <w:rPr>
                <w:rFonts w:ascii="Arial" w:cs="Arial" w:eastAsia="Arial" w:hAnsi="Arial"/>
                <w:sz w:val="14"/>
                <w:szCs w:val="14"/>
                <w:color w:val="auto"/>
              </w:rPr>
              <w:t>Net investment income</w:t>
            </w: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170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173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173</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Realized gains (losses) on securities</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80" w:type="dxa"/>
            <w:vAlign w:val="bottom"/>
            <w:gridSpan w:val="2"/>
          </w:tcPr>
          <w:p>
            <w:pPr>
              <w:ind w:left="120"/>
              <w:spacing w:after="0"/>
              <w:rPr>
                <w:sz w:val="20"/>
                <w:szCs w:val="20"/>
                <w:color w:val="auto"/>
              </w:rPr>
            </w:pPr>
            <w:r>
              <w:rPr>
                <w:rFonts w:ascii="Arial" w:cs="Arial" w:eastAsia="Arial" w:hAnsi="Arial"/>
                <w:sz w:val="14"/>
                <w:szCs w:val="14"/>
                <w:color w:val="auto"/>
              </w:rPr>
              <w:t>Income of MIEs:</w:t>
            </w: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Investment income</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80" w:type="dxa"/>
            <w:vAlign w:val="bottom"/>
            <w:gridSpan w:val="2"/>
          </w:tcPr>
          <w:p>
            <w:pPr>
              <w:ind w:left="200"/>
              <w:spacing w:after="0"/>
              <w:rPr>
                <w:sz w:val="20"/>
                <w:szCs w:val="20"/>
                <w:color w:val="auto"/>
              </w:rPr>
            </w:pPr>
            <w:r>
              <w:rPr>
                <w:rFonts w:ascii="Arial" w:cs="Arial" w:eastAsia="Arial" w:hAnsi="Arial"/>
                <w:sz w:val="14"/>
                <w:szCs w:val="14"/>
                <w:color w:val="auto"/>
              </w:rPr>
              <w:t>Gain (loss) on change in fair value of assets/liabilities</w:t>
            </w:r>
          </w:p>
        </w:tc>
        <w:tc>
          <w:tcPr>
            <w:tcW w:w="16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Other income</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980" w:type="dxa"/>
            <w:vAlign w:val="bottom"/>
            <w:gridSpan w:val="2"/>
          </w:tcPr>
          <w:p>
            <w:pPr>
              <w:ind w:left="200"/>
              <w:spacing w:after="0"/>
              <w:rPr>
                <w:sz w:val="20"/>
                <w:szCs w:val="20"/>
                <w:color w:val="auto"/>
              </w:rPr>
            </w:pPr>
            <w:r>
              <w:rPr>
                <w:rFonts w:ascii="Arial" w:cs="Arial" w:eastAsia="Arial" w:hAnsi="Arial"/>
                <w:sz w:val="14"/>
                <w:szCs w:val="14"/>
                <w:color w:val="auto"/>
              </w:rPr>
              <w:t>Total revenues</w:t>
            </w:r>
          </w:p>
        </w:tc>
        <w:tc>
          <w:tcPr>
            <w:tcW w:w="1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1,753</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68</w:t>
            </w: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1,853</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1,856</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2480" w:type="dxa"/>
            <w:vAlign w:val="bottom"/>
            <w:shd w:val="clear" w:color="auto" w:fill="CCEEFF"/>
          </w:tcPr>
          <w:p>
            <w:pPr>
              <w:spacing w:after="0"/>
              <w:rPr>
                <w:sz w:val="19"/>
                <w:szCs w:val="19"/>
                <w:color w:val="auto"/>
              </w:rPr>
            </w:pPr>
          </w:p>
        </w:tc>
        <w:tc>
          <w:tcPr>
            <w:tcW w:w="3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980" w:type="dxa"/>
            <w:vAlign w:val="bottom"/>
            <w:gridSpan w:val="2"/>
          </w:tcPr>
          <w:p>
            <w:pPr>
              <w:spacing w:after="0"/>
              <w:rPr>
                <w:sz w:val="20"/>
                <w:szCs w:val="20"/>
                <w:color w:val="auto"/>
              </w:rPr>
            </w:pPr>
            <w:r>
              <w:rPr>
                <w:rFonts w:ascii="Arial" w:cs="Arial" w:eastAsia="Arial" w:hAnsi="Arial"/>
                <w:sz w:val="14"/>
                <w:szCs w:val="14"/>
                <w:b w:val="1"/>
                <w:bCs w:val="1"/>
                <w:color w:val="auto"/>
              </w:rPr>
              <w:t>Costs and Expenses:</w:t>
            </w: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Losses and loss adjustment expenses</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80" w:type="dxa"/>
            <w:vAlign w:val="bottom"/>
            <w:gridSpan w:val="2"/>
          </w:tcPr>
          <w:p>
            <w:pPr>
              <w:ind w:left="120"/>
              <w:spacing w:after="0"/>
              <w:rPr>
                <w:sz w:val="20"/>
                <w:szCs w:val="20"/>
                <w:color w:val="auto"/>
              </w:rPr>
            </w:pPr>
            <w:r>
              <w:rPr>
                <w:rFonts w:ascii="Arial" w:cs="Arial" w:eastAsia="Arial" w:hAnsi="Arial"/>
                <w:sz w:val="14"/>
                <w:szCs w:val="14"/>
                <w:color w:val="auto"/>
              </w:rPr>
              <w:t>Commissions and other underwriting expenses</w:t>
            </w: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521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530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530</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Interest charges on borrowed money</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80" w:type="dxa"/>
            <w:vAlign w:val="bottom"/>
            <w:gridSpan w:val="2"/>
          </w:tcPr>
          <w:p>
            <w:pPr>
              <w:ind w:left="120"/>
              <w:spacing w:after="0"/>
              <w:rPr>
                <w:sz w:val="20"/>
                <w:szCs w:val="20"/>
                <w:color w:val="auto"/>
              </w:rPr>
            </w:pPr>
            <w:r>
              <w:rPr>
                <w:rFonts w:ascii="Arial" w:cs="Arial" w:eastAsia="Arial" w:hAnsi="Arial"/>
                <w:sz w:val="14"/>
                <w:szCs w:val="14"/>
                <w:color w:val="auto"/>
              </w:rPr>
              <w:t>Expenses of MIEs</w:t>
            </w:r>
          </w:p>
        </w:tc>
        <w:tc>
          <w:tcPr>
            <w:tcW w:w="16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68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Other expenses</w:t>
            </w:r>
          </w:p>
        </w:tc>
        <w:tc>
          <w:tcPr>
            <w:tcW w:w="1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980" w:type="dxa"/>
            <w:vAlign w:val="bottom"/>
            <w:gridSpan w:val="2"/>
          </w:tcPr>
          <w:p>
            <w:pPr>
              <w:ind w:left="200"/>
              <w:spacing w:after="0"/>
              <w:rPr>
                <w:sz w:val="20"/>
                <w:szCs w:val="20"/>
                <w:color w:val="auto"/>
              </w:rPr>
            </w:pPr>
            <w:r>
              <w:rPr>
                <w:rFonts w:ascii="Arial" w:cs="Arial" w:eastAsia="Arial" w:hAnsi="Arial"/>
                <w:sz w:val="14"/>
                <w:szCs w:val="14"/>
                <w:color w:val="auto"/>
              </w:rPr>
              <w:t>Total costs and expenses</w:t>
            </w: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1,507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68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1,659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1,659</w:t>
            </w:r>
          </w:p>
        </w:tc>
        <w:tc>
          <w:tcPr>
            <w:tcW w:w="0" w:type="dxa"/>
            <w:vAlign w:val="bottom"/>
          </w:tcPr>
          <w:p>
            <w:pPr>
              <w:spacing w:after="0"/>
              <w:rPr>
                <w:sz w:val="1"/>
                <w:szCs w:val="1"/>
                <w:color w:val="auto"/>
              </w:rPr>
            </w:pPr>
          </w:p>
        </w:tc>
      </w:tr>
      <w:tr>
        <w:trPr>
          <w:trHeight w:val="200"/>
        </w:trPr>
        <w:tc>
          <w:tcPr>
            <w:tcW w:w="20" w:type="dxa"/>
            <w:vAlign w:val="bottom"/>
            <w:tcBorders>
              <w:top w:val="single" w:sz="8" w:color="CCEEFF"/>
            </w:tcBorders>
            <w:shd w:val="clear" w:color="auto" w:fill="CCEEFF"/>
          </w:tcPr>
          <w:p>
            <w:pPr>
              <w:spacing w:after="0"/>
              <w:rPr>
                <w:sz w:val="17"/>
                <w:szCs w:val="17"/>
                <w:color w:val="auto"/>
              </w:rPr>
            </w:pPr>
          </w:p>
        </w:tc>
        <w:tc>
          <w:tcPr>
            <w:tcW w:w="59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Earnings before income taxes</w:t>
            </w:r>
          </w:p>
        </w:tc>
        <w:tc>
          <w:tcPr>
            <w:tcW w:w="1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246</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194</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197</w:t>
            </w:r>
          </w:p>
        </w:tc>
        <w:tc>
          <w:tcPr>
            <w:tcW w:w="0" w:type="dxa"/>
            <w:vAlign w:val="bottom"/>
          </w:tcPr>
          <w:p>
            <w:pPr>
              <w:spacing w:after="0"/>
              <w:rPr>
                <w:sz w:val="1"/>
                <w:szCs w:val="1"/>
                <w:color w:val="auto"/>
              </w:rPr>
            </w:pPr>
          </w:p>
        </w:tc>
      </w:tr>
      <w:tr>
        <w:trPr>
          <w:trHeight w:val="199"/>
        </w:trPr>
        <w:tc>
          <w:tcPr>
            <w:tcW w:w="20" w:type="dxa"/>
            <w:vAlign w:val="bottom"/>
            <w:tcBorders>
              <w:bottom w:val="single" w:sz="8" w:color="CCEEFF"/>
            </w:tcBorders>
          </w:tcPr>
          <w:p>
            <w:pPr>
              <w:spacing w:after="0"/>
              <w:rPr>
                <w:sz w:val="17"/>
                <w:szCs w:val="17"/>
                <w:color w:val="auto"/>
              </w:rPr>
            </w:pPr>
          </w:p>
        </w:tc>
        <w:tc>
          <w:tcPr>
            <w:tcW w:w="598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Provision for income taxes</w:t>
            </w: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6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5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200"/>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Core Net Operating Earnings</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80" w:type="dxa"/>
            <w:vAlign w:val="bottom"/>
            <w:gridSpan w:val="2"/>
          </w:tcPr>
          <w:p>
            <w:pPr>
              <w:spacing w:after="0"/>
              <w:rPr>
                <w:sz w:val="20"/>
                <w:szCs w:val="20"/>
                <w:color w:val="auto"/>
              </w:rPr>
            </w:pPr>
            <w:r>
              <w:rPr>
                <w:rFonts w:ascii="Arial" w:cs="Arial" w:eastAsia="Arial" w:hAnsi="Arial"/>
                <w:sz w:val="14"/>
                <w:szCs w:val="14"/>
                <w:color w:val="auto"/>
              </w:rPr>
              <w:t>Non-core earnings (loss) (*):</w:t>
            </w: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Realized gains (losses) on securities, net of tax</w:t>
            </w:r>
          </w:p>
        </w:tc>
        <w:tc>
          <w:tcPr>
            <w:tcW w:w="1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980" w:type="dxa"/>
            <w:vAlign w:val="bottom"/>
            <w:gridSpan w:val="2"/>
          </w:tcPr>
          <w:p>
            <w:pPr>
              <w:spacing w:after="0"/>
              <w:rPr>
                <w:sz w:val="20"/>
                <w:szCs w:val="20"/>
                <w:color w:val="auto"/>
              </w:rPr>
            </w:pPr>
            <w:r>
              <w:rPr>
                <w:rFonts w:ascii="Arial" w:cs="Arial" w:eastAsia="Arial" w:hAnsi="Arial"/>
                <w:sz w:val="14"/>
                <w:szCs w:val="14"/>
                <w:b w:val="1"/>
                <w:bCs w:val="1"/>
                <w:color w:val="auto"/>
              </w:rPr>
              <w:t>Net Earnings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193</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154</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420" w:right="740" w:hanging="412"/>
        <w:spacing w:after="0" w:line="286" w:lineRule="auto"/>
        <w:tabs>
          <w:tab w:leader="none" w:pos="415" w:val="left"/>
        </w:tabs>
        <w:numPr>
          <w:ilvl w:val="0"/>
          <w:numId w:val="31"/>
        </w:numPr>
        <w:rPr>
          <w:rFonts w:ascii="Arial" w:cs="Arial" w:eastAsia="Arial" w:hAnsi="Arial"/>
          <w:sz w:val="16"/>
          <w:szCs w:val="16"/>
          <w:color w:val="auto"/>
        </w:rPr>
      </w:pPr>
      <w:r>
        <w:rPr>
          <w:rFonts w:ascii="Arial" w:cs="Arial" w:eastAsia="Arial" w:hAnsi="Arial"/>
          <w:sz w:val="16"/>
          <w:szCs w:val="16"/>
          <w:color w:val="auto"/>
        </w:rPr>
        <w:t>See the reconciliation of core earnings to GAAP net earnings under “</w:t>
      </w:r>
      <w:r>
        <w:rPr>
          <w:rFonts w:ascii="Arial" w:cs="Arial" w:eastAsia="Arial" w:hAnsi="Arial"/>
          <w:sz w:val="16"/>
          <w:szCs w:val="16"/>
          <w:i w:val="1"/>
          <w:iCs w:val="1"/>
          <w:color w:val="auto"/>
        </w:rPr>
        <w:t>Results of Operations — General”</w:t>
      </w:r>
      <w:r>
        <w:rPr>
          <w:rFonts w:ascii="Arial" w:cs="Arial" w:eastAsia="Arial" w:hAnsi="Arial"/>
          <w:sz w:val="16"/>
          <w:szCs w:val="16"/>
          <w:color w:val="auto"/>
        </w:rPr>
        <w:t xml:space="preserve"> for details on the tax impacts of these reconciling items.</w:t>
      </w:r>
    </w:p>
    <w:p>
      <w:pPr>
        <w:spacing w:after="0" w:line="186" w:lineRule="exact"/>
        <w:rPr>
          <w:sz w:val="20"/>
          <w:szCs w:val="20"/>
          <w:color w:val="auto"/>
        </w:rPr>
      </w:pPr>
    </w:p>
    <w:p>
      <w:pPr>
        <w:spacing w:after="0"/>
        <w:rPr>
          <w:sz w:val="20"/>
          <w:szCs w:val="20"/>
          <w:color w:val="auto"/>
        </w:rPr>
      </w:pPr>
      <w:r>
        <w:rPr>
          <w:rFonts w:ascii="Arial" w:cs="Arial" w:eastAsia="Arial" w:hAnsi="Arial"/>
          <w:sz w:val="25"/>
          <w:szCs w:val="25"/>
          <w:b w:val="1"/>
          <w:bCs w:val="1"/>
          <w:color w:val="003366"/>
        </w:rPr>
        <w:t>Property and Casualty Insurance Segment — Results of Operations</w:t>
      </w:r>
    </w:p>
    <w:p>
      <w:pPr>
        <w:spacing w:after="0" w:line="28" w:lineRule="exact"/>
        <w:rPr>
          <w:sz w:val="20"/>
          <w:szCs w:val="20"/>
          <w:color w:val="auto"/>
        </w:rPr>
      </w:pPr>
    </w:p>
    <w:p>
      <w:pPr>
        <w:ind w:right="40"/>
        <w:spacing w:after="0" w:line="256" w:lineRule="auto"/>
        <w:rPr>
          <w:sz w:val="20"/>
          <w:szCs w:val="20"/>
          <w:color w:val="auto"/>
        </w:rPr>
      </w:pPr>
      <w:r>
        <w:rPr>
          <w:rFonts w:ascii="Arial" w:cs="Arial" w:eastAsia="Arial" w:hAnsi="Arial"/>
          <w:sz w:val="17"/>
          <w:szCs w:val="17"/>
          <w:color w:val="auto"/>
        </w:rPr>
        <w:t>Performance measures such as underwriting profit or loss and related combined ratios are often used by property and casualty insurers to help users of their financial statements better understand the company’s performance. Underwriting profitability is measured by the combined ratio, which is a sum of the ratios of losses and loss adjustment expenses, and commissions and other underwriting expenses to premiums. A combined ratio under 100% indicates an underwriting profit. The combined ratio does not reflect net investment income, other income, other expenses or federal income taxes.</w:t>
      </w:r>
    </w:p>
    <w:p>
      <w:pPr>
        <w:spacing w:after="0" w:line="210" w:lineRule="exact"/>
        <w:rPr>
          <w:sz w:val="20"/>
          <w:szCs w:val="20"/>
          <w:color w:val="auto"/>
        </w:rPr>
      </w:pPr>
    </w:p>
    <w:p>
      <w:pPr>
        <w:ind w:right="740"/>
        <w:spacing w:after="0" w:line="284" w:lineRule="auto"/>
        <w:rPr>
          <w:sz w:val="20"/>
          <w:szCs w:val="20"/>
          <w:color w:val="auto"/>
        </w:rPr>
      </w:pPr>
      <w:r>
        <w:rPr>
          <w:rFonts w:ascii="Arial" w:cs="Arial" w:eastAsia="Arial" w:hAnsi="Arial"/>
          <w:sz w:val="17"/>
          <w:szCs w:val="17"/>
          <w:color w:val="auto"/>
        </w:rPr>
        <w:t>AFG’s property and casualty insurance operations contributed $309 million in pretax earnings in the first three months of 2026 compared to $246 million in the first three months of 2025, an increase of $63 million (26%), reflecting higher underwriting profit.</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2" w:name="page43"/>
    <w:bookmarkEnd w:id="42"/>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details AFG’s earnings before income taxes from its property and casualty insurance operations for the three months ended</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March 31, 2026 and 2025 (dollars in millions):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6580" w:type="dxa"/>
            <w:vAlign w:val="bottom"/>
          </w:tcPr>
          <w:p>
            <w:pPr>
              <w:spacing w:after="0"/>
              <w:rPr>
                <w:sz w:val="17"/>
                <w:szCs w:val="17"/>
                <w:color w:val="auto"/>
              </w:rPr>
            </w:pPr>
          </w:p>
        </w:tc>
        <w:tc>
          <w:tcPr>
            <w:tcW w:w="3340" w:type="dxa"/>
            <w:vAlign w:val="bottom"/>
            <w:tcBorders>
              <w:bottom w:val="single" w:sz="8" w:color="auto"/>
            </w:tcBorders>
            <w:gridSpan w:val="5"/>
          </w:tcPr>
          <w:p>
            <w:pPr>
              <w:jc w:val="right"/>
              <w:ind w:right="520"/>
              <w:spacing w:after="0"/>
              <w:rPr>
                <w:sz w:val="20"/>
                <w:szCs w:val="20"/>
                <w:color w:val="auto"/>
              </w:rPr>
            </w:pPr>
            <w:r>
              <w:rPr>
                <w:rFonts w:ascii="Arial" w:cs="Arial" w:eastAsia="Arial" w:hAnsi="Arial"/>
                <w:sz w:val="15"/>
                <w:szCs w:val="15"/>
                <w:color w:val="auto"/>
              </w:rPr>
              <w:t>Three months ended March 31,</w:t>
            </w: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1"/>
        </w:trPr>
        <w:tc>
          <w:tcPr>
            <w:tcW w:w="658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2026</w:t>
            </w: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60"/>
              <w:spacing w:after="0"/>
              <w:rPr>
                <w:sz w:val="20"/>
                <w:szCs w:val="20"/>
                <w:color w:val="auto"/>
              </w:rPr>
            </w:pPr>
            <w:r>
              <w:rPr>
                <w:rFonts w:ascii="Arial" w:cs="Arial" w:eastAsia="Arial" w:hAnsi="Arial"/>
                <w:sz w:val="15"/>
                <w:szCs w:val="15"/>
                <w:color w:val="auto"/>
              </w:rPr>
              <w:t>2025</w:t>
            </w:r>
          </w:p>
        </w:tc>
        <w:tc>
          <w:tcPr>
            <w:tcW w:w="10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jc w:val="right"/>
              <w:ind w:right="182"/>
              <w:spacing w:after="0"/>
              <w:rPr>
                <w:sz w:val="20"/>
                <w:szCs w:val="20"/>
                <w:color w:val="auto"/>
              </w:rPr>
            </w:pPr>
            <w:r>
              <w:rPr>
                <w:rFonts w:ascii="Arial" w:cs="Arial" w:eastAsia="Arial" w:hAnsi="Arial"/>
                <w:sz w:val="15"/>
                <w:szCs w:val="15"/>
                <w:color w:val="auto"/>
              </w:rPr>
              <w:t>% Change</w:t>
            </w:r>
          </w:p>
        </w:tc>
      </w:tr>
      <w:tr>
        <w:trPr>
          <w:trHeight w:val="211"/>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written premiums</w:t>
            </w:r>
          </w:p>
        </w:tc>
        <w:tc>
          <w:tcPr>
            <w:tcW w:w="1000" w:type="dxa"/>
            <w:vAlign w:val="bottom"/>
            <w:shd w:val="clear" w:color="auto" w:fill="CCEEFF"/>
          </w:tcPr>
          <w:p>
            <w:pPr>
              <w:jc w:val="right"/>
              <w:ind w:right="802"/>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99"/>
              </w:rPr>
              <w:t>2,435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2,291</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w:t>
            </w:r>
          </w:p>
        </w:tc>
      </w:tr>
      <w:tr>
        <w:trPr>
          <w:trHeight w:val="215"/>
        </w:trPr>
        <w:tc>
          <w:tcPr>
            <w:tcW w:w="6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Reinsurance premiums ceded</w:t>
            </w:r>
          </w:p>
        </w:tc>
        <w:tc>
          <w:tcPr>
            <w:tcW w:w="10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(771)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(680)</w:t>
            </w:r>
          </w:p>
        </w:tc>
        <w:tc>
          <w:tcPr>
            <w:tcW w:w="1320" w:type="dxa"/>
            <w:vAlign w:val="bottom"/>
            <w:tcBorders>
              <w:bottom w:val="single" w:sz="8" w:color="CCEEFF"/>
            </w:tcBorders>
            <w:gridSpan w:val="2"/>
          </w:tcPr>
          <w:p>
            <w:pPr>
              <w:jc w:val="right"/>
              <w:ind w:right="2"/>
              <w:spacing w:after="0"/>
              <w:rPr>
                <w:sz w:val="20"/>
                <w:szCs w:val="20"/>
                <w:color w:val="auto"/>
              </w:rPr>
            </w:pPr>
            <w:r>
              <w:rPr>
                <w:rFonts w:ascii="Arial" w:cs="Arial" w:eastAsia="Arial" w:hAnsi="Arial"/>
                <w:sz w:val="16"/>
                <w:szCs w:val="16"/>
                <w:color w:val="auto"/>
              </w:rPr>
              <w:t>13%</w:t>
            </w:r>
          </w:p>
        </w:tc>
      </w:tr>
      <w:tr>
        <w:trPr>
          <w:trHeight w:val="210"/>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written premiums</w:t>
            </w:r>
          </w:p>
        </w:tc>
        <w:tc>
          <w:tcPr>
            <w:tcW w:w="10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99"/>
              </w:rPr>
              <w:t>1,664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1,611</w:t>
            </w:r>
          </w:p>
        </w:tc>
        <w:tc>
          <w:tcPr>
            <w:tcW w:w="1320" w:type="dxa"/>
            <w:vAlign w:val="bottom"/>
            <w:gridSpan w:val="2"/>
            <w:shd w:val="clear" w:color="auto" w:fill="CCEEFF"/>
          </w:tcPr>
          <w:p>
            <w:pPr>
              <w:jc w:val="right"/>
              <w:ind w:right="2"/>
              <w:spacing w:after="0"/>
              <w:rPr>
                <w:sz w:val="20"/>
                <w:szCs w:val="20"/>
                <w:color w:val="auto"/>
              </w:rPr>
            </w:pPr>
            <w:r>
              <w:rPr>
                <w:rFonts w:ascii="Arial" w:cs="Arial" w:eastAsia="Arial" w:hAnsi="Arial"/>
                <w:sz w:val="16"/>
                <w:szCs w:val="16"/>
                <w:color w:val="auto"/>
              </w:rPr>
              <w:t>3%</w:t>
            </w:r>
          </w:p>
        </w:tc>
      </w:tr>
      <w:tr>
        <w:trPr>
          <w:trHeight w:val="215"/>
        </w:trPr>
        <w:tc>
          <w:tcPr>
            <w:tcW w:w="6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Change in unearned premiums</w:t>
            </w:r>
          </w:p>
        </w:tc>
        <w:tc>
          <w:tcPr>
            <w:tcW w:w="10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(55)</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(31)</w:t>
            </w:r>
          </w:p>
        </w:tc>
        <w:tc>
          <w:tcPr>
            <w:tcW w:w="1320" w:type="dxa"/>
            <w:vAlign w:val="bottom"/>
            <w:tcBorders>
              <w:bottom w:val="single" w:sz="8" w:color="CCEEFF"/>
            </w:tcBorders>
            <w:gridSpan w:val="2"/>
          </w:tcPr>
          <w:p>
            <w:pPr>
              <w:jc w:val="right"/>
              <w:ind w:right="2"/>
              <w:spacing w:after="0"/>
              <w:rPr>
                <w:sz w:val="20"/>
                <w:szCs w:val="20"/>
                <w:color w:val="auto"/>
              </w:rPr>
            </w:pPr>
            <w:r>
              <w:rPr>
                <w:rFonts w:ascii="Arial" w:cs="Arial" w:eastAsia="Arial" w:hAnsi="Arial"/>
                <w:sz w:val="16"/>
                <w:szCs w:val="16"/>
                <w:color w:val="auto"/>
              </w:rPr>
              <w:t>77%</w:t>
            </w:r>
          </w:p>
        </w:tc>
      </w:tr>
      <w:tr>
        <w:trPr>
          <w:trHeight w:val="210"/>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earned premiums</w:t>
            </w:r>
          </w:p>
        </w:tc>
        <w:tc>
          <w:tcPr>
            <w:tcW w:w="10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99"/>
              </w:rPr>
              <w:t>1,609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1,580</w:t>
            </w:r>
          </w:p>
        </w:tc>
        <w:tc>
          <w:tcPr>
            <w:tcW w:w="1320" w:type="dxa"/>
            <w:vAlign w:val="bottom"/>
            <w:gridSpan w:val="2"/>
            <w:shd w:val="clear" w:color="auto" w:fill="CCEEFF"/>
          </w:tcPr>
          <w:p>
            <w:pPr>
              <w:jc w:val="right"/>
              <w:ind w:right="2"/>
              <w:spacing w:after="0"/>
              <w:rPr>
                <w:sz w:val="20"/>
                <w:szCs w:val="20"/>
                <w:color w:val="auto"/>
              </w:rPr>
            </w:pPr>
            <w:r>
              <w:rPr>
                <w:rFonts w:ascii="Arial" w:cs="Arial" w:eastAsia="Arial" w:hAnsi="Arial"/>
                <w:sz w:val="16"/>
                <w:szCs w:val="16"/>
                <w:color w:val="auto"/>
              </w:rPr>
              <w:t>2%</w:t>
            </w:r>
          </w:p>
        </w:tc>
      </w:tr>
      <w:tr>
        <w:trPr>
          <w:trHeight w:val="215"/>
        </w:trPr>
        <w:tc>
          <w:tcPr>
            <w:tcW w:w="6580" w:type="dxa"/>
            <w:vAlign w:val="bottom"/>
          </w:tcPr>
          <w:p>
            <w:pPr>
              <w:ind w:left="20"/>
              <w:spacing w:after="0"/>
              <w:rPr>
                <w:sz w:val="20"/>
                <w:szCs w:val="20"/>
                <w:color w:val="auto"/>
              </w:rPr>
            </w:pPr>
            <w:r>
              <w:rPr>
                <w:rFonts w:ascii="Arial" w:cs="Arial" w:eastAsia="Arial" w:hAnsi="Arial"/>
                <w:sz w:val="16"/>
                <w:szCs w:val="16"/>
                <w:color w:val="auto"/>
              </w:rPr>
              <w:t>Loss and loss adjustment expenses</w:t>
            </w:r>
          </w:p>
        </w:tc>
        <w:tc>
          <w:tcPr>
            <w:tcW w:w="1000" w:type="dxa"/>
            <w:vAlign w:val="bottom"/>
          </w:tcPr>
          <w:p>
            <w:pPr>
              <w:spacing w:after="0"/>
              <w:rPr>
                <w:sz w:val="18"/>
                <w:szCs w:val="18"/>
                <w:color w:val="auto"/>
              </w:rPr>
            </w:pPr>
          </w:p>
        </w:tc>
        <w:tc>
          <w:tcPr>
            <w:tcW w:w="620" w:type="dxa"/>
            <w:vAlign w:val="bottom"/>
          </w:tcPr>
          <w:p>
            <w:pPr>
              <w:jc w:val="right"/>
              <w:ind w:right="119"/>
              <w:spacing w:after="0"/>
              <w:rPr>
                <w:sz w:val="20"/>
                <w:szCs w:val="20"/>
                <w:color w:val="auto"/>
              </w:rPr>
            </w:pPr>
            <w:r>
              <w:rPr>
                <w:rFonts w:ascii="Arial" w:cs="Arial" w:eastAsia="Arial" w:hAnsi="Arial"/>
                <w:sz w:val="16"/>
                <w:szCs w:val="16"/>
                <w:color w:val="auto"/>
              </w:rPr>
              <w:t>906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ind w:right="120"/>
              <w:spacing w:after="0"/>
              <w:rPr>
                <w:sz w:val="20"/>
                <w:szCs w:val="20"/>
                <w:color w:val="auto"/>
              </w:rPr>
            </w:pPr>
            <w:r>
              <w:rPr>
                <w:rFonts w:ascii="Arial" w:cs="Arial" w:eastAsia="Arial" w:hAnsi="Arial"/>
                <w:sz w:val="16"/>
                <w:szCs w:val="16"/>
                <w:color w:val="auto"/>
              </w:rPr>
              <w:t>965</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(6%)</w:t>
            </w:r>
          </w:p>
        </w:tc>
      </w:tr>
      <w:tr>
        <w:trPr>
          <w:trHeight w:val="217"/>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Commissions and other underwriting expenses</w:t>
            </w:r>
          </w:p>
        </w:tc>
        <w:tc>
          <w:tcPr>
            <w:tcW w:w="10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547</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521</w:t>
            </w:r>
          </w:p>
        </w:tc>
        <w:tc>
          <w:tcPr>
            <w:tcW w:w="1320" w:type="dxa"/>
            <w:vAlign w:val="bottom"/>
            <w:gridSpan w:val="2"/>
            <w:shd w:val="clear" w:color="auto" w:fill="CCEEFF"/>
          </w:tcPr>
          <w:p>
            <w:pPr>
              <w:jc w:val="right"/>
              <w:ind w:right="2"/>
              <w:spacing w:after="0"/>
              <w:rPr>
                <w:sz w:val="20"/>
                <w:szCs w:val="20"/>
                <w:color w:val="auto"/>
              </w:rPr>
            </w:pPr>
            <w:r>
              <w:rPr>
                <w:rFonts w:ascii="Arial" w:cs="Arial" w:eastAsia="Arial" w:hAnsi="Arial"/>
                <w:sz w:val="16"/>
                <w:szCs w:val="16"/>
                <w:color w:val="auto"/>
              </w:rPr>
              <w:t>5%</w:t>
            </w:r>
          </w:p>
        </w:tc>
      </w:tr>
      <w:tr>
        <w:trPr>
          <w:trHeight w:val="209"/>
        </w:trPr>
        <w:tc>
          <w:tcPr>
            <w:tcW w:w="6580" w:type="dxa"/>
            <w:vAlign w:val="bottom"/>
          </w:tcPr>
          <w:p>
            <w:pPr>
              <w:ind w:left="20"/>
              <w:spacing w:after="0"/>
              <w:rPr>
                <w:sz w:val="20"/>
                <w:szCs w:val="20"/>
                <w:color w:val="auto"/>
              </w:rPr>
            </w:pPr>
            <w:r>
              <w:rPr>
                <w:rFonts w:ascii="Arial" w:cs="Arial" w:eastAsia="Arial" w:hAnsi="Arial"/>
                <w:sz w:val="16"/>
                <w:szCs w:val="16"/>
                <w:b w:val="1"/>
                <w:bCs w:val="1"/>
                <w:color w:val="auto"/>
              </w:rPr>
              <w:t>Underwriting gain</w:t>
            </w:r>
          </w:p>
        </w:tc>
        <w:tc>
          <w:tcPr>
            <w:tcW w:w="1000" w:type="dxa"/>
            <w:vAlign w:val="bottom"/>
          </w:tcPr>
          <w:p>
            <w:pPr>
              <w:spacing w:after="0"/>
              <w:rPr>
                <w:sz w:val="18"/>
                <w:szCs w:val="18"/>
                <w:color w:val="auto"/>
              </w:rPr>
            </w:pPr>
          </w:p>
        </w:tc>
        <w:tc>
          <w:tcPr>
            <w:tcW w:w="620" w:type="dxa"/>
            <w:vAlign w:val="bottom"/>
          </w:tcPr>
          <w:p>
            <w:pPr>
              <w:jc w:val="right"/>
              <w:ind w:right="119"/>
              <w:spacing w:after="0"/>
              <w:rPr>
                <w:sz w:val="20"/>
                <w:szCs w:val="20"/>
                <w:color w:val="auto"/>
              </w:rPr>
            </w:pPr>
            <w:r>
              <w:rPr>
                <w:rFonts w:ascii="Arial" w:cs="Arial" w:eastAsia="Arial" w:hAnsi="Arial"/>
                <w:sz w:val="16"/>
                <w:szCs w:val="16"/>
                <w:color w:val="auto"/>
              </w:rPr>
              <w:t>156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ind w:right="120"/>
              <w:spacing w:after="0"/>
              <w:rPr>
                <w:sz w:val="20"/>
                <w:szCs w:val="20"/>
                <w:color w:val="auto"/>
              </w:rPr>
            </w:pPr>
            <w:r>
              <w:rPr>
                <w:rFonts w:ascii="Arial" w:cs="Arial" w:eastAsia="Arial" w:hAnsi="Arial"/>
                <w:sz w:val="16"/>
                <w:szCs w:val="16"/>
                <w:color w:val="auto"/>
              </w:rPr>
              <w:t>94</w:t>
            </w:r>
          </w:p>
        </w:tc>
        <w:tc>
          <w:tcPr>
            <w:tcW w:w="1320" w:type="dxa"/>
            <w:vAlign w:val="bottom"/>
            <w:gridSpan w:val="2"/>
          </w:tcPr>
          <w:p>
            <w:pPr>
              <w:jc w:val="right"/>
              <w:ind w:right="2"/>
              <w:spacing w:after="0"/>
              <w:rPr>
                <w:sz w:val="20"/>
                <w:szCs w:val="20"/>
                <w:color w:val="auto"/>
              </w:rPr>
            </w:pPr>
            <w:r>
              <w:rPr>
                <w:rFonts w:ascii="Arial" w:cs="Arial" w:eastAsia="Arial" w:hAnsi="Arial"/>
                <w:sz w:val="16"/>
                <w:szCs w:val="16"/>
                <w:color w:val="auto"/>
              </w:rPr>
              <w:t>66%</w:t>
            </w:r>
          </w:p>
        </w:tc>
      </w:tr>
      <w:tr>
        <w:trPr>
          <w:trHeight w:val="216"/>
        </w:trPr>
        <w:tc>
          <w:tcPr>
            <w:tcW w:w="65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5"/>
        </w:trPr>
        <w:tc>
          <w:tcPr>
            <w:tcW w:w="6580" w:type="dxa"/>
            <w:vAlign w:val="bottom"/>
          </w:tcPr>
          <w:p>
            <w:pPr>
              <w:ind w:left="20"/>
              <w:spacing w:after="0"/>
              <w:rPr>
                <w:sz w:val="20"/>
                <w:szCs w:val="20"/>
                <w:color w:val="auto"/>
              </w:rPr>
            </w:pPr>
            <w:r>
              <w:rPr>
                <w:rFonts w:ascii="Arial" w:cs="Arial" w:eastAsia="Arial" w:hAnsi="Arial"/>
                <w:sz w:val="16"/>
                <w:szCs w:val="16"/>
                <w:color w:val="auto"/>
              </w:rPr>
              <w:t>Net investment income</w:t>
            </w:r>
          </w:p>
        </w:tc>
        <w:tc>
          <w:tcPr>
            <w:tcW w:w="1000" w:type="dxa"/>
            <w:vAlign w:val="bottom"/>
          </w:tcPr>
          <w:p>
            <w:pPr>
              <w:spacing w:after="0"/>
              <w:rPr>
                <w:sz w:val="18"/>
                <w:szCs w:val="18"/>
                <w:color w:val="auto"/>
              </w:rPr>
            </w:pPr>
          </w:p>
        </w:tc>
        <w:tc>
          <w:tcPr>
            <w:tcW w:w="620" w:type="dxa"/>
            <w:vAlign w:val="bottom"/>
          </w:tcPr>
          <w:p>
            <w:pPr>
              <w:jc w:val="right"/>
              <w:ind w:right="119"/>
              <w:spacing w:after="0"/>
              <w:rPr>
                <w:sz w:val="20"/>
                <w:szCs w:val="20"/>
                <w:color w:val="auto"/>
              </w:rPr>
            </w:pPr>
            <w:r>
              <w:rPr>
                <w:rFonts w:ascii="Arial" w:cs="Arial" w:eastAsia="Arial" w:hAnsi="Arial"/>
                <w:sz w:val="16"/>
                <w:szCs w:val="16"/>
                <w:color w:val="auto"/>
              </w:rPr>
              <w:t>168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ind w:right="120"/>
              <w:spacing w:after="0"/>
              <w:rPr>
                <w:sz w:val="20"/>
                <w:szCs w:val="20"/>
                <w:color w:val="auto"/>
              </w:rPr>
            </w:pPr>
            <w:r>
              <w:rPr>
                <w:rFonts w:ascii="Arial" w:cs="Arial" w:eastAsia="Arial" w:hAnsi="Arial"/>
                <w:sz w:val="16"/>
                <w:szCs w:val="16"/>
                <w:color w:val="auto"/>
              </w:rPr>
              <w:t>170</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(1%)</w:t>
            </w:r>
          </w:p>
        </w:tc>
      </w:tr>
      <w:tr>
        <w:trPr>
          <w:trHeight w:val="217"/>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and expenses, net</w:t>
            </w:r>
          </w:p>
        </w:tc>
        <w:tc>
          <w:tcPr>
            <w:tcW w:w="10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(18)</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w:t>
            </w:r>
          </w:p>
        </w:tc>
      </w:tr>
      <w:tr>
        <w:trPr>
          <w:trHeight w:val="183"/>
        </w:trPr>
        <w:tc>
          <w:tcPr>
            <w:tcW w:w="6580" w:type="dxa"/>
            <w:vAlign w:val="bottom"/>
          </w:tcPr>
          <w:p>
            <w:pPr>
              <w:ind w:left="20"/>
              <w:spacing w:after="0" w:line="183" w:lineRule="exact"/>
              <w:rPr>
                <w:sz w:val="20"/>
                <w:szCs w:val="20"/>
                <w:color w:val="auto"/>
              </w:rPr>
            </w:pPr>
            <w:r>
              <w:rPr>
                <w:rFonts w:ascii="Arial" w:cs="Arial" w:eastAsia="Arial" w:hAnsi="Arial"/>
                <w:sz w:val="16"/>
                <w:szCs w:val="16"/>
                <w:b w:val="1"/>
                <w:bCs w:val="1"/>
                <w:color w:val="auto"/>
              </w:rPr>
              <w:t>Earnings before income taxes</w:t>
            </w:r>
          </w:p>
        </w:tc>
        <w:tc>
          <w:tcPr>
            <w:tcW w:w="1000" w:type="dxa"/>
            <w:vAlign w:val="bottom"/>
            <w:tcBorders>
              <w:bottom w:val="single" w:sz="8" w:color="auto"/>
            </w:tcBorders>
          </w:tcPr>
          <w:p>
            <w:pPr>
              <w:jc w:val="right"/>
              <w:ind w:right="802"/>
              <w:spacing w:after="0" w:line="183" w:lineRule="exact"/>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ind w:right="119"/>
              <w:spacing w:after="0" w:line="183" w:lineRule="exact"/>
              <w:rPr>
                <w:sz w:val="20"/>
                <w:szCs w:val="20"/>
                <w:color w:val="auto"/>
              </w:rPr>
            </w:pPr>
            <w:r>
              <w:rPr>
                <w:rFonts w:ascii="Arial" w:cs="Arial" w:eastAsia="Arial" w:hAnsi="Arial"/>
                <w:sz w:val="16"/>
                <w:szCs w:val="16"/>
                <w:color w:val="auto"/>
              </w:rPr>
              <w:t>309</w:t>
            </w:r>
          </w:p>
        </w:tc>
        <w:tc>
          <w:tcPr>
            <w:tcW w:w="100" w:type="dxa"/>
            <w:vAlign w:val="bottom"/>
          </w:tcPr>
          <w:p>
            <w:pPr>
              <w:spacing w:after="0"/>
              <w:rPr>
                <w:sz w:val="15"/>
                <w:szCs w:val="15"/>
                <w:color w:val="auto"/>
              </w:rPr>
            </w:pPr>
          </w:p>
        </w:tc>
        <w:tc>
          <w:tcPr>
            <w:tcW w:w="380" w:type="dxa"/>
            <w:vAlign w:val="bottom"/>
            <w:tcBorders>
              <w:bottom w:val="single" w:sz="8" w:color="auto"/>
            </w:tcBorders>
          </w:tcPr>
          <w:p>
            <w:pPr>
              <w:jc w:val="right"/>
              <w:ind w:right="199"/>
              <w:spacing w:after="0" w:line="183" w:lineRule="exact"/>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ind w:right="120"/>
              <w:spacing w:after="0" w:line="183" w:lineRule="exact"/>
              <w:rPr>
                <w:sz w:val="20"/>
                <w:szCs w:val="20"/>
                <w:color w:val="auto"/>
              </w:rPr>
            </w:pPr>
            <w:r>
              <w:rPr>
                <w:rFonts w:ascii="Arial" w:cs="Arial" w:eastAsia="Arial" w:hAnsi="Arial"/>
                <w:sz w:val="16"/>
                <w:szCs w:val="16"/>
                <w:color w:val="auto"/>
              </w:rPr>
              <w:t>246</w:t>
            </w:r>
          </w:p>
        </w:tc>
        <w:tc>
          <w:tcPr>
            <w:tcW w:w="1320" w:type="dxa"/>
            <w:vAlign w:val="bottom"/>
            <w:gridSpan w:val="2"/>
          </w:tcPr>
          <w:p>
            <w:pPr>
              <w:jc w:val="right"/>
              <w:ind w:right="2"/>
              <w:spacing w:after="0" w:line="183" w:lineRule="exact"/>
              <w:rPr>
                <w:sz w:val="20"/>
                <w:szCs w:val="20"/>
                <w:color w:val="auto"/>
              </w:rPr>
            </w:pPr>
            <w:r>
              <w:rPr>
                <w:rFonts w:ascii="Arial" w:cs="Arial" w:eastAsia="Arial" w:hAnsi="Arial"/>
                <w:sz w:val="16"/>
                <w:szCs w:val="16"/>
                <w:color w:val="auto"/>
              </w:rPr>
              <w:t>26%</w:t>
            </w:r>
          </w:p>
        </w:tc>
      </w:tr>
      <w:tr>
        <w:trPr>
          <w:trHeight w:val="21"/>
        </w:trPr>
        <w:tc>
          <w:tcPr>
            <w:tcW w:w="6580" w:type="dxa"/>
            <w:vAlign w:val="bottom"/>
          </w:tcPr>
          <w:p>
            <w:pPr>
              <w:spacing w:after="0" w:line="20" w:lineRule="exact"/>
              <w:rPr>
                <w:sz w:val="1"/>
                <w:szCs w:val="1"/>
                <w:color w:val="auto"/>
              </w:rPr>
            </w:pPr>
          </w:p>
        </w:tc>
        <w:tc>
          <w:tcPr>
            <w:tcW w:w="16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379"/>
        </w:trPr>
        <w:tc>
          <w:tcPr>
            <w:tcW w:w="6580" w:type="dxa"/>
            <w:vAlign w:val="bottom"/>
          </w:tcPr>
          <w:p>
            <w:pPr>
              <w:spacing w:after="0"/>
              <w:rPr>
                <w:sz w:val="24"/>
                <w:szCs w:val="24"/>
                <w:color w:val="auto"/>
              </w:rPr>
            </w:pPr>
          </w:p>
        </w:tc>
        <w:tc>
          <w:tcPr>
            <w:tcW w:w="3340" w:type="dxa"/>
            <w:vAlign w:val="bottom"/>
            <w:tcBorders>
              <w:bottom w:val="single" w:sz="8" w:color="auto"/>
            </w:tcBorders>
            <w:gridSpan w:val="5"/>
          </w:tcPr>
          <w:p>
            <w:pPr>
              <w:jc w:val="right"/>
              <w:ind w:right="520"/>
              <w:spacing w:after="0"/>
              <w:rPr>
                <w:sz w:val="20"/>
                <w:szCs w:val="20"/>
                <w:color w:val="auto"/>
              </w:rPr>
            </w:pPr>
            <w:r>
              <w:rPr>
                <w:rFonts w:ascii="Arial" w:cs="Arial" w:eastAsia="Arial" w:hAnsi="Arial"/>
                <w:sz w:val="15"/>
                <w:szCs w:val="15"/>
                <w:color w:val="auto"/>
              </w:rPr>
              <w:t>Three months ended March 31,</w:t>
            </w: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1"/>
        </w:trPr>
        <w:tc>
          <w:tcPr>
            <w:tcW w:w="658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2026</w:t>
            </w: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60"/>
              <w:spacing w:after="0"/>
              <w:rPr>
                <w:sz w:val="20"/>
                <w:szCs w:val="20"/>
                <w:color w:val="auto"/>
              </w:rPr>
            </w:pPr>
            <w:r>
              <w:rPr>
                <w:rFonts w:ascii="Arial" w:cs="Arial" w:eastAsia="Arial" w:hAnsi="Arial"/>
                <w:sz w:val="15"/>
                <w:szCs w:val="15"/>
                <w:color w:val="auto"/>
              </w:rPr>
              <w:t>2025</w:t>
            </w:r>
          </w:p>
        </w:tc>
        <w:tc>
          <w:tcPr>
            <w:tcW w:w="10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jc w:val="right"/>
              <w:ind w:right="262"/>
              <w:spacing w:after="0"/>
              <w:rPr>
                <w:sz w:val="20"/>
                <w:szCs w:val="20"/>
                <w:color w:val="auto"/>
              </w:rPr>
            </w:pPr>
            <w:r>
              <w:rPr>
                <w:rFonts w:ascii="Arial" w:cs="Arial" w:eastAsia="Arial" w:hAnsi="Arial"/>
                <w:sz w:val="15"/>
                <w:szCs w:val="15"/>
                <w:color w:val="auto"/>
              </w:rPr>
              <w:t>Change</w:t>
            </w:r>
          </w:p>
        </w:tc>
      </w:tr>
      <w:tr>
        <w:trPr>
          <w:trHeight w:val="197"/>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Combined Ratios:</w:t>
            </w:r>
          </w:p>
        </w:tc>
        <w:tc>
          <w:tcPr>
            <w:tcW w:w="10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15"/>
        </w:trPr>
        <w:tc>
          <w:tcPr>
            <w:tcW w:w="6580" w:type="dxa"/>
            <w:vAlign w:val="bottom"/>
          </w:tcPr>
          <w:p>
            <w:pPr>
              <w:ind w:left="20"/>
              <w:spacing w:after="0"/>
              <w:rPr>
                <w:sz w:val="20"/>
                <w:szCs w:val="20"/>
                <w:color w:val="auto"/>
              </w:rPr>
            </w:pPr>
            <w:r>
              <w:rPr>
                <w:rFonts w:ascii="Arial" w:cs="Arial" w:eastAsia="Arial" w:hAnsi="Arial"/>
                <w:sz w:val="16"/>
                <w:szCs w:val="16"/>
                <w:color w:val="auto"/>
              </w:rPr>
              <w:t>Specialty lines</w:t>
            </w: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7"/>
        </w:trPr>
        <w:tc>
          <w:tcPr>
            <w:tcW w:w="6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Loss and LAE ratio</w:t>
            </w:r>
          </w:p>
        </w:tc>
        <w:tc>
          <w:tcPr>
            <w:tcW w:w="10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(4.7%)</w:t>
            </w:r>
          </w:p>
        </w:tc>
      </w:tr>
      <w:tr>
        <w:trPr>
          <w:trHeight w:val="215"/>
        </w:trPr>
        <w:tc>
          <w:tcPr>
            <w:tcW w:w="65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Underwriting expense ratio</w:t>
            </w:r>
          </w:p>
        </w:tc>
        <w:tc>
          <w:tcPr>
            <w:tcW w:w="10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34.0%</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33.0%</w:t>
            </w:r>
          </w:p>
        </w:tc>
        <w:tc>
          <w:tcPr>
            <w:tcW w:w="1320" w:type="dxa"/>
            <w:vAlign w:val="bottom"/>
            <w:tcBorders>
              <w:bottom w:val="single" w:sz="8" w:color="CCEEFF"/>
            </w:tcBorders>
            <w:gridSpan w:val="2"/>
          </w:tcPr>
          <w:p>
            <w:pPr>
              <w:jc w:val="right"/>
              <w:ind w:right="2"/>
              <w:spacing w:after="0"/>
              <w:rPr>
                <w:sz w:val="20"/>
                <w:szCs w:val="20"/>
                <w:color w:val="auto"/>
              </w:rPr>
            </w:pPr>
            <w:r>
              <w:rPr>
                <w:rFonts w:ascii="Arial" w:cs="Arial" w:eastAsia="Arial" w:hAnsi="Arial"/>
                <w:sz w:val="16"/>
                <w:szCs w:val="16"/>
                <w:color w:val="auto"/>
              </w:rPr>
              <w:t>1.0%</w:t>
            </w:r>
          </w:p>
        </w:tc>
      </w:tr>
      <w:tr>
        <w:trPr>
          <w:trHeight w:val="235"/>
        </w:trPr>
        <w:tc>
          <w:tcPr>
            <w:tcW w:w="65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Combined ratio</w:t>
            </w:r>
          </w:p>
        </w:tc>
        <w:tc>
          <w:tcPr>
            <w:tcW w:w="100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94.0%</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(3.7%)</w:t>
            </w: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r>
    </w:tbl>
    <w:p>
      <w:pPr>
        <w:spacing w:after="0" w:line="188" w:lineRule="exact"/>
        <w:rPr>
          <w:sz w:val="20"/>
          <w:szCs w:val="20"/>
          <w:color w:val="auto"/>
        </w:rPr>
      </w:pPr>
    </w:p>
    <w:p>
      <w:pPr>
        <w:sectPr>
          <w:pgSz w:w="11900" w:h="16838" w:orient="portrait"/>
          <w:cols w:equalWidth="0" w:num="1">
            <w:col w:w="11240"/>
          </w:cols>
          <w:pgMar w:left="320" w:top="116" w:right="339" w:bottom="1440" w:gutter="0" w:footer="0" w:header="0"/>
        </w:sectPr>
      </w:pPr>
    </w:p>
    <w:p>
      <w:pPr>
        <w:ind w:left="20"/>
        <w:spacing w:after="0"/>
        <w:rPr>
          <w:sz w:val="20"/>
          <w:szCs w:val="20"/>
          <w:color w:val="auto"/>
        </w:rPr>
      </w:pPr>
      <w:r>
        <w:rPr>
          <w:rFonts w:ascii="Arial" w:cs="Arial" w:eastAsia="Arial" w:hAnsi="Arial"/>
          <w:sz w:val="16"/>
          <w:szCs w:val="16"/>
          <w:color w:val="auto"/>
        </w:rPr>
        <w:t>Aggregate — including exited lines</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Loss and LAE ratio</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Underwriting expense ratio</w:t>
      </w:r>
    </w:p>
    <w:p>
      <w:pPr>
        <w:spacing w:after="0" w:line="73" w:lineRule="exact"/>
        <w:rPr>
          <w:sz w:val="20"/>
          <w:szCs w:val="20"/>
          <w:color w:val="auto"/>
        </w:rPr>
      </w:pPr>
    </w:p>
    <w:p>
      <w:pPr>
        <w:ind w:left="680"/>
        <w:spacing w:after="0"/>
        <w:rPr>
          <w:sz w:val="20"/>
          <w:szCs w:val="20"/>
          <w:color w:val="auto"/>
        </w:rPr>
      </w:pPr>
      <w:r>
        <w:rPr>
          <w:rFonts w:ascii="Arial" w:cs="Arial" w:eastAsia="Arial" w:hAnsi="Arial"/>
          <w:sz w:val="16"/>
          <w:szCs w:val="16"/>
          <w:color w:val="auto"/>
        </w:rPr>
        <w:t>Combined ratio</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1620" w:type="dxa"/>
            <w:vAlign w:val="bottom"/>
          </w:tcPr>
          <w:p>
            <w:pPr>
              <w:jc w:val="right"/>
              <w:spacing w:after="0"/>
              <w:rPr>
                <w:sz w:val="20"/>
                <w:szCs w:val="20"/>
                <w:color w:val="auto"/>
              </w:rPr>
            </w:pPr>
            <w:r>
              <w:rPr>
                <w:rFonts w:ascii="Arial" w:cs="Arial" w:eastAsia="Arial" w:hAnsi="Arial"/>
                <w:sz w:val="16"/>
                <w:szCs w:val="16"/>
                <w:color w:val="auto"/>
              </w:rPr>
              <w:t>56.4%</w:t>
            </w:r>
          </w:p>
        </w:tc>
        <w:tc>
          <w:tcPr>
            <w:tcW w:w="1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61.1%</w:t>
            </w:r>
          </w:p>
        </w:tc>
        <w:tc>
          <w:tcPr>
            <w:tcW w:w="1300" w:type="dxa"/>
            <w:vAlign w:val="bottom"/>
          </w:tcPr>
          <w:p>
            <w:pPr>
              <w:jc w:val="right"/>
              <w:spacing w:after="0"/>
              <w:rPr>
                <w:sz w:val="20"/>
                <w:szCs w:val="20"/>
                <w:color w:val="auto"/>
              </w:rPr>
            </w:pPr>
            <w:r>
              <w:rPr>
                <w:rFonts w:ascii="Arial" w:cs="Arial" w:eastAsia="Arial" w:hAnsi="Arial"/>
                <w:sz w:val="16"/>
                <w:szCs w:val="16"/>
                <w:color w:val="auto"/>
              </w:rPr>
              <w:t>(4.7%)</w:t>
            </w:r>
          </w:p>
        </w:tc>
      </w:tr>
      <w:tr>
        <w:trPr>
          <w:trHeight w:val="217"/>
        </w:trPr>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34.0%</w:t>
            </w:r>
          </w:p>
        </w:tc>
        <w:tc>
          <w:tcPr>
            <w:tcW w:w="100" w:type="dxa"/>
            <w:vAlign w:val="bottom"/>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33.0%</w:t>
            </w:r>
          </w:p>
        </w:tc>
        <w:tc>
          <w:tcPr>
            <w:tcW w:w="130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10"/>
        </w:trPr>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90.4%</w:t>
            </w:r>
          </w:p>
        </w:tc>
        <w:tc>
          <w:tcPr>
            <w:tcW w:w="100" w:type="dxa"/>
            <w:vAlign w:val="bottom"/>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94.1%</w:t>
            </w:r>
          </w:p>
        </w:tc>
        <w:tc>
          <w:tcPr>
            <w:tcW w:w="130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20"/>
        </w:trPr>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-590550</wp:posOffset>
            </wp:positionV>
            <wp:extent cx="7132320"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-4172585</wp:posOffset>
            </wp:positionH>
            <wp:positionV relativeFrom="paragraph">
              <wp:posOffset>-316230</wp:posOffset>
            </wp:positionV>
            <wp:extent cx="7132320"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860" w:space="720"/>
            <w:col w:w="4660"/>
          </w:cols>
          <w:pgMar w:left="320" w:top="116" w:right="339" w:bottom="1440" w:gutter="0" w:footer="0" w:header="0"/>
          <w:type w:val="continuous"/>
        </w:sectPr>
      </w:pPr>
    </w:p>
    <w:p>
      <w:pPr>
        <w:spacing w:after="0" w:line="115" w:lineRule="exact"/>
        <w:rPr>
          <w:sz w:val="20"/>
          <w:szCs w:val="20"/>
          <w:color w:val="auto"/>
        </w:rPr>
      </w:pPr>
    </w:p>
    <w:p>
      <w:pPr>
        <w:ind w:right="120"/>
        <w:spacing w:after="0" w:line="284" w:lineRule="auto"/>
        <w:rPr>
          <w:sz w:val="20"/>
          <w:szCs w:val="20"/>
          <w:color w:val="auto"/>
        </w:rPr>
      </w:pPr>
      <w:r>
        <w:rPr>
          <w:rFonts w:ascii="Arial" w:cs="Arial" w:eastAsia="Arial" w:hAnsi="Arial"/>
          <w:sz w:val="17"/>
          <w:szCs w:val="17"/>
          <w:color w:val="auto"/>
        </w:rPr>
        <w:t>AFG reports the underwriting performance of its Specialty property and casualty insurance business in the following sub-segments: (i) Property and transportation, (ii) Specialty casualty and (iii) Specialty financial.</w:t>
      </w:r>
    </w:p>
    <w:p>
      <w:pPr>
        <w:spacing w:after="0" w:line="185" w:lineRule="exact"/>
        <w:rPr>
          <w:sz w:val="20"/>
          <w:szCs w:val="20"/>
          <w:color w:val="auto"/>
        </w:rPr>
      </w:pPr>
    </w:p>
    <w:p>
      <w:pPr>
        <w:ind w:right="180"/>
        <w:spacing w:after="0" w:line="261" w:lineRule="auto"/>
        <w:rPr>
          <w:sz w:val="20"/>
          <w:szCs w:val="20"/>
          <w:color w:val="auto"/>
        </w:rPr>
      </w:pPr>
      <w:r>
        <w:rPr>
          <w:rFonts w:ascii="Arial" w:cs="Arial" w:eastAsia="Arial" w:hAnsi="Arial"/>
          <w:sz w:val="17"/>
          <w:szCs w:val="17"/>
          <w:color w:val="auto"/>
        </w:rPr>
        <w:t>To understand the overall profitability of particular lines, the timing of claims payments and the related impact of investment income must be considered. Certain “short-tail” lines of business (primarily property coverages) generally have quick loss payouts, which reduce the time funds are held, thereby limiting investment income earned thereon. In contrast, “long-tail” lines of business (primarily liability coverages and workers’ compensation) generally have payouts that are either structured over many years or take many years to settle, thereby significantly increasing investment income earned on related premiums received.</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Gross Written Premiums</w:t>
      </w:r>
    </w:p>
    <w:p>
      <w:pPr>
        <w:spacing w:after="0" w:line="30" w:lineRule="exact"/>
        <w:rPr>
          <w:sz w:val="20"/>
          <w:szCs w:val="20"/>
          <w:color w:val="auto"/>
        </w:rPr>
      </w:pPr>
    </w:p>
    <w:p>
      <w:pPr>
        <w:ind w:right="100"/>
        <w:spacing w:after="0" w:line="264" w:lineRule="auto"/>
        <w:rPr>
          <w:sz w:val="20"/>
          <w:szCs w:val="20"/>
          <w:color w:val="auto"/>
        </w:rPr>
      </w:pPr>
      <w:r>
        <w:rPr>
          <w:rFonts w:ascii="Arial" w:cs="Arial" w:eastAsia="Arial" w:hAnsi="Arial"/>
          <w:sz w:val="17"/>
          <w:szCs w:val="17"/>
          <w:color w:val="auto"/>
        </w:rPr>
        <w:t>Gross written premiums (“GWP”) were $2.44 billion for the first three months of 2026 compared to $2.29 billion for the first three months of 2025, an increase of $144 million (6%). Detail of gross written premiums is shown below (dollars in millions):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4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6"/>
          </w:tcPr>
          <w:p>
            <w:pPr>
              <w:jc w:val="right"/>
              <w:ind w:right="540"/>
              <w:spacing w:after="0"/>
              <w:rPr>
                <w:sz w:val="20"/>
                <w:szCs w:val="20"/>
                <w:color w:val="auto"/>
              </w:rPr>
            </w:pPr>
            <w:r>
              <w:rPr>
                <w:rFonts w:ascii="Arial" w:cs="Arial" w:eastAsia="Arial" w:hAnsi="Arial"/>
                <w:sz w:val="14"/>
                <w:szCs w:val="14"/>
                <w:color w:val="auto"/>
              </w:rPr>
              <w:t>Three months ended March 31,</w:t>
            </w:r>
          </w:p>
        </w:tc>
        <w:tc>
          <w:tcPr>
            <w:tcW w:w="8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3"/>
        </w:trPr>
        <w:tc>
          <w:tcPr>
            <w:tcW w:w="54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color w:val="auto"/>
              </w:rPr>
              <w:t>2026</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color w:val="auto"/>
              </w:rPr>
              <w:t>2025</w:t>
            </w:r>
          </w:p>
        </w:tc>
        <w:tc>
          <w:tcPr>
            <w:tcW w:w="8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8"/>
        </w:trPr>
        <w:tc>
          <w:tcPr>
            <w:tcW w:w="5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gridSpan w:val="3"/>
          </w:tcPr>
          <w:p>
            <w:pPr>
              <w:jc w:val="right"/>
              <w:ind w:right="540"/>
              <w:spacing w:after="0"/>
              <w:rPr>
                <w:sz w:val="20"/>
                <w:szCs w:val="20"/>
                <w:color w:val="auto"/>
              </w:rPr>
            </w:pPr>
            <w:r>
              <w:rPr>
                <w:rFonts w:ascii="Arial" w:cs="Arial" w:eastAsia="Arial" w:hAnsi="Arial"/>
                <w:sz w:val="14"/>
                <w:szCs w:val="14"/>
                <w:color w:val="auto"/>
              </w:rPr>
              <w:t>GWP</w:t>
            </w:r>
          </w:p>
        </w:tc>
        <w:tc>
          <w:tcPr>
            <w:tcW w:w="940" w:type="dxa"/>
            <w:vAlign w:val="bottom"/>
          </w:tcPr>
          <w:p>
            <w:pPr>
              <w:jc w:val="right"/>
              <w:ind w:right="34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gridSpan w:val="3"/>
          </w:tcPr>
          <w:p>
            <w:pPr>
              <w:jc w:val="right"/>
              <w:ind w:right="760"/>
              <w:spacing w:after="0"/>
              <w:rPr>
                <w:sz w:val="20"/>
                <w:szCs w:val="20"/>
                <w:color w:val="auto"/>
              </w:rPr>
            </w:pPr>
            <w:r>
              <w:rPr>
                <w:rFonts w:ascii="Arial" w:cs="Arial" w:eastAsia="Arial" w:hAnsi="Arial"/>
                <w:sz w:val="14"/>
                <w:szCs w:val="14"/>
                <w:color w:val="auto"/>
              </w:rPr>
              <w:t>GWP</w:t>
            </w:r>
          </w:p>
        </w:tc>
        <w:tc>
          <w:tcPr>
            <w:tcW w:w="800" w:type="dxa"/>
            <w:vAlign w:val="bottom"/>
          </w:tcPr>
          <w:p>
            <w:pPr>
              <w:jc w:val="right"/>
              <w:ind w:right="381"/>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100" w:type="dxa"/>
            <w:vAlign w:val="bottom"/>
          </w:tcPr>
          <w:p>
            <w:pPr>
              <w:jc w:val="right"/>
              <w:ind w:right="144"/>
              <w:spacing w:after="0"/>
              <w:rPr>
                <w:sz w:val="20"/>
                <w:szCs w:val="20"/>
                <w:color w:val="auto"/>
              </w:rPr>
            </w:pPr>
            <w:r>
              <w:rPr>
                <w:rFonts w:ascii="Arial" w:cs="Arial" w:eastAsia="Arial" w:hAnsi="Arial"/>
                <w:sz w:val="14"/>
                <w:szCs w:val="14"/>
                <w:color w:val="auto"/>
              </w:rPr>
              <w:t>% Change</w:t>
            </w:r>
          </w:p>
        </w:tc>
      </w:tr>
      <w:tr>
        <w:trPr>
          <w:trHeight w:val="214"/>
        </w:trPr>
        <w:tc>
          <w:tcPr>
            <w:tcW w:w="5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Property and transportation</w:t>
            </w: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999</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897</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15"/>
        </w:trPr>
        <w:tc>
          <w:tcPr>
            <w:tcW w:w="5400" w:type="dxa"/>
            <w:vAlign w:val="bottom"/>
          </w:tcPr>
          <w:p>
            <w:pPr>
              <w:ind w:left="20"/>
              <w:spacing w:after="0"/>
              <w:rPr>
                <w:sz w:val="20"/>
                <w:szCs w:val="20"/>
                <w:color w:val="auto"/>
              </w:rPr>
            </w:pPr>
            <w:r>
              <w:rPr>
                <w:rFonts w:ascii="Arial" w:cs="Arial" w:eastAsia="Arial" w:hAnsi="Arial"/>
                <w:sz w:val="16"/>
                <w:szCs w:val="16"/>
                <w:color w:val="auto"/>
              </w:rPr>
              <w:t>Specialty casualty</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1,089</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1,068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47%</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2%</w:t>
            </w:r>
          </w:p>
        </w:tc>
      </w:tr>
      <w:tr>
        <w:trPr>
          <w:trHeight w:val="217"/>
        </w:trPr>
        <w:tc>
          <w:tcPr>
            <w:tcW w:w="5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Specialty financial</w:t>
            </w: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347</w:t>
            </w:r>
          </w:p>
        </w:tc>
        <w:tc>
          <w:tcPr>
            <w:tcW w:w="10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326</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w:t>
            </w:r>
          </w:p>
        </w:tc>
      </w:tr>
      <w:tr>
        <w:trPr>
          <w:trHeight w:val="209"/>
        </w:trPr>
        <w:tc>
          <w:tcPr>
            <w:tcW w:w="54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2,435</w:t>
            </w:r>
          </w:p>
        </w:tc>
        <w:tc>
          <w:tcPr>
            <w:tcW w:w="10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2,291</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6%</w:t>
            </w:r>
          </w:p>
        </w:tc>
      </w:tr>
      <w:tr>
        <w:trPr>
          <w:trHeight w:val="21"/>
        </w:trPr>
        <w:tc>
          <w:tcPr>
            <w:tcW w:w="5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6"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43" w:name="page44"/>
    <w:bookmarkEnd w:id="43"/>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Reinsurance Premiums Ceded</w:t>
      </w:r>
    </w:p>
    <w:p>
      <w:pPr>
        <w:spacing w:after="0" w:line="30" w:lineRule="exact"/>
        <w:rPr>
          <w:sz w:val="20"/>
          <w:szCs w:val="20"/>
          <w:color w:val="auto"/>
        </w:rPr>
      </w:pPr>
    </w:p>
    <w:p>
      <w:pPr>
        <w:ind w:right="180"/>
        <w:spacing w:after="0" w:line="264" w:lineRule="auto"/>
        <w:rPr>
          <w:sz w:val="20"/>
          <w:szCs w:val="20"/>
          <w:color w:val="auto"/>
        </w:rPr>
      </w:pPr>
      <w:r>
        <w:rPr>
          <w:rFonts w:ascii="Arial" w:cs="Arial" w:eastAsia="Arial" w:hAnsi="Arial"/>
          <w:sz w:val="17"/>
          <w:szCs w:val="17"/>
          <w:color w:val="auto"/>
        </w:rPr>
        <w:t>Reinsurance premiums ceded (“Ceded”) were 32% of gross written premiums for the first three months of 2026 compared to 30% for the first three months of 2025, an increase of 2 percentage points. Detail of reinsurance premiums ceded is shown below (dollars in millions):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6"/>
          </w:tcPr>
          <w:p>
            <w:pPr>
              <w:jc w:val="right"/>
              <w:ind w:right="440"/>
              <w:spacing w:after="0"/>
              <w:rPr>
                <w:sz w:val="20"/>
                <w:szCs w:val="20"/>
                <w:color w:val="auto"/>
              </w:rPr>
            </w:pPr>
            <w:r>
              <w:rPr>
                <w:rFonts w:ascii="Arial" w:cs="Arial" w:eastAsia="Arial" w:hAnsi="Arial"/>
                <w:sz w:val="14"/>
                <w:szCs w:val="14"/>
                <w:color w:val="auto"/>
              </w:rPr>
              <w:t>Three months ended March 31,</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6"/>
        </w:trPr>
        <w:tc>
          <w:tcPr>
            <w:tcW w:w="53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color w:val="auto"/>
              </w:rPr>
              <w:t>2026</w:t>
            </w:r>
          </w:p>
        </w:tc>
        <w:tc>
          <w:tcPr>
            <w:tcW w:w="9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color w:val="auto"/>
              </w:rPr>
              <w:t>2025</w:t>
            </w:r>
          </w:p>
        </w:tc>
        <w:tc>
          <w:tcPr>
            <w:tcW w:w="9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ind w:right="142"/>
              <w:spacing w:after="0"/>
              <w:rPr>
                <w:sz w:val="20"/>
                <w:szCs w:val="20"/>
                <w:color w:val="auto"/>
              </w:rPr>
            </w:pPr>
            <w:r>
              <w:rPr>
                <w:rFonts w:ascii="Arial" w:cs="Arial" w:eastAsia="Arial" w:hAnsi="Arial"/>
                <w:sz w:val="14"/>
                <w:szCs w:val="14"/>
                <w:color w:val="auto"/>
              </w:rPr>
              <w:t>Change in</w:t>
            </w:r>
          </w:p>
        </w:tc>
      </w:tr>
      <w:tr>
        <w:trPr>
          <w:trHeight w:val="198"/>
        </w:trPr>
        <w:tc>
          <w:tcPr>
            <w:tcW w:w="5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3"/>
          </w:tcPr>
          <w:p>
            <w:pPr>
              <w:jc w:val="right"/>
              <w:ind w:right="560"/>
              <w:spacing w:after="0"/>
              <w:rPr>
                <w:sz w:val="20"/>
                <w:szCs w:val="20"/>
                <w:color w:val="auto"/>
              </w:rPr>
            </w:pPr>
            <w:r>
              <w:rPr>
                <w:rFonts w:ascii="Arial" w:cs="Arial" w:eastAsia="Arial" w:hAnsi="Arial"/>
                <w:sz w:val="14"/>
                <w:szCs w:val="14"/>
                <w:color w:val="auto"/>
              </w:rPr>
              <w:t>Ceded</w:t>
            </w:r>
          </w:p>
        </w:tc>
        <w:tc>
          <w:tcPr>
            <w:tcW w:w="1060" w:type="dxa"/>
            <w:vAlign w:val="bottom"/>
            <w:gridSpan w:val="2"/>
          </w:tcPr>
          <w:p>
            <w:pPr>
              <w:ind w:left="100"/>
              <w:spacing w:after="0"/>
              <w:rPr>
                <w:sz w:val="20"/>
                <w:szCs w:val="20"/>
                <w:color w:val="auto"/>
              </w:rPr>
            </w:pPr>
            <w:r>
              <w:rPr>
                <w:rFonts w:ascii="Arial" w:cs="Arial" w:eastAsia="Arial" w:hAnsi="Arial"/>
                <w:sz w:val="14"/>
                <w:szCs w:val="14"/>
                <w:color w:val="auto"/>
              </w:rPr>
              <w:t>% of GWP</w:t>
            </w:r>
          </w:p>
        </w:tc>
        <w:tc>
          <w:tcPr>
            <w:tcW w:w="240" w:type="dxa"/>
            <w:vAlign w:val="bottom"/>
          </w:tcPr>
          <w:p>
            <w:pPr>
              <w:spacing w:after="0"/>
              <w:rPr>
                <w:sz w:val="17"/>
                <w:szCs w:val="17"/>
                <w:color w:val="auto"/>
              </w:rPr>
            </w:pPr>
          </w:p>
        </w:tc>
        <w:tc>
          <w:tcPr>
            <w:tcW w:w="1160" w:type="dxa"/>
            <w:vAlign w:val="bottom"/>
            <w:gridSpan w:val="3"/>
          </w:tcPr>
          <w:p>
            <w:pPr>
              <w:jc w:val="right"/>
              <w:ind w:right="600"/>
              <w:spacing w:after="0"/>
              <w:rPr>
                <w:sz w:val="20"/>
                <w:szCs w:val="20"/>
                <w:color w:val="auto"/>
              </w:rPr>
            </w:pPr>
            <w:r>
              <w:rPr>
                <w:rFonts w:ascii="Arial" w:cs="Arial" w:eastAsia="Arial" w:hAnsi="Arial"/>
                <w:sz w:val="14"/>
                <w:szCs w:val="14"/>
                <w:color w:val="auto"/>
              </w:rPr>
              <w:t>Ceded</w:t>
            </w:r>
          </w:p>
        </w:tc>
        <w:tc>
          <w:tcPr>
            <w:tcW w:w="1040" w:type="dxa"/>
            <w:vAlign w:val="bottom"/>
            <w:gridSpan w:val="2"/>
          </w:tcPr>
          <w:p>
            <w:pPr>
              <w:ind w:left="60"/>
              <w:spacing w:after="0"/>
              <w:rPr>
                <w:sz w:val="20"/>
                <w:szCs w:val="20"/>
                <w:color w:val="auto"/>
              </w:rPr>
            </w:pPr>
            <w:r>
              <w:rPr>
                <w:rFonts w:ascii="Arial" w:cs="Arial" w:eastAsia="Arial" w:hAnsi="Arial"/>
                <w:sz w:val="14"/>
                <w:szCs w:val="14"/>
                <w:color w:val="auto"/>
              </w:rPr>
              <w:t>% of GWP</w:t>
            </w:r>
          </w:p>
        </w:tc>
        <w:tc>
          <w:tcPr>
            <w:tcW w:w="1080" w:type="dxa"/>
            <w:vAlign w:val="bottom"/>
          </w:tcPr>
          <w:p>
            <w:pPr>
              <w:jc w:val="right"/>
              <w:ind w:right="122"/>
              <w:spacing w:after="0"/>
              <w:rPr>
                <w:sz w:val="20"/>
                <w:szCs w:val="20"/>
                <w:color w:val="auto"/>
              </w:rPr>
            </w:pPr>
            <w:r>
              <w:rPr>
                <w:rFonts w:ascii="Arial" w:cs="Arial" w:eastAsia="Arial" w:hAnsi="Arial"/>
                <w:sz w:val="14"/>
                <w:szCs w:val="14"/>
                <w:color w:val="auto"/>
              </w:rPr>
              <w:t>% of GWP</w:t>
            </w:r>
          </w:p>
        </w:tc>
      </w:tr>
      <w:tr>
        <w:trPr>
          <w:trHeight w:val="213"/>
        </w:trPr>
        <w:tc>
          <w:tcPr>
            <w:tcW w:w="5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Property and transportation</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(403)</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(334)</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15"/>
        </w:trPr>
        <w:tc>
          <w:tcPr>
            <w:tcW w:w="5300" w:type="dxa"/>
            <w:vAlign w:val="bottom"/>
          </w:tcPr>
          <w:p>
            <w:pPr>
              <w:ind w:left="20"/>
              <w:spacing w:after="0"/>
              <w:rPr>
                <w:sz w:val="20"/>
                <w:szCs w:val="20"/>
                <w:color w:val="auto"/>
              </w:rPr>
            </w:pPr>
            <w:r>
              <w:rPr>
                <w:rFonts w:ascii="Arial" w:cs="Arial" w:eastAsia="Arial" w:hAnsi="Arial"/>
                <w:sz w:val="16"/>
                <w:szCs w:val="16"/>
                <w:color w:val="auto"/>
              </w:rPr>
              <w:t>Specialty casualty</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(296)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5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Specialty financial</w:t>
            </w: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09"/>
        </w:trPr>
        <w:tc>
          <w:tcPr>
            <w:tcW w:w="53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32%</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
        </w:trPr>
        <w:tc>
          <w:tcPr>
            <w:tcW w:w="5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bl>
    <w:p>
      <w:pPr>
        <w:spacing w:after="0" w:line="300"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Net Written Premiums</w:t>
      </w:r>
    </w:p>
    <w:p>
      <w:pPr>
        <w:spacing w:after="0" w:line="30" w:lineRule="exact"/>
        <w:rPr>
          <w:sz w:val="20"/>
          <w:szCs w:val="20"/>
          <w:color w:val="auto"/>
        </w:rPr>
      </w:pPr>
    </w:p>
    <w:p>
      <w:pPr>
        <w:ind w:right="300"/>
        <w:spacing w:after="0" w:line="264" w:lineRule="auto"/>
        <w:rPr>
          <w:sz w:val="20"/>
          <w:szCs w:val="20"/>
          <w:color w:val="auto"/>
        </w:rPr>
      </w:pPr>
      <w:r>
        <w:rPr>
          <w:rFonts w:ascii="Arial" w:cs="Arial" w:eastAsia="Arial" w:hAnsi="Arial"/>
          <w:sz w:val="17"/>
          <w:szCs w:val="17"/>
          <w:color w:val="auto"/>
        </w:rPr>
        <w:t>Net written premiums (“NWP”) were $1.66 billion for the first three months of 2026 compared to $1.61 billion for the first three months of 2025, an increase of $53 million (3%). Detail of net written premiums is shown below (dollars in millions):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3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6"/>
          </w:tcPr>
          <w:p>
            <w:pPr>
              <w:jc w:val="right"/>
              <w:ind w:right="560"/>
              <w:spacing w:after="0"/>
              <w:rPr>
                <w:sz w:val="20"/>
                <w:szCs w:val="20"/>
                <w:color w:val="auto"/>
              </w:rPr>
            </w:pPr>
            <w:r>
              <w:rPr>
                <w:rFonts w:ascii="Arial" w:cs="Arial" w:eastAsia="Arial" w:hAnsi="Arial"/>
                <w:sz w:val="14"/>
                <w:szCs w:val="14"/>
                <w:color w:val="auto"/>
              </w:rPr>
              <w:t>Three months ended March 31,</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3"/>
        </w:trPr>
        <w:tc>
          <w:tcPr>
            <w:tcW w:w="53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color w:val="auto"/>
              </w:rPr>
              <w:t>2026</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color w:val="auto"/>
              </w:rPr>
              <w:t>2025</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8"/>
        </w:trPr>
        <w:tc>
          <w:tcPr>
            <w:tcW w:w="5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4"/>
                <w:szCs w:val="14"/>
                <w:color w:val="auto"/>
              </w:rPr>
              <w:t>NWP</w:t>
            </w:r>
          </w:p>
        </w:tc>
        <w:tc>
          <w:tcPr>
            <w:tcW w:w="980" w:type="dxa"/>
            <w:vAlign w:val="bottom"/>
          </w:tcPr>
          <w:p>
            <w:pPr>
              <w:jc w:val="right"/>
              <w:ind w:right="38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gridSpan w:val="3"/>
          </w:tcPr>
          <w:p>
            <w:pPr>
              <w:jc w:val="right"/>
              <w:ind w:right="760"/>
              <w:spacing w:after="0"/>
              <w:rPr>
                <w:sz w:val="20"/>
                <w:szCs w:val="20"/>
                <w:color w:val="auto"/>
              </w:rPr>
            </w:pPr>
            <w:r>
              <w:rPr>
                <w:rFonts w:ascii="Arial" w:cs="Arial" w:eastAsia="Arial" w:hAnsi="Arial"/>
                <w:sz w:val="14"/>
                <w:szCs w:val="14"/>
                <w:color w:val="auto"/>
              </w:rPr>
              <w:t>NWP</w:t>
            </w:r>
          </w:p>
        </w:tc>
        <w:tc>
          <w:tcPr>
            <w:tcW w:w="780" w:type="dxa"/>
            <w:vAlign w:val="bottom"/>
          </w:tcPr>
          <w:p>
            <w:pPr>
              <w:jc w:val="right"/>
              <w:ind w:right="381"/>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80" w:type="dxa"/>
            <w:vAlign w:val="bottom"/>
          </w:tcPr>
          <w:p>
            <w:pPr>
              <w:jc w:val="right"/>
              <w:ind w:right="124"/>
              <w:spacing w:after="0"/>
              <w:rPr>
                <w:sz w:val="20"/>
                <w:szCs w:val="20"/>
                <w:color w:val="auto"/>
              </w:rPr>
            </w:pPr>
            <w:r>
              <w:rPr>
                <w:rFonts w:ascii="Arial" w:cs="Arial" w:eastAsia="Arial" w:hAnsi="Arial"/>
                <w:sz w:val="14"/>
                <w:szCs w:val="14"/>
                <w:color w:val="auto"/>
              </w:rPr>
              <w:t>% Change</w:t>
            </w:r>
          </w:p>
        </w:tc>
      </w:tr>
      <w:tr>
        <w:trPr>
          <w:trHeight w:val="214"/>
        </w:trPr>
        <w:tc>
          <w:tcPr>
            <w:tcW w:w="5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Property and transportation</w:t>
            </w:r>
          </w:p>
        </w:tc>
        <w:tc>
          <w:tcPr>
            <w:tcW w:w="2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596</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563</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r>
      <w:tr>
        <w:trPr>
          <w:trHeight w:val="215"/>
        </w:trPr>
        <w:tc>
          <w:tcPr>
            <w:tcW w:w="5360" w:type="dxa"/>
            <w:vAlign w:val="bottom"/>
          </w:tcPr>
          <w:p>
            <w:pPr>
              <w:ind w:left="20"/>
              <w:spacing w:after="0"/>
              <w:rPr>
                <w:sz w:val="20"/>
                <w:szCs w:val="20"/>
                <w:color w:val="auto"/>
              </w:rPr>
            </w:pPr>
            <w:r>
              <w:rPr>
                <w:rFonts w:ascii="Arial" w:cs="Arial" w:eastAsia="Arial" w:hAnsi="Arial"/>
                <w:sz w:val="16"/>
                <w:szCs w:val="16"/>
                <w:color w:val="auto"/>
              </w:rPr>
              <w:t>Specialty casualty</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789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772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48%</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2%</w:t>
            </w:r>
          </w:p>
        </w:tc>
      </w:tr>
      <w:tr>
        <w:trPr>
          <w:trHeight w:val="217"/>
        </w:trPr>
        <w:tc>
          <w:tcPr>
            <w:tcW w:w="5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Specialty financial</w:t>
            </w: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279</w:t>
            </w:r>
          </w:p>
        </w:tc>
        <w:tc>
          <w:tcPr>
            <w:tcW w:w="10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276</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09"/>
        </w:trPr>
        <w:tc>
          <w:tcPr>
            <w:tcW w:w="5360" w:type="dxa"/>
            <w:vAlign w:val="bottom"/>
          </w:tcPr>
          <w:p>
            <w:pPr>
              <w:spacing w:after="0"/>
              <w:rPr>
                <w:sz w:val="18"/>
                <w:szCs w:val="18"/>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1,664</w:t>
            </w:r>
          </w:p>
        </w:tc>
        <w:tc>
          <w:tcPr>
            <w:tcW w:w="10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1,611</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3%</w:t>
            </w:r>
          </w:p>
        </w:tc>
      </w:tr>
      <w:tr>
        <w:trPr>
          <w:trHeight w:val="21"/>
        </w:trPr>
        <w:tc>
          <w:tcPr>
            <w:tcW w:w="5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bl>
    <w:p>
      <w:pPr>
        <w:spacing w:after="0" w:line="314"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Net Earned Premiums</w:t>
      </w:r>
    </w:p>
    <w:p>
      <w:pPr>
        <w:spacing w:after="0" w:line="17" w:lineRule="exact"/>
        <w:rPr>
          <w:sz w:val="20"/>
          <w:szCs w:val="20"/>
          <w:color w:val="auto"/>
        </w:rPr>
      </w:pPr>
    </w:p>
    <w:p>
      <w:pPr>
        <w:ind w:right="320"/>
        <w:spacing w:after="0" w:line="264" w:lineRule="auto"/>
        <w:rPr>
          <w:sz w:val="20"/>
          <w:szCs w:val="20"/>
          <w:color w:val="auto"/>
        </w:rPr>
      </w:pPr>
      <w:r>
        <w:rPr>
          <w:rFonts w:ascii="Arial" w:cs="Arial" w:eastAsia="Arial" w:hAnsi="Arial"/>
          <w:sz w:val="17"/>
          <w:szCs w:val="17"/>
          <w:color w:val="auto"/>
        </w:rPr>
        <w:t>Net earned premiums (“NEP”) were $1.61 billion for the first three months of 2026 compared to $1.58 billion for the first three months of 2025, an increase of $29 million (2%). Detail of net earned premiums is shown below (dollars in millions):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6"/>
          </w:tcPr>
          <w:p>
            <w:pPr>
              <w:jc w:val="right"/>
              <w:ind w:right="540"/>
              <w:spacing w:after="0"/>
              <w:rPr>
                <w:sz w:val="20"/>
                <w:szCs w:val="20"/>
                <w:color w:val="auto"/>
              </w:rPr>
            </w:pPr>
            <w:r>
              <w:rPr>
                <w:rFonts w:ascii="Arial" w:cs="Arial" w:eastAsia="Arial" w:hAnsi="Arial"/>
                <w:sz w:val="14"/>
                <w:szCs w:val="14"/>
                <w:color w:val="auto"/>
              </w:rPr>
              <w:t>Three months ended March 31,</w:t>
            </w:r>
          </w:p>
        </w:tc>
        <w:tc>
          <w:tcPr>
            <w:tcW w:w="8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94"/>
        </w:trPr>
        <w:tc>
          <w:tcPr>
            <w:tcW w:w="5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2026</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color w:val="auto"/>
              </w:rPr>
              <w:t>2025</w:t>
            </w:r>
          </w:p>
        </w:tc>
        <w:tc>
          <w:tcPr>
            <w:tcW w:w="8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98"/>
        </w:trPr>
        <w:tc>
          <w:tcPr>
            <w:tcW w:w="5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gridSpan w:val="3"/>
          </w:tcPr>
          <w:p>
            <w:pPr>
              <w:jc w:val="right"/>
              <w:ind w:right="580"/>
              <w:spacing w:after="0"/>
              <w:rPr>
                <w:sz w:val="20"/>
                <w:szCs w:val="20"/>
                <w:color w:val="auto"/>
              </w:rPr>
            </w:pPr>
            <w:r>
              <w:rPr>
                <w:rFonts w:ascii="Arial" w:cs="Arial" w:eastAsia="Arial" w:hAnsi="Arial"/>
                <w:sz w:val="14"/>
                <w:szCs w:val="14"/>
                <w:color w:val="auto"/>
              </w:rPr>
              <w:t>NEP</w:t>
            </w:r>
          </w:p>
        </w:tc>
        <w:tc>
          <w:tcPr>
            <w:tcW w:w="980" w:type="dxa"/>
            <w:vAlign w:val="bottom"/>
          </w:tcPr>
          <w:p>
            <w:pPr>
              <w:jc w:val="right"/>
              <w:ind w:right="38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gridSpan w:val="3"/>
          </w:tcPr>
          <w:p>
            <w:pPr>
              <w:jc w:val="right"/>
              <w:ind w:right="780"/>
              <w:spacing w:after="0"/>
              <w:rPr>
                <w:sz w:val="20"/>
                <w:szCs w:val="20"/>
                <w:color w:val="auto"/>
              </w:rPr>
            </w:pPr>
            <w:r>
              <w:rPr>
                <w:rFonts w:ascii="Arial" w:cs="Arial" w:eastAsia="Arial" w:hAnsi="Arial"/>
                <w:sz w:val="14"/>
                <w:szCs w:val="14"/>
                <w:color w:val="auto"/>
              </w:rPr>
              <w:t>NEP</w:t>
            </w:r>
          </w:p>
        </w:tc>
        <w:tc>
          <w:tcPr>
            <w:tcW w:w="800" w:type="dxa"/>
            <w:vAlign w:val="bottom"/>
          </w:tcPr>
          <w:p>
            <w:pPr>
              <w:jc w:val="right"/>
              <w:ind w:right="381"/>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220" w:type="dxa"/>
            <w:vAlign w:val="bottom"/>
          </w:tcPr>
          <w:p>
            <w:pPr>
              <w:jc w:val="right"/>
              <w:ind w:right="204"/>
              <w:spacing w:after="0"/>
              <w:rPr>
                <w:sz w:val="20"/>
                <w:szCs w:val="20"/>
                <w:color w:val="auto"/>
              </w:rPr>
            </w:pPr>
            <w:r>
              <w:rPr>
                <w:rFonts w:ascii="Arial" w:cs="Arial" w:eastAsia="Arial" w:hAnsi="Arial"/>
                <w:sz w:val="14"/>
                <w:szCs w:val="14"/>
                <w:color w:val="auto"/>
              </w:rPr>
              <w:t>% Change</w:t>
            </w:r>
          </w:p>
        </w:tc>
      </w:tr>
      <w:tr>
        <w:trPr>
          <w:trHeight w:val="213"/>
        </w:trPr>
        <w:tc>
          <w:tcPr>
            <w:tcW w:w="5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Property and transportation</w:t>
            </w:r>
          </w:p>
        </w:tc>
        <w:tc>
          <w:tcPr>
            <w:tcW w:w="2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526</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500</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8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5%</w:t>
            </w:r>
          </w:p>
        </w:tc>
      </w:tr>
      <w:tr>
        <w:trPr>
          <w:trHeight w:val="215"/>
        </w:trPr>
        <w:tc>
          <w:tcPr>
            <w:tcW w:w="5240" w:type="dxa"/>
            <w:vAlign w:val="bottom"/>
          </w:tcPr>
          <w:p>
            <w:pPr>
              <w:ind w:left="20"/>
              <w:spacing w:after="0"/>
              <w:rPr>
                <w:sz w:val="20"/>
                <w:szCs w:val="20"/>
                <w:color w:val="auto"/>
              </w:rPr>
            </w:pPr>
            <w:r>
              <w:rPr>
                <w:rFonts w:ascii="Arial" w:cs="Arial" w:eastAsia="Arial" w:hAnsi="Arial"/>
                <w:sz w:val="16"/>
                <w:szCs w:val="16"/>
                <w:color w:val="auto"/>
              </w:rPr>
              <w:t>Specialty casualty</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799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794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50%</w:t>
            </w:r>
          </w:p>
        </w:tc>
        <w:tc>
          <w:tcPr>
            <w:tcW w:w="1300" w:type="dxa"/>
            <w:vAlign w:val="bottom"/>
            <w:gridSpan w:val="2"/>
          </w:tcPr>
          <w:p>
            <w:pPr>
              <w:jc w:val="right"/>
              <w:ind w:right="4"/>
              <w:spacing w:after="0"/>
              <w:rPr>
                <w:sz w:val="20"/>
                <w:szCs w:val="20"/>
                <w:color w:val="auto"/>
              </w:rPr>
            </w:pPr>
            <w:r>
              <w:rPr>
                <w:rFonts w:ascii="Arial" w:cs="Arial" w:eastAsia="Arial" w:hAnsi="Arial"/>
                <w:sz w:val="16"/>
                <w:szCs w:val="16"/>
                <w:color w:val="auto"/>
              </w:rPr>
              <w:t>1%</w:t>
            </w:r>
          </w:p>
        </w:tc>
      </w:tr>
      <w:tr>
        <w:trPr>
          <w:trHeight w:val="217"/>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Specialty financial</w:t>
            </w:r>
          </w:p>
        </w:tc>
        <w:tc>
          <w:tcPr>
            <w:tcW w:w="2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284</w:t>
            </w:r>
          </w:p>
        </w:tc>
        <w:tc>
          <w:tcPr>
            <w:tcW w:w="10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286</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10"/>
        </w:trPr>
        <w:tc>
          <w:tcPr>
            <w:tcW w:w="5240" w:type="dxa"/>
            <w:vAlign w:val="bottom"/>
          </w:tcPr>
          <w:p>
            <w:pPr>
              <w:spacing w:after="0"/>
              <w:rPr>
                <w:sz w:val="18"/>
                <w:szCs w:val="18"/>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1,609</w:t>
            </w:r>
          </w:p>
        </w:tc>
        <w:tc>
          <w:tcPr>
            <w:tcW w:w="10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1,580</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1300" w:type="dxa"/>
            <w:vAlign w:val="bottom"/>
            <w:gridSpan w:val="2"/>
          </w:tcPr>
          <w:p>
            <w:pPr>
              <w:jc w:val="right"/>
              <w:ind w:right="4"/>
              <w:spacing w:after="0"/>
              <w:rPr>
                <w:sz w:val="20"/>
                <w:szCs w:val="20"/>
                <w:color w:val="auto"/>
              </w:rPr>
            </w:pPr>
            <w:r>
              <w:rPr>
                <w:rFonts w:ascii="Arial" w:cs="Arial" w:eastAsia="Arial" w:hAnsi="Arial"/>
                <w:sz w:val="16"/>
                <w:szCs w:val="16"/>
                <w:color w:val="auto"/>
              </w:rPr>
              <w:t>2%</w:t>
            </w:r>
          </w:p>
        </w:tc>
      </w:tr>
      <w:tr>
        <w:trPr>
          <w:trHeight w:val="20"/>
        </w:trPr>
        <w:tc>
          <w:tcPr>
            <w:tcW w:w="5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315" w:lineRule="exact"/>
        <w:rPr>
          <w:sz w:val="20"/>
          <w:szCs w:val="20"/>
          <w:color w:val="auto"/>
        </w:rPr>
      </w:pPr>
    </w:p>
    <w:p>
      <w:pPr>
        <w:jc w:val="both"/>
        <w:ind w:right="60"/>
        <w:spacing w:after="0" w:line="266" w:lineRule="auto"/>
        <w:rPr>
          <w:sz w:val="20"/>
          <w:szCs w:val="20"/>
          <w:color w:val="auto"/>
        </w:rPr>
      </w:pPr>
      <w:r>
        <w:rPr>
          <w:rFonts w:ascii="Arial" w:cs="Arial" w:eastAsia="Arial" w:hAnsi="Arial"/>
          <w:sz w:val="17"/>
          <w:szCs w:val="17"/>
          <w:color w:val="auto"/>
        </w:rPr>
        <w:t>Gross written premiums for the first three months of 2026 increased $144 million (6%) compared to the first three months of 2025 driven primarily by new business opportunities, a good renewal rate environment and increased exposures. Overall average renewal rates increased approximately 3% in the first three months of 2026. Excluding the workers’ compensation businesses, renewal pricing increased approximately 5%.</w:t>
      </w:r>
    </w:p>
    <w:p>
      <w:pPr>
        <w:spacing w:after="0" w:line="201" w:lineRule="exact"/>
        <w:rPr>
          <w:sz w:val="20"/>
          <w:szCs w:val="20"/>
          <w:color w:val="auto"/>
        </w:rPr>
      </w:pPr>
    </w:p>
    <w:p>
      <w:pPr>
        <w:ind w:right="20"/>
        <w:spacing w:after="0" w:line="251" w:lineRule="auto"/>
        <w:rPr>
          <w:sz w:val="20"/>
          <w:szCs w:val="20"/>
          <w:color w:val="auto"/>
        </w:rPr>
      </w:pPr>
      <w:r>
        <w:rPr>
          <w:rFonts w:ascii="Arial" w:cs="Arial" w:eastAsia="Arial" w:hAnsi="Arial"/>
          <w:sz w:val="20"/>
          <w:szCs w:val="20"/>
          <w:b w:val="1"/>
          <w:bCs w:val="1"/>
          <w:i w:val="1"/>
          <w:iCs w:val="1"/>
          <w:color w:val="003366"/>
        </w:rPr>
        <w:t xml:space="preserve">Property and transportation </w:t>
      </w:r>
      <w:r>
        <w:rPr>
          <w:rFonts w:ascii="Arial" w:cs="Arial" w:eastAsia="Arial" w:hAnsi="Arial"/>
          <w:sz w:val="17"/>
          <w:szCs w:val="17"/>
          <w:color w:val="000000"/>
        </w:rPr>
        <w:t>Gross written premiums increased $102 million (11%) in the first three months of 2026 compared to the first three</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months of 2025. This increase was due primarily to growth in crop insurance products that are heavily ceded, and to a lesser extent, new business opportunities, higher exposures and a favorable rate environment in the transportation businesses. Average renewal rates increased approximately 6% for this group in the first three months of 2026. Reinsurance premiums ceded as a percentage of gross written premiums increased 3 percentage points in the first three months of 2026 compared to the first three months of 2025, reflecting growth in the heavily ceded crop insurance products.</w:t>
      </w:r>
    </w:p>
    <w:p>
      <w:pPr>
        <w:spacing w:after="0" w:line="215" w:lineRule="exact"/>
        <w:rPr>
          <w:sz w:val="20"/>
          <w:szCs w:val="20"/>
          <w:color w:val="auto"/>
        </w:rPr>
      </w:pPr>
    </w:p>
    <w:p>
      <w:pPr>
        <w:spacing w:after="0" w:line="247" w:lineRule="auto"/>
        <w:rPr>
          <w:sz w:val="20"/>
          <w:szCs w:val="20"/>
          <w:color w:val="auto"/>
        </w:rPr>
      </w:pPr>
      <w:r>
        <w:rPr>
          <w:rFonts w:ascii="Arial" w:cs="Arial" w:eastAsia="Arial" w:hAnsi="Arial"/>
          <w:sz w:val="20"/>
          <w:szCs w:val="20"/>
          <w:b w:val="1"/>
          <w:bCs w:val="1"/>
          <w:i w:val="1"/>
          <w:iCs w:val="1"/>
          <w:color w:val="003366"/>
        </w:rPr>
        <w:t xml:space="preserve">Specialty casualty </w:t>
      </w:r>
      <w:r>
        <w:rPr>
          <w:rFonts w:ascii="Arial" w:cs="Arial" w:eastAsia="Arial" w:hAnsi="Arial"/>
          <w:sz w:val="17"/>
          <w:szCs w:val="17"/>
          <w:color w:val="000000"/>
        </w:rPr>
        <w:t>Gross written premiums increased $21 million (2%) in the first three months of 2026 compared to the first three months of</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2025. The primary drivers of growth included new business opportunities and favorable renewal pricing in the targeted markets and workers’ compensation businesses. This growth was tempered by heightened competitive conditions in the excess and surplus lines business. Average renewal rates increased approximately 3% for this group in the first three months of 2026. Excluding the workers’ compensation businesses, renewal rates for this group</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4" w:name="page45"/>
    <w:bookmarkEnd w:id="44"/>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51" w:lineRule="exact"/>
        <w:rPr>
          <w:sz w:val="20"/>
          <w:szCs w:val="20"/>
          <w:color w:val="auto"/>
        </w:rPr>
      </w:pPr>
    </w:p>
    <w:p>
      <w:pPr>
        <w:ind w:right="580"/>
        <w:spacing w:after="0" w:line="284" w:lineRule="auto"/>
        <w:rPr>
          <w:sz w:val="20"/>
          <w:szCs w:val="20"/>
          <w:color w:val="auto"/>
        </w:rPr>
      </w:pPr>
      <w:r>
        <w:rPr>
          <w:rFonts w:ascii="Arial" w:cs="Arial" w:eastAsia="Arial" w:hAnsi="Arial"/>
          <w:sz w:val="17"/>
          <w:szCs w:val="17"/>
          <w:color w:val="auto"/>
        </w:rPr>
        <w:t>increased approximately 6%. Reinsurance premiums ceded as a percentage of gross written premiums in the first three months of 2026 were comparable to the first three months of 2025.</w:t>
      </w:r>
    </w:p>
    <w:p>
      <w:pPr>
        <w:spacing w:after="0" w:line="186" w:lineRule="exact"/>
        <w:rPr>
          <w:sz w:val="20"/>
          <w:szCs w:val="20"/>
          <w:color w:val="auto"/>
        </w:rPr>
      </w:pPr>
    </w:p>
    <w:p>
      <w:pPr>
        <w:ind w:right="60"/>
        <w:spacing w:after="0" w:line="247" w:lineRule="auto"/>
        <w:rPr>
          <w:sz w:val="20"/>
          <w:szCs w:val="20"/>
          <w:color w:val="auto"/>
        </w:rPr>
      </w:pPr>
      <w:r>
        <w:rPr>
          <w:rFonts w:ascii="Arial" w:cs="Arial" w:eastAsia="Arial" w:hAnsi="Arial"/>
          <w:sz w:val="20"/>
          <w:szCs w:val="20"/>
          <w:b w:val="1"/>
          <w:bCs w:val="1"/>
          <w:i w:val="1"/>
          <w:iCs w:val="1"/>
          <w:color w:val="003366"/>
        </w:rPr>
        <w:t xml:space="preserve">Specialty financial </w:t>
      </w:r>
      <w:r>
        <w:rPr>
          <w:rFonts w:ascii="Arial" w:cs="Arial" w:eastAsia="Arial" w:hAnsi="Arial"/>
          <w:sz w:val="17"/>
          <w:szCs w:val="17"/>
          <w:color w:val="000000"/>
        </w:rPr>
        <w:t>Gross written premiums increased $21 million (6%) in the first three months of 2026 compared to the first three months of</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2025, due primarily to growth in the lender services businesses. Average renewal rates increased approximately 1% for this group in the first three months of 2026. Reinsurance premiums ceded as a percentage of gross written premiums increased 5 percentage points in the first three months of 2026 compared to the first three months of 2025, reflecting higher cessions of catastrophe exposed business in the financial institutions business.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Combined Ratio</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(dollars in millions) details the components of the combined ratio:</w:t>
      </w:r>
    </w:p>
    <w:p>
      <w:pPr>
        <w:spacing w:after="0" w:line="139" w:lineRule="exact"/>
        <w:rPr>
          <w:sz w:val="20"/>
          <w:szCs w:val="20"/>
          <w:color w:val="auto"/>
        </w:rPr>
      </w:pPr>
    </w:p>
    <w:tbl>
      <w:tblPr>
        <w:tblLayout w:type="fixed"/>
        <w:tblInd w:w="4000" w:type="dxa"/>
        <w:tblCellMar>
          <w:top w:w="0" w:type="dxa"/>
          <w:left w:w="0" w:type="dxa"/>
          <w:bottom w:w="0" w:type="dxa"/>
          <w:right w:w="0" w:type="dxa"/>
        </w:tblCellMar>
      </w:tblPr>
      <w:tr>
        <w:trPr>
          <w:trHeight w:val="192"/>
        </w:trPr>
        <w:tc>
          <w:tcPr>
            <w:tcW w:w="3080" w:type="dxa"/>
            <w:vAlign w:val="bottom"/>
            <w:tcBorders>
              <w:bottom w:val="single" w:sz="8" w:color="auto"/>
            </w:tcBorders>
            <w:gridSpan w:val="2"/>
          </w:tcPr>
          <w:p>
            <w:pPr>
              <w:jc w:val="right"/>
              <w:ind w:right="468"/>
              <w:spacing w:after="0"/>
              <w:rPr>
                <w:sz w:val="20"/>
                <w:szCs w:val="20"/>
                <w:color w:val="auto"/>
              </w:rPr>
            </w:pPr>
            <w:r>
              <w:rPr>
                <w:rFonts w:ascii="Arial" w:cs="Arial" w:eastAsia="Arial" w:hAnsi="Arial"/>
                <w:sz w:val="14"/>
                <w:szCs w:val="14"/>
                <w:color w:val="auto"/>
              </w:rPr>
              <w:t>Three months ended March 31,</w:t>
            </w:r>
          </w:p>
        </w:tc>
        <w:tc>
          <w:tcPr>
            <w:tcW w:w="1300" w:type="dxa"/>
            <w:vAlign w:val="bottom"/>
          </w:tcPr>
          <w:p>
            <w:pPr>
              <w:spacing w:after="0"/>
              <w:rPr>
                <w:sz w:val="16"/>
                <w:szCs w:val="16"/>
                <w:color w:val="auto"/>
              </w:rPr>
            </w:pPr>
          </w:p>
        </w:tc>
        <w:tc>
          <w:tcPr>
            <w:tcW w:w="2860" w:type="dxa"/>
            <w:vAlign w:val="bottom"/>
            <w:tcBorders>
              <w:bottom w:val="single" w:sz="8" w:color="auto"/>
            </w:tcBorders>
            <w:gridSpan w:val="2"/>
          </w:tcPr>
          <w:p>
            <w:pPr>
              <w:jc w:val="right"/>
              <w:ind w:right="348"/>
              <w:spacing w:after="0"/>
              <w:rPr>
                <w:sz w:val="20"/>
                <w:szCs w:val="20"/>
                <w:color w:val="auto"/>
              </w:rPr>
            </w:pPr>
            <w:r>
              <w:rPr>
                <w:rFonts w:ascii="Arial" w:cs="Arial" w:eastAsia="Arial" w:hAnsi="Arial"/>
                <w:sz w:val="14"/>
                <w:szCs w:val="14"/>
                <w:color w:val="auto"/>
              </w:rPr>
              <w:t>Three months ended March 31,</w:t>
            </w:r>
          </w:p>
        </w:tc>
      </w:tr>
      <w:tr>
        <w:trPr>
          <w:trHeight w:val="194"/>
        </w:trPr>
        <w:tc>
          <w:tcPr>
            <w:tcW w:w="1540" w:type="dxa"/>
            <w:vAlign w:val="bottom"/>
          </w:tcPr>
          <w:p>
            <w:pPr>
              <w:jc w:val="right"/>
              <w:ind w:right="568"/>
              <w:spacing w:after="0"/>
              <w:rPr>
                <w:sz w:val="20"/>
                <w:szCs w:val="20"/>
                <w:color w:val="auto"/>
              </w:rPr>
            </w:pPr>
            <w:r>
              <w:rPr>
                <w:rFonts w:ascii="Arial" w:cs="Arial" w:eastAsia="Arial" w:hAnsi="Arial"/>
                <w:sz w:val="14"/>
                <w:szCs w:val="14"/>
                <w:color w:val="auto"/>
              </w:rPr>
              <w:t>2026</w:t>
            </w:r>
          </w:p>
        </w:tc>
        <w:tc>
          <w:tcPr>
            <w:tcW w:w="1540" w:type="dxa"/>
            <w:vAlign w:val="bottom"/>
          </w:tcPr>
          <w:p>
            <w:pPr>
              <w:jc w:val="right"/>
              <w:ind w:right="508"/>
              <w:spacing w:after="0"/>
              <w:rPr>
                <w:sz w:val="20"/>
                <w:szCs w:val="20"/>
                <w:color w:val="auto"/>
              </w:rPr>
            </w:pPr>
            <w:r>
              <w:rPr>
                <w:rFonts w:ascii="Arial" w:cs="Arial" w:eastAsia="Arial" w:hAnsi="Arial"/>
                <w:sz w:val="14"/>
                <w:szCs w:val="14"/>
                <w:color w:val="auto"/>
              </w:rPr>
              <w:t>2025</w:t>
            </w:r>
          </w:p>
        </w:tc>
        <w:tc>
          <w:tcPr>
            <w:tcW w:w="1300" w:type="dxa"/>
            <w:vAlign w:val="bottom"/>
          </w:tcPr>
          <w:p>
            <w:pPr>
              <w:ind w:left="400"/>
              <w:spacing w:after="0"/>
              <w:rPr>
                <w:sz w:val="20"/>
                <w:szCs w:val="20"/>
                <w:color w:val="auto"/>
              </w:rPr>
            </w:pPr>
            <w:r>
              <w:rPr>
                <w:rFonts w:ascii="Arial" w:cs="Arial" w:eastAsia="Arial" w:hAnsi="Arial"/>
                <w:sz w:val="14"/>
                <w:szCs w:val="14"/>
                <w:color w:val="auto"/>
              </w:rPr>
              <w:t>Change</w:t>
            </w:r>
          </w:p>
        </w:tc>
        <w:tc>
          <w:tcPr>
            <w:tcW w:w="1440" w:type="dxa"/>
            <w:vAlign w:val="bottom"/>
          </w:tcPr>
          <w:p>
            <w:pPr>
              <w:jc w:val="right"/>
              <w:ind w:right="508"/>
              <w:spacing w:after="0"/>
              <w:rPr>
                <w:sz w:val="20"/>
                <w:szCs w:val="20"/>
                <w:color w:val="auto"/>
              </w:rPr>
            </w:pPr>
            <w:r>
              <w:rPr>
                <w:rFonts w:ascii="Arial" w:cs="Arial" w:eastAsia="Arial" w:hAnsi="Arial"/>
                <w:sz w:val="14"/>
                <w:szCs w:val="14"/>
                <w:color w:val="auto"/>
              </w:rPr>
              <w:t>2026</w:t>
            </w:r>
          </w:p>
        </w:tc>
        <w:tc>
          <w:tcPr>
            <w:tcW w:w="1420" w:type="dxa"/>
            <w:vAlign w:val="bottom"/>
          </w:tcPr>
          <w:p>
            <w:pPr>
              <w:jc w:val="right"/>
              <w:ind w:right="448"/>
              <w:spacing w:after="0"/>
              <w:rPr>
                <w:sz w:val="20"/>
                <w:szCs w:val="20"/>
                <w:color w:val="auto"/>
              </w:rPr>
            </w:pPr>
            <w:r>
              <w:rPr>
                <w:rFonts w:ascii="Arial" w:cs="Arial" w:eastAsia="Arial" w:hAnsi="Arial"/>
                <w:sz w:val="14"/>
                <w:szCs w:val="14"/>
                <w:color w:val="auto"/>
              </w:rPr>
              <w:t>2025</w:t>
            </w:r>
          </w:p>
        </w:tc>
      </w:tr>
    </w:tbl>
    <w:p>
      <w:pPr>
        <w:spacing w:after="0" w:line="7" w:lineRule="exact"/>
        <w:rPr>
          <w:sz w:val="20"/>
          <w:szCs w:val="20"/>
          <w:color w:val="auto"/>
        </w:rPr>
      </w:pPr>
    </w:p>
    <w:p>
      <w:pPr>
        <w:sectPr>
          <w:pgSz w:w="11900" w:h="16838" w:orient="portrait"/>
          <w:cols w:equalWidth="0" w:num="1">
            <w:col w:w="11240"/>
          </w:cols>
          <w:pgMar w:left="320" w:top="116" w:right="339" w:bottom="1440" w:gutter="0" w:footer="0" w:header="0"/>
        </w:sectPr>
      </w:pPr>
    </w:p>
    <w:p>
      <w:pPr>
        <w:ind w:left="20"/>
        <w:spacing w:after="0"/>
        <w:rPr>
          <w:sz w:val="20"/>
          <w:szCs w:val="20"/>
          <w:color w:val="auto"/>
        </w:rPr>
      </w:pPr>
      <w:r>
        <w:rPr>
          <w:rFonts w:ascii="Arial" w:cs="Arial" w:eastAsia="Arial" w:hAnsi="Arial"/>
          <w:sz w:val="16"/>
          <w:szCs w:val="16"/>
          <w:b w:val="1"/>
          <w:bCs w:val="1"/>
          <w:color w:val="auto"/>
        </w:rPr>
        <w:t>Property and transportation</w:t>
      </w:r>
    </w:p>
    <w:p>
      <w:pPr>
        <w:spacing w:after="0" w:line="3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Loss and LAE ratio</w:t>
      </w:r>
    </w:p>
    <w:p>
      <w:pPr>
        <w:spacing w:after="0" w:line="25" w:lineRule="exact"/>
        <w:rPr>
          <w:sz w:val="20"/>
          <w:szCs w:val="20"/>
          <w:color w:val="auto"/>
        </w:rPr>
      </w:pPr>
    </w:p>
    <w:p>
      <w:pPr>
        <w:ind w:left="260"/>
        <w:spacing w:after="0"/>
        <w:rPr>
          <w:sz w:val="20"/>
          <w:szCs w:val="20"/>
          <w:color w:val="auto"/>
        </w:rPr>
      </w:pPr>
      <w:r>
        <w:rPr>
          <w:rFonts w:ascii="Arial" w:cs="Arial" w:eastAsia="Arial" w:hAnsi="Arial"/>
          <w:sz w:val="16"/>
          <w:szCs w:val="16"/>
          <w:color w:val="auto"/>
        </w:rPr>
        <w:t>Underwriting expense ratio</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Combined ratio</w:t>
      </w:r>
    </w:p>
    <w:p>
      <w:pPr>
        <w:spacing w:after="0" w:line="5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Underwriting profit</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Specialty casualty</w:t>
      </w:r>
    </w:p>
    <w:p>
      <w:pPr>
        <w:spacing w:after="0" w:line="3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Loss and LAE ratio</w:t>
      </w:r>
    </w:p>
    <w:p>
      <w:pPr>
        <w:spacing w:after="0" w:line="25" w:lineRule="exact"/>
        <w:rPr>
          <w:sz w:val="20"/>
          <w:szCs w:val="20"/>
          <w:color w:val="auto"/>
        </w:rPr>
      </w:pPr>
    </w:p>
    <w:p>
      <w:pPr>
        <w:ind w:left="260"/>
        <w:spacing w:after="0"/>
        <w:rPr>
          <w:sz w:val="20"/>
          <w:szCs w:val="20"/>
          <w:color w:val="auto"/>
        </w:rPr>
      </w:pPr>
      <w:r>
        <w:rPr>
          <w:rFonts w:ascii="Arial" w:cs="Arial" w:eastAsia="Arial" w:hAnsi="Arial"/>
          <w:sz w:val="16"/>
          <w:szCs w:val="16"/>
          <w:color w:val="auto"/>
        </w:rPr>
        <w:t>Underwriting expense ratio</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Combined ratio</w:t>
      </w:r>
    </w:p>
    <w:p>
      <w:pPr>
        <w:spacing w:after="0" w:line="5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Underwriting profit</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Specialty financial</w:t>
      </w:r>
    </w:p>
    <w:p>
      <w:pPr>
        <w:spacing w:after="0" w:line="3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Loss and LAE ratio</w:t>
      </w:r>
    </w:p>
    <w:p>
      <w:pPr>
        <w:spacing w:after="0" w:line="25" w:lineRule="exact"/>
        <w:rPr>
          <w:sz w:val="20"/>
          <w:szCs w:val="20"/>
          <w:color w:val="auto"/>
        </w:rPr>
      </w:pPr>
    </w:p>
    <w:p>
      <w:pPr>
        <w:ind w:left="260"/>
        <w:spacing w:after="0"/>
        <w:rPr>
          <w:sz w:val="20"/>
          <w:szCs w:val="20"/>
          <w:color w:val="auto"/>
        </w:rPr>
      </w:pPr>
      <w:r>
        <w:rPr>
          <w:rFonts w:ascii="Arial" w:cs="Arial" w:eastAsia="Arial" w:hAnsi="Arial"/>
          <w:sz w:val="16"/>
          <w:szCs w:val="16"/>
          <w:color w:val="auto"/>
        </w:rPr>
        <w:t>Underwriting expense ratio</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Combined ratio</w:t>
      </w:r>
    </w:p>
    <w:p>
      <w:pPr>
        <w:spacing w:after="0" w:line="5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Underwriting profit</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Total Specialty</w:t>
      </w:r>
    </w:p>
    <w:p>
      <w:pPr>
        <w:spacing w:after="0" w:line="3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Loss and LAE ratio</w:t>
      </w:r>
    </w:p>
    <w:p>
      <w:pPr>
        <w:spacing w:after="0" w:line="25" w:lineRule="exact"/>
        <w:rPr>
          <w:sz w:val="20"/>
          <w:szCs w:val="20"/>
          <w:color w:val="auto"/>
        </w:rPr>
      </w:pPr>
    </w:p>
    <w:p>
      <w:pPr>
        <w:ind w:left="260"/>
        <w:spacing w:after="0"/>
        <w:rPr>
          <w:sz w:val="20"/>
          <w:szCs w:val="20"/>
          <w:color w:val="auto"/>
        </w:rPr>
      </w:pPr>
      <w:r>
        <w:rPr>
          <w:rFonts w:ascii="Arial" w:cs="Arial" w:eastAsia="Arial" w:hAnsi="Arial"/>
          <w:sz w:val="16"/>
          <w:szCs w:val="16"/>
          <w:color w:val="auto"/>
        </w:rPr>
        <w:t>Underwriting expense ratio</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Combined ratio</w:t>
      </w:r>
    </w:p>
    <w:p>
      <w:pPr>
        <w:spacing w:after="0" w:line="5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Underwriting profit</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Aggregate — including exited lines</w:t>
      </w:r>
    </w:p>
    <w:p>
      <w:pPr>
        <w:spacing w:after="0" w:line="3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Loss and LAE ratio</w:t>
      </w:r>
    </w:p>
    <w:p>
      <w:pPr>
        <w:spacing w:after="0" w:line="25" w:lineRule="exact"/>
        <w:rPr>
          <w:sz w:val="20"/>
          <w:szCs w:val="20"/>
          <w:color w:val="auto"/>
        </w:rPr>
      </w:pPr>
    </w:p>
    <w:p>
      <w:pPr>
        <w:ind w:left="260"/>
        <w:spacing w:after="0"/>
        <w:rPr>
          <w:sz w:val="20"/>
          <w:szCs w:val="20"/>
          <w:color w:val="auto"/>
        </w:rPr>
      </w:pPr>
      <w:r>
        <w:rPr>
          <w:rFonts w:ascii="Arial" w:cs="Arial" w:eastAsia="Arial" w:hAnsi="Arial"/>
          <w:sz w:val="16"/>
          <w:szCs w:val="16"/>
          <w:color w:val="auto"/>
        </w:rPr>
        <w:t>Underwriting expense ratio</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Combined ratio</w:t>
      </w:r>
    </w:p>
    <w:p>
      <w:pPr>
        <w:spacing w:after="0" w:line="5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Underwriting profit</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1480" w:type="dxa"/>
            <w:vAlign w:val="bottom"/>
          </w:tcPr>
          <w:p>
            <w:pPr>
              <w:jc w:val="right"/>
              <w:spacing w:after="0"/>
              <w:rPr>
                <w:sz w:val="20"/>
                <w:szCs w:val="20"/>
                <w:color w:val="auto"/>
              </w:rPr>
            </w:pPr>
            <w:r>
              <w:rPr>
                <w:rFonts w:ascii="Arial" w:cs="Arial" w:eastAsia="Arial" w:hAnsi="Arial"/>
                <w:sz w:val="16"/>
                <w:szCs w:val="16"/>
                <w:color w:val="auto"/>
              </w:rPr>
              <w:t>57.1%</w:t>
            </w:r>
          </w:p>
        </w:tc>
        <w:tc>
          <w:tcPr>
            <w:tcW w:w="1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62.1%</w:t>
            </w: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(5.0%)</w:t>
            </w:r>
          </w:p>
        </w:tc>
        <w:tc>
          <w:tcPr>
            <w:tcW w:w="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30.5%</w:t>
            </w:r>
          </w:p>
        </w:tc>
        <w:tc>
          <w:tcPr>
            <w:tcW w:w="100" w:type="dxa"/>
            <w:vAlign w:val="bottom"/>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30.4%</w:t>
            </w: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0.1%</w:t>
            </w:r>
          </w:p>
        </w:tc>
        <w:tc>
          <w:tcPr>
            <w:tcW w:w="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87.6%</w:t>
            </w:r>
          </w:p>
        </w:tc>
        <w:tc>
          <w:tcPr>
            <w:tcW w:w="100" w:type="dxa"/>
            <w:vAlign w:val="bottom"/>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92.5%</w:t>
            </w: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(4.9%)</w:t>
            </w:r>
          </w:p>
        </w:tc>
        <w:tc>
          <w:tcPr>
            <w:tcW w:w="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880" w:type="dxa"/>
            <w:vAlign w:val="bottom"/>
            <w:gridSpan w:val="2"/>
            <w:vMerge w:val="restart"/>
          </w:tcPr>
          <w:p>
            <w:pPr>
              <w:jc w:val="right"/>
              <w:ind w:right="480"/>
              <w:spacing w:after="0"/>
              <w:rPr>
                <w:sz w:val="20"/>
                <w:szCs w:val="20"/>
                <w:color w:val="auto"/>
              </w:rPr>
            </w:pPr>
            <w:r>
              <w:rPr>
                <w:rFonts w:ascii="Arial" w:cs="Arial" w:eastAsia="Arial" w:hAnsi="Arial"/>
                <w:sz w:val="16"/>
                <w:szCs w:val="16"/>
                <w:color w:val="auto"/>
              </w:rPr>
              <w:t>$</w:t>
            </w: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line="20" w:lineRule="exact"/>
              <w:rPr>
                <w:sz w:val="1"/>
                <w:szCs w:val="1"/>
                <w:color w:val="auto"/>
              </w:rPr>
            </w:pPr>
          </w:p>
        </w:tc>
        <w:tc>
          <w:tcPr>
            <w:tcW w:w="620" w:type="dxa"/>
            <w:vAlign w:val="bottom"/>
            <w:vMerge w:val="restart"/>
          </w:tcPr>
          <w:p>
            <w:pPr>
              <w:jc w:val="right"/>
              <w:ind w:right="419"/>
              <w:spacing w:after="0"/>
              <w:rPr>
                <w:sz w:val="20"/>
                <w:szCs w:val="20"/>
                <w:color w:val="auto"/>
              </w:rPr>
            </w:pPr>
            <w:r>
              <w:rPr>
                <w:rFonts w:ascii="Arial" w:cs="Arial" w:eastAsia="Arial" w:hAnsi="Arial"/>
                <w:sz w:val="16"/>
                <w:szCs w:val="16"/>
                <w:color w:val="auto"/>
              </w:rPr>
              <w:t>$</w:t>
            </w: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180"/>
        </w:trPr>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880" w:type="dxa"/>
            <w:vAlign w:val="bottom"/>
            <w:gridSpan w:val="2"/>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1480" w:type="dxa"/>
            <w:vAlign w:val="bottom"/>
            <w:vMerge w:val="restart"/>
          </w:tcPr>
          <w:p>
            <w:pPr>
              <w:jc w:val="right"/>
              <w:spacing w:after="0"/>
              <w:rPr>
                <w:sz w:val="20"/>
                <w:szCs w:val="20"/>
                <w:color w:val="auto"/>
              </w:rPr>
            </w:pPr>
            <w:r>
              <w:rPr>
                <w:rFonts w:ascii="Arial" w:cs="Arial" w:eastAsia="Arial" w:hAnsi="Arial"/>
                <w:sz w:val="16"/>
                <w:szCs w:val="16"/>
                <w:color w:val="auto"/>
              </w:rPr>
              <w:t>64.7%</w:t>
            </w:r>
          </w:p>
        </w:tc>
        <w:tc>
          <w:tcPr>
            <w:tcW w:w="100" w:type="dxa"/>
            <w:vAlign w:val="bottom"/>
          </w:tcPr>
          <w:p>
            <w:pPr>
              <w:spacing w:after="0" w:line="20" w:lineRule="exact"/>
              <w:rPr>
                <w:sz w:val="1"/>
                <w:szCs w:val="1"/>
                <w:color w:val="auto"/>
              </w:rPr>
            </w:pPr>
          </w:p>
        </w:tc>
        <w:tc>
          <w:tcPr>
            <w:tcW w:w="1500" w:type="dxa"/>
            <w:vAlign w:val="bottom"/>
            <w:vMerge w:val="restart"/>
          </w:tcPr>
          <w:p>
            <w:pPr>
              <w:jc w:val="right"/>
              <w:spacing w:after="0"/>
              <w:rPr>
                <w:sz w:val="20"/>
                <w:szCs w:val="20"/>
                <w:color w:val="auto"/>
              </w:rPr>
            </w:pPr>
            <w:r>
              <w:rPr>
                <w:rFonts w:ascii="Arial" w:cs="Arial" w:eastAsia="Arial" w:hAnsi="Arial"/>
                <w:sz w:val="16"/>
                <w:szCs w:val="16"/>
                <w:color w:val="auto"/>
              </w:rPr>
              <w:t>67.6%</w:t>
            </w:r>
          </w:p>
        </w:tc>
        <w:tc>
          <w:tcPr>
            <w:tcW w:w="1300" w:type="dxa"/>
            <w:vAlign w:val="bottom"/>
            <w:vMerge w:val="restart"/>
          </w:tcPr>
          <w:p>
            <w:pPr>
              <w:jc w:val="right"/>
              <w:ind w:right="39"/>
              <w:spacing w:after="0"/>
              <w:rPr>
                <w:sz w:val="20"/>
                <w:szCs w:val="20"/>
                <w:color w:val="auto"/>
              </w:rPr>
            </w:pPr>
            <w:r>
              <w:rPr>
                <w:rFonts w:ascii="Arial" w:cs="Arial" w:eastAsia="Arial" w:hAnsi="Arial"/>
                <w:sz w:val="16"/>
                <w:szCs w:val="16"/>
                <w:color w:val="auto"/>
              </w:rPr>
              <w:t>(2.9%)</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2"/>
        </w:trPr>
        <w:tc>
          <w:tcPr>
            <w:tcW w:w="14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vMerge w:val="continue"/>
          </w:tcPr>
          <w:p>
            <w:pPr>
              <w:spacing w:after="0"/>
              <w:rPr>
                <w:sz w:val="24"/>
                <w:szCs w:val="24"/>
                <w:color w:val="auto"/>
              </w:rPr>
            </w:pPr>
          </w:p>
        </w:tc>
        <w:tc>
          <w:tcPr>
            <w:tcW w:w="130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31.1%</w:t>
            </w:r>
          </w:p>
        </w:tc>
        <w:tc>
          <w:tcPr>
            <w:tcW w:w="100" w:type="dxa"/>
            <w:vAlign w:val="bottom"/>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w:t>
            </w: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1.1%</w:t>
            </w:r>
          </w:p>
        </w:tc>
        <w:tc>
          <w:tcPr>
            <w:tcW w:w="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95.8%</w:t>
            </w:r>
          </w:p>
        </w:tc>
        <w:tc>
          <w:tcPr>
            <w:tcW w:w="100" w:type="dxa"/>
            <w:vAlign w:val="bottom"/>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97.6%</w:t>
            </w: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(1.8%)</w:t>
            </w:r>
          </w:p>
        </w:tc>
        <w:tc>
          <w:tcPr>
            <w:tcW w:w="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880" w:type="dxa"/>
            <w:vAlign w:val="bottom"/>
            <w:gridSpan w:val="2"/>
            <w:vMerge w:val="restart"/>
          </w:tcPr>
          <w:p>
            <w:pPr>
              <w:jc w:val="right"/>
              <w:ind w:right="480"/>
              <w:spacing w:after="0"/>
              <w:rPr>
                <w:sz w:val="20"/>
                <w:szCs w:val="20"/>
                <w:color w:val="auto"/>
              </w:rPr>
            </w:pPr>
            <w:r>
              <w:rPr>
                <w:rFonts w:ascii="Arial" w:cs="Arial" w:eastAsia="Arial" w:hAnsi="Arial"/>
                <w:sz w:val="16"/>
                <w:szCs w:val="16"/>
                <w:color w:val="auto"/>
              </w:rPr>
              <w:t>$</w:t>
            </w: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line="20" w:lineRule="exact"/>
              <w:rPr>
                <w:sz w:val="1"/>
                <w:szCs w:val="1"/>
                <w:color w:val="auto"/>
              </w:rPr>
            </w:pPr>
          </w:p>
        </w:tc>
        <w:tc>
          <w:tcPr>
            <w:tcW w:w="620" w:type="dxa"/>
            <w:vAlign w:val="bottom"/>
            <w:vMerge w:val="restart"/>
          </w:tcPr>
          <w:p>
            <w:pPr>
              <w:jc w:val="right"/>
              <w:ind w:right="419"/>
              <w:spacing w:after="0"/>
              <w:rPr>
                <w:sz w:val="20"/>
                <w:szCs w:val="20"/>
                <w:color w:val="auto"/>
              </w:rPr>
            </w:pPr>
            <w:r>
              <w:rPr>
                <w:rFonts w:ascii="Arial" w:cs="Arial" w:eastAsia="Arial" w:hAnsi="Arial"/>
                <w:sz w:val="16"/>
                <w:szCs w:val="16"/>
                <w:color w:val="auto"/>
              </w:rPr>
              <w:t>$</w:t>
            </w: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180"/>
        </w:trPr>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880" w:type="dxa"/>
            <w:vAlign w:val="bottom"/>
            <w:gridSpan w:val="2"/>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1480" w:type="dxa"/>
            <w:vAlign w:val="bottom"/>
            <w:vMerge w:val="restart"/>
          </w:tcPr>
          <w:p>
            <w:pPr>
              <w:jc w:val="right"/>
              <w:spacing w:after="0"/>
              <w:rPr>
                <w:sz w:val="20"/>
                <w:szCs w:val="20"/>
                <w:color w:val="auto"/>
              </w:rPr>
            </w:pPr>
            <w:r>
              <w:rPr>
                <w:rFonts w:ascii="Arial" w:cs="Arial" w:eastAsia="Arial" w:hAnsi="Arial"/>
                <w:sz w:val="16"/>
                <w:szCs w:val="16"/>
                <w:color w:val="auto"/>
              </w:rPr>
              <w:t>31.2%</w:t>
            </w:r>
          </w:p>
        </w:tc>
        <w:tc>
          <w:tcPr>
            <w:tcW w:w="100" w:type="dxa"/>
            <w:vAlign w:val="bottom"/>
          </w:tcPr>
          <w:p>
            <w:pPr>
              <w:spacing w:after="0" w:line="20" w:lineRule="exact"/>
              <w:rPr>
                <w:sz w:val="1"/>
                <w:szCs w:val="1"/>
                <w:color w:val="auto"/>
              </w:rPr>
            </w:pPr>
          </w:p>
        </w:tc>
        <w:tc>
          <w:tcPr>
            <w:tcW w:w="1500" w:type="dxa"/>
            <w:vAlign w:val="bottom"/>
            <w:vMerge w:val="restart"/>
          </w:tcPr>
          <w:p>
            <w:pPr>
              <w:jc w:val="right"/>
              <w:spacing w:after="0"/>
              <w:rPr>
                <w:sz w:val="20"/>
                <w:szCs w:val="20"/>
                <w:color w:val="auto"/>
              </w:rPr>
            </w:pPr>
            <w:r>
              <w:rPr>
                <w:rFonts w:ascii="Arial" w:cs="Arial" w:eastAsia="Arial" w:hAnsi="Arial"/>
                <w:sz w:val="16"/>
                <w:szCs w:val="16"/>
                <w:color w:val="auto"/>
              </w:rPr>
              <w:t>41.1%</w:t>
            </w:r>
          </w:p>
        </w:tc>
        <w:tc>
          <w:tcPr>
            <w:tcW w:w="1300" w:type="dxa"/>
            <w:vAlign w:val="bottom"/>
            <w:vMerge w:val="restart"/>
          </w:tcPr>
          <w:p>
            <w:pPr>
              <w:jc w:val="right"/>
              <w:ind w:right="39"/>
              <w:spacing w:after="0"/>
              <w:rPr>
                <w:sz w:val="20"/>
                <w:szCs w:val="20"/>
                <w:color w:val="auto"/>
              </w:rPr>
            </w:pPr>
            <w:r>
              <w:rPr>
                <w:rFonts w:ascii="Arial" w:cs="Arial" w:eastAsia="Arial" w:hAnsi="Arial"/>
                <w:sz w:val="16"/>
                <w:szCs w:val="16"/>
                <w:color w:val="auto"/>
              </w:rPr>
              <w:t>(9.9%)</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3"/>
        </w:trPr>
        <w:tc>
          <w:tcPr>
            <w:tcW w:w="14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vMerge w:val="continue"/>
          </w:tcPr>
          <w:p>
            <w:pPr>
              <w:spacing w:after="0"/>
              <w:rPr>
                <w:sz w:val="24"/>
                <w:szCs w:val="24"/>
                <w:color w:val="auto"/>
              </w:rPr>
            </w:pPr>
          </w:p>
        </w:tc>
        <w:tc>
          <w:tcPr>
            <w:tcW w:w="130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48.8%</w:t>
            </w:r>
          </w:p>
        </w:tc>
        <w:tc>
          <w:tcPr>
            <w:tcW w:w="100" w:type="dxa"/>
            <w:vAlign w:val="bottom"/>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45.9%</w:t>
            </w: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2.9%</w:t>
            </w:r>
          </w:p>
        </w:tc>
        <w:tc>
          <w:tcPr>
            <w:tcW w:w="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80.0%</w:t>
            </w:r>
          </w:p>
        </w:tc>
        <w:tc>
          <w:tcPr>
            <w:tcW w:w="100" w:type="dxa"/>
            <w:vAlign w:val="bottom"/>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87.0%</w:t>
            </w: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(7.0%)</w:t>
            </w:r>
          </w:p>
        </w:tc>
        <w:tc>
          <w:tcPr>
            <w:tcW w:w="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880" w:type="dxa"/>
            <w:vAlign w:val="bottom"/>
            <w:gridSpan w:val="2"/>
            <w:vMerge w:val="restart"/>
          </w:tcPr>
          <w:p>
            <w:pPr>
              <w:jc w:val="right"/>
              <w:ind w:right="480"/>
              <w:spacing w:after="0"/>
              <w:rPr>
                <w:sz w:val="20"/>
                <w:szCs w:val="20"/>
                <w:color w:val="auto"/>
              </w:rPr>
            </w:pPr>
            <w:r>
              <w:rPr>
                <w:rFonts w:ascii="Arial" w:cs="Arial" w:eastAsia="Arial" w:hAnsi="Arial"/>
                <w:sz w:val="16"/>
                <w:szCs w:val="16"/>
                <w:color w:val="auto"/>
              </w:rPr>
              <w:t>$</w:t>
            </w: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line="20" w:lineRule="exact"/>
              <w:rPr>
                <w:sz w:val="1"/>
                <w:szCs w:val="1"/>
                <w:color w:val="auto"/>
              </w:rPr>
            </w:pPr>
          </w:p>
        </w:tc>
        <w:tc>
          <w:tcPr>
            <w:tcW w:w="620" w:type="dxa"/>
            <w:vAlign w:val="bottom"/>
            <w:vMerge w:val="restart"/>
          </w:tcPr>
          <w:p>
            <w:pPr>
              <w:jc w:val="right"/>
              <w:ind w:right="419"/>
              <w:spacing w:after="0"/>
              <w:rPr>
                <w:sz w:val="20"/>
                <w:szCs w:val="20"/>
                <w:color w:val="auto"/>
              </w:rPr>
            </w:pPr>
            <w:r>
              <w:rPr>
                <w:rFonts w:ascii="Arial" w:cs="Arial" w:eastAsia="Arial" w:hAnsi="Arial"/>
                <w:sz w:val="16"/>
                <w:szCs w:val="16"/>
                <w:color w:val="auto"/>
              </w:rPr>
              <w:t>$</w:t>
            </w: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181"/>
        </w:trPr>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880" w:type="dxa"/>
            <w:vAlign w:val="bottom"/>
            <w:gridSpan w:val="2"/>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1480" w:type="dxa"/>
            <w:vAlign w:val="bottom"/>
            <w:vMerge w:val="restart"/>
          </w:tcPr>
          <w:p>
            <w:pPr>
              <w:jc w:val="right"/>
              <w:spacing w:after="0"/>
              <w:rPr>
                <w:sz w:val="20"/>
                <w:szCs w:val="20"/>
                <w:color w:val="auto"/>
              </w:rPr>
            </w:pPr>
            <w:r>
              <w:rPr>
                <w:rFonts w:ascii="Arial" w:cs="Arial" w:eastAsia="Arial" w:hAnsi="Arial"/>
                <w:sz w:val="16"/>
                <w:szCs w:val="16"/>
                <w:color w:val="auto"/>
              </w:rPr>
              <w:t>56.3%</w:t>
            </w:r>
          </w:p>
        </w:tc>
        <w:tc>
          <w:tcPr>
            <w:tcW w:w="100" w:type="dxa"/>
            <w:vAlign w:val="bottom"/>
          </w:tcPr>
          <w:p>
            <w:pPr>
              <w:spacing w:after="0" w:line="20" w:lineRule="exact"/>
              <w:rPr>
                <w:sz w:val="1"/>
                <w:szCs w:val="1"/>
                <w:color w:val="auto"/>
              </w:rPr>
            </w:pPr>
          </w:p>
        </w:tc>
        <w:tc>
          <w:tcPr>
            <w:tcW w:w="1500" w:type="dxa"/>
            <w:vAlign w:val="bottom"/>
            <w:vMerge w:val="restart"/>
          </w:tcPr>
          <w:p>
            <w:pPr>
              <w:jc w:val="right"/>
              <w:spacing w:after="0"/>
              <w:rPr>
                <w:sz w:val="20"/>
                <w:szCs w:val="20"/>
                <w:color w:val="auto"/>
              </w:rPr>
            </w:pPr>
            <w:r>
              <w:rPr>
                <w:rFonts w:ascii="Arial" w:cs="Arial" w:eastAsia="Arial" w:hAnsi="Arial"/>
                <w:sz w:val="16"/>
                <w:szCs w:val="16"/>
                <w:color w:val="auto"/>
              </w:rPr>
              <w:t>61.0%</w:t>
            </w:r>
          </w:p>
        </w:tc>
        <w:tc>
          <w:tcPr>
            <w:tcW w:w="1300" w:type="dxa"/>
            <w:vAlign w:val="bottom"/>
            <w:vMerge w:val="restart"/>
          </w:tcPr>
          <w:p>
            <w:pPr>
              <w:jc w:val="right"/>
              <w:ind w:right="39"/>
              <w:spacing w:after="0"/>
              <w:rPr>
                <w:sz w:val="20"/>
                <w:szCs w:val="20"/>
                <w:color w:val="auto"/>
              </w:rPr>
            </w:pPr>
            <w:r>
              <w:rPr>
                <w:rFonts w:ascii="Arial" w:cs="Arial" w:eastAsia="Arial" w:hAnsi="Arial"/>
                <w:sz w:val="16"/>
                <w:szCs w:val="16"/>
                <w:color w:val="auto"/>
              </w:rPr>
              <w:t>(4.7%)</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3"/>
        </w:trPr>
        <w:tc>
          <w:tcPr>
            <w:tcW w:w="14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vMerge w:val="continue"/>
          </w:tcPr>
          <w:p>
            <w:pPr>
              <w:spacing w:after="0"/>
              <w:rPr>
                <w:sz w:val="24"/>
                <w:szCs w:val="24"/>
                <w:color w:val="auto"/>
              </w:rPr>
            </w:pPr>
          </w:p>
        </w:tc>
        <w:tc>
          <w:tcPr>
            <w:tcW w:w="130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34.0%</w:t>
            </w:r>
          </w:p>
        </w:tc>
        <w:tc>
          <w:tcPr>
            <w:tcW w:w="100" w:type="dxa"/>
            <w:vAlign w:val="bottom"/>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33.0%</w:t>
            </w: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1.0%</w:t>
            </w:r>
          </w:p>
        </w:tc>
        <w:tc>
          <w:tcPr>
            <w:tcW w:w="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90.3%</w:t>
            </w:r>
          </w:p>
        </w:tc>
        <w:tc>
          <w:tcPr>
            <w:tcW w:w="100" w:type="dxa"/>
            <w:vAlign w:val="bottom"/>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94.0%</w:t>
            </w: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(3.7%)</w:t>
            </w:r>
          </w:p>
        </w:tc>
        <w:tc>
          <w:tcPr>
            <w:tcW w:w="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880" w:type="dxa"/>
            <w:vAlign w:val="bottom"/>
            <w:gridSpan w:val="2"/>
            <w:vMerge w:val="restart"/>
          </w:tcPr>
          <w:p>
            <w:pPr>
              <w:jc w:val="right"/>
              <w:ind w:right="480"/>
              <w:spacing w:after="0"/>
              <w:rPr>
                <w:sz w:val="20"/>
                <w:szCs w:val="20"/>
                <w:color w:val="auto"/>
              </w:rPr>
            </w:pPr>
            <w:r>
              <w:rPr>
                <w:rFonts w:ascii="Arial" w:cs="Arial" w:eastAsia="Arial" w:hAnsi="Arial"/>
                <w:sz w:val="16"/>
                <w:szCs w:val="16"/>
                <w:color w:val="auto"/>
              </w:rPr>
              <w:t>$</w:t>
            </w: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156</w:t>
            </w:r>
          </w:p>
        </w:tc>
        <w:tc>
          <w:tcPr>
            <w:tcW w:w="100" w:type="dxa"/>
            <w:vAlign w:val="bottom"/>
          </w:tcPr>
          <w:p>
            <w:pPr>
              <w:spacing w:after="0" w:line="20" w:lineRule="exact"/>
              <w:rPr>
                <w:sz w:val="1"/>
                <w:szCs w:val="1"/>
                <w:color w:val="auto"/>
              </w:rPr>
            </w:pPr>
          </w:p>
        </w:tc>
        <w:tc>
          <w:tcPr>
            <w:tcW w:w="620" w:type="dxa"/>
            <w:vAlign w:val="bottom"/>
            <w:vMerge w:val="restart"/>
          </w:tcPr>
          <w:p>
            <w:pPr>
              <w:jc w:val="right"/>
              <w:ind w:right="419"/>
              <w:spacing w:after="0"/>
              <w:rPr>
                <w:sz w:val="20"/>
                <w:szCs w:val="20"/>
                <w:color w:val="auto"/>
              </w:rPr>
            </w:pPr>
            <w:r>
              <w:rPr>
                <w:rFonts w:ascii="Arial" w:cs="Arial" w:eastAsia="Arial" w:hAnsi="Arial"/>
                <w:sz w:val="16"/>
                <w:szCs w:val="16"/>
                <w:color w:val="auto"/>
              </w:rPr>
              <w:t>$</w:t>
            </w: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180"/>
        </w:trPr>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880" w:type="dxa"/>
            <w:vAlign w:val="bottom"/>
            <w:gridSpan w:val="2"/>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1480" w:type="dxa"/>
            <w:vAlign w:val="bottom"/>
            <w:vMerge w:val="restart"/>
          </w:tcPr>
          <w:p>
            <w:pPr>
              <w:jc w:val="right"/>
              <w:spacing w:after="0"/>
              <w:rPr>
                <w:sz w:val="20"/>
                <w:szCs w:val="20"/>
                <w:color w:val="auto"/>
              </w:rPr>
            </w:pPr>
            <w:r>
              <w:rPr>
                <w:rFonts w:ascii="Arial" w:cs="Arial" w:eastAsia="Arial" w:hAnsi="Arial"/>
                <w:sz w:val="16"/>
                <w:szCs w:val="16"/>
                <w:color w:val="auto"/>
              </w:rPr>
              <w:t>56.4%</w:t>
            </w:r>
          </w:p>
        </w:tc>
        <w:tc>
          <w:tcPr>
            <w:tcW w:w="100" w:type="dxa"/>
            <w:vAlign w:val="bottom"/>
          </w:tcPr>
          <w:p>
            <w:pPr>
              <w:spacing w:after="0" w:line="20" w:lineRule="exact"/>
              <w:rPr>
                <w:sz w:val="1"/>
                <w:szCs w:val="1"/>
                <w:color w:val="auto"/>
              </w:rPr>
            </w:pPr>
          </w:p>
        </w:tc>
        <w:tc>
          <w:tcPr>
            <w:tcW w:w="1500" w:type="dxa"/>
            <w:vAlign w:val="bottom"/>
            <w:vMerge w:val="restart"/>
          </w:tcPr>
          <w:p>
            <w:pPr>
              <w:jc w:val="right"/>
              <w:spacing w:after="0"/>
              <w:rPr>
                <w:sz w:val="20"/>
                <w:szCs w:val="20"/>
                <w:color w:val="auto"/>
              </w:rPr>
            </w:pPr>
            <w:r>
              <w:rPr>
                <w:rFonts w:ascii="Arial" w:cs="Arial" w:eastAsia="Arial" w:hAnsi="Arial"/>
                <w:sz w:val="16"/>
                <w:szCs w:val="16"/>
                <w:color w:val="auto"/>
              </w:rPr>
              <w:t>61.1%</w:t>
            </w:r>
          </w:p>
        </w:tc>
        <w:tc>
          <w:tcPr>
            <w:tcW w:w="1300" w:type="dxa"/>
            <w:vAlign w:val="bottom"/>
            <w:vMerge w:val="restart"/>
          </w:tcPr>
          <w:p>
            <w:pPr>
              <w:jc w:val="right"/>
              <w:ind w:right="39"/>
              <w:spacing w:after="0"/>
              <w:rPr>
                <w:sz w:val="20"/>
                <w:szCs w:val="20"/>
                <w:color w:val="auto"/>
              </w:rPr>
            </w:pPr>
            <w:r>
              <w:rPr>
                <w:rFonts w:ascii="Arial" w:cs="Arial" w:eastAsia="Arial" w:hAnsi="Arial"/>
                <w:sz w:val="16"/>
                <w:szCs w:val="16"/>
                <w:color w:val="auto"/>
              </w:rPr>
              <w:t>(4.7%)</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3"/>
        </w:trPr>
        <w:tc>
          <w:tcPr>
            <w:tcW w:w="14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vMerge w:val="continue"/>
          </w:tcPr>
          <w:p>
            <w:pPr>
              <w:spacing w:after="0"/>
              <w:rPr>
                <w:sz w:val="24"/>
                <w:szCs w:val="24"/>
                <w:color w:val="auto"/>
              </w:rPr>
            </w:pPr>
          </w:p>
        </w:tc>
        <w:tc>
          <w:tcPr>
            <w:tcW w:w="130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34.0%</w:t>
            </w:r>
          </w:p>
        </w:tc>
        <w:tc>
          <w:tcPr>
            <w:tcW w:w="100" w:type="dxa"/>
            <w:vAlign w:val="bottom"/>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33.0%</w:t>
            </w: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1.0%</w:t>
            </w:r>
          </w:p>
        </w:tc>
        <w:tc>
          <w:tcPr>
            <w:tcW w:w="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90.4%</w:t>
            </w:r>
          </w:p>
        </w:tc>
        <w:tc>
          <w:tcPr>
            <w:tcW w:w="100" w:type="dxa"/>
            <w:vAlign w:val="bottom"/>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94.1%</w:t>
            </w: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(3.7%)</w:t>
            </w:r>
          </w:p>
        </w:tc>
        <w:tc>
          <w:tcPr>
            <w:tcW w:w="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880" w:type="dxa"/>
            <w:vAlign w:val="bottom"/>
            <w:gridSpan w:val="2"/>
            <w:vMerge w:val="restart"/>
          </w:tcPr>
          <w:p>
            <w:pPr>
              <w:jc w:val="right"/>
              <w:ind w:right="480"/>
              <w:spacing w:after="0"/>
              <w:rPr>
                <w:sz w:val="20"/>
                <w:szCs w:val="20"/>
                <w:color w:val="auto"/>
              </w:rPr>
            </w:pPr>
            <w:r>
              <w:rPr>
                <w:rFonts w:ascii="Arial" w:cs="Arial" w:eastAsia="Arial" w:hAnsi="Arial"/>
                <w:sz w:val="16"/>
                <w:szCs w:val="16"/>
                <w:color w:val="auto"/>
              </w:rPr>
              <w:t>$</w:t>
            </w: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156</w:t>
            </w:r>
          </w:p>
        </w:tc>
        <w:tc>
          <w:tcPr>
            <w:tcW w:w="100" w:type="dxa"/>
            <w:vAlign w:val="bottom"/>
          </w:tcPr>
          <w:p>
            <w:pPr>
              <w:spacing w:after="0" w:line="20" w:lineRule="exact"/>
              <w:rPr>
                <w:sz w:val="1"/>
                <w:szCs w:val="1"/>
                <w:color w:val="auto"/>
              </w:rPr>
            </w:pPr>
          </w:p>
        </w:tc>
        <w:tc>
          <w:tcPr>
            <w:tcW w:w="620" w:type="dxa"/>
            <w:vAlign w:val="bottom"/>
            <w:vMerge w:val="restart"/>
          </w:tcPr>
          <w:p>
            <w:pPr>
              <w:jc w:val="right"/>
              <w:ind w:right="419"/>
              <w:spacing w:after="0"/>
              <w:rPr>
                <w:sz w:val="20"/>
                <w:szCs w:val="20"/>
                <w:color w:val="auto"/>
              </w:rPr>
            </w:pPr>
            <w:r>
              <w:rPr>
                <w:rFonts w:ascii="Arial" w:cs="Arial" w:eastAsia="Arial" w:hAnsi="Arial"/>
                <w:sz w:val="16"/>
                <w:szCs w:val="16"/>
                <w:color w:val="auto"/>
              </w:rPr>
              <w:t>$</w:t>
            </w: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181"/>
        </w:trPr>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880" w:type="dxa"/>
            <w:vAlign w:val="bottom"/>
            <w:gridSpan w:val="2"/>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-2534285</wp:posOffset>
            </wp:positionH>
            <wp:positionV relativeFrom="paragraph">
              <wp:posOffset>-3933825</wp:posOffset>
            </wp:positionV>
            <wp:extent cx="7132320" cy="1371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-3634105</wp:posOffset>
            </wp:positionV>
            <wp:extent cx="7132320" cy="1543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-3342640</wp:posOffset>
            </wp:positionV>
            <wp:extent cx="7132320"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-3068320</wp:posOffset>
            </wp:positionV>
            <wp:extent cx="7132320" cy="1371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-2767965</wp:posOffset>
            </wp:positionV>
            <wp:extent cx="7132320" cy="1543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-2476500</wp:posOffset>
            </wp:positionV>
            <wp:extent cx="7132320"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-2202180</wp:posOffset>
            </wp:positionV>
            <wp:extent cx="7132320" cy="137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-1902460</wp:posOffset>
            </wp:positionV>
            <wp:extent cx="7132320" cy="1543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-1610995</wp:posOffset>
            </wp:positionV>
            <wp:extent cx="7132320" cy="1371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-1336675</wp:posOffset>
            </wp:positionV>
            <wp:extent cx="7132320" cy="1371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-1036320</wp:posOffset>
            </wp:positionV>
            <wp:extent cx="7132320" cy="1543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-744855</wp:posOffset>
            </wp:positionV>
            <wp:extent cx="7132320" cy="1371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-471170</wp:posOffset>
            </wp:positionV>
            <wp:extent cx="7132320" cy="1371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-170815</wp:posOffset>
            </wp:positionV>
            <wp:extent cx="7132320" cy="1543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-4208145</wp:posOffset>
            </wp:positionV>
            <wp:extent cx="7132320" cy="1371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280" w:space="720"/>
            <w:col w:w="7240"/>
          </w:cols>
          <w:pgMar w:left="320" w:top="116" w:right="339" w:bottom="1440" w:gutter="0" w:footer="0" w:header="0"/>
          <w:type w:val="continuous"/>
        </w:sectPr>
      </w:pPr>
    </w:p>
    <w:p>
      <w:pPr>
        <w:spacing w:after="0" w:line="115" w:lineRule="exact"/>
        <w:rPr>
          <w:sz w:val="20"/>
          <w:szCs w:val="20"/>
          <w:color w:val="auto"/>
        </w:rPr>
      </w:pPr>
    </w:p>
    <w:p>
      <w:pPr>
        <w:ind w:right="20"/>
        <w:spacing w:after="0" w:line="260" w:lineRule="auto"/>
        <w:rPr>
          <w:sz w:val="20"/>
          <w:szCs w:val="20"/>
          <w:color w:val="auto"/>
        </w:rPr>
      </w:pPr>
      <w:r>
        <w:rPr>
          <w:rFonts w:ascii="Arial" w:cs="Arial" w:eastAsia="Arial" w:hAnsi="Arial"/>
          <w:sz w:val="17"/>
          <w:szCs w:val="17"/>
          <w:color w:val="auto"/>
        </w:rPr>
        <w:t>The Specialty property and casualty insurance operations generated an underwriting profit of $156 million in the first three months of 2026 compared to $94 million in the first three months of 2025, an increase of $62 million (66%), reflecting higher year-over-year underwriting profit in each of the Specialty sub-segments. Overall catastrophe losses were $35 million (2.2 points on the combined ratio) in the first three months of 2026 compared to $72 million (4.5 points) in the first three months of 2025.</w:t>
      </w:r>
    </w:p>
    <w:p>
      <w:pPr>
        <w:spacing w:after="0" w:line="207" w:lineRule="exact"/>
        <w:rPr>
          <w:sz w:val="20"/>
          <w:szCs w:val="20"/>
          <w:color w:val="auto"/>
        </w:rPr>
      </w:pPr>
    </w:p>
    <w:p>
      <w:pPr>
        <w:ind w:right="20"/>
        <w:spacing w:after="0" w:line="247" w:lineRule="auto"/>
        <w:rPr>
          <w:sz w:val="20"/>
          <w:szCs w:val="20"/>
          <w:color w:val="auto"/>
        </w:rPr>
      </w:pPr>
      <w:r>
        <w:rPr>
          <w:rFonts w:ascii="Arial" w:cs="Arial" w:eastAsia="Arial" w:hAnsi="Arial"/>
          <w:sz w:val="20"/>
          <w:szCs w:val="20"/>
          <w:b w:val="1"/>
          <w:bCs w:val="1"/>
          <w:i w:val="1"/>
          <w:iCs w:val="1"/>
          <w:color w:val="003366"/>
        </w:rPr>
        <w:t xml:space="preserve">Property and transportation </w:t>
      </w:r>
      <w:r>
        <w:rPr>
          <w:rFonts w:ascii="Arial" w:cs="Arial" w:eastAsia="Arial" w:hAnsi="Arial"/>
          <w:sz w:val="17"/>
          <w:szCs w:val="17"/>
          <w:color w:val="000000"/>
        </w:rPr>
        <w:t>Underwriting profit for this group was $65 million for the first three months of 2026 compared to $37 million for the</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first three months of 2025, an increase of $28 million (76%), reflecting higher underwriting profit in the agricultural, transportation and ocean marine businesses. Catastrophe losses were $12 million (2.2 points on the combined ratio) in the first three months of 2026 compared to $10 million (2.0 points) in the first three months of 2025.</w:t>
      </w:r>
    </w:p>
    <w:p>
      <w:pPr>
        <w:sectPr>
          <w:pgSz w:w="11900" w:h="16838" w:orient="portrait"/>
          <w:cols w:equalWidth="0" w:num="1">
            <w:col w:w="11240"/>
          </w:cols>
          <w:pgMar w:left="320" w:top="116"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45" w:name="page46"/>
    <w:bookmarkEnd w:id="45"/>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ind w:right="-139"/>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ind w:left="1220"/>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52" w:lineRule="exact"/>
        <w:rPr>
          <w:sz w:val="20"/>
          <w:szCs w:val="20"/>
          <w:color w:val="auto"/>
        </w:rPr>
      </w:pPr>
    </w:p>
    <w:p>
      <w:pPr>
        <w:ind w:right="20"/>
        <w:spacing w:after="0" w:line="247" w:lineRule="auto"/>
        <w:rPr>
          <w:sz w:val="20"/>
          <w:szCs w:val="20"/>
          <w:color w:val="auto"/>
        </w:rPr>
      </w:pPr>
      <w:r>
        <w:rPr>
          <w:rFonts w:ascii="Arial" w:cs="Arial" w:eastAsia="Arial" w:hAnsi="Arial"/>
          <w:sz w:val="20"/>
          <w:szCs w:val="20"/>
          <w:b w:val="1"/>
          <w:bCs w:val="1"/>
          <w:i w:val="1"/>
          <w:iCs w:val="1"/>
          <w:color w:val="003366"/>
        </w:rPr>
        <w:t xml:space="preserve">Specialty casualty </w:t>
      </w:r>
      <w:r>
        <w:rPr>
          <w:rFonts w:ascii="Arial" w:cs="Arial" w:eastAsia="Arial" w:hAnsi="Arial"/>
          <w:sz w:val="17"/>
          <w:szCs w:val="17"/>
          <w:color w:val="000000"/>
        </w:rPr>
        <w:t>Underwriting profit for this group was $34 million for the first three months of 2026 compared to $20 million for the first three</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months of 2025, an increase of $14 million (70%). Higher underwriting profit in the targeted markets, workers’ compensation and executive and professional liability businesses were the principal drivers of these improved results. Catastrophe losses were $11 million (1.4 points on the combined ratio) in the first three months of 2026 compared to catastrophe losses of $27 million (3.4 points) in the first three months of 2025.</w:t>
      </w:r>
    </w:p>
    <w:p>
      <w:pPr>
        <w:spacing w:after="0" w:line="218" w:lineRule="exact"/>
        <w:rPr>
          <w:sz w:val="20"/>
          <w:szCs w:val="20"/>
          <w:color w:val="auto"/>
        </w:rPr>
      </w:pPr>
    </w:p>
    <w:p>
      <w:pPr>
        <w:jc w:val="both"/>
        <w:spacing w:after="0" w:line="247" w:lineRule="auto"/>
        <w:rPr>
          <w:sz w:val="20"/>
          <w:szCs w:val="20"/>
          <w:color w:val="auto"/>
        </w:rPr>
      </w:pPr>
      <w:r>
        <w:rPr>
          <w:rFonts w:ascii="Arial" w:cs="Arial" w:eastAsia="Arial" w:hAnsi="Arial"/>
          <w:sz w:val="20"/>
          <w:szCs w:val="20"/>
          <w:b w:val="1"/>
          <w:bCs w:val="1"/>
          <w:i w:val="1"/>
          <w:iCs w:val="1"/>
          <w:color w:val="003366"/>
        </w:rPr>
        <w:t xml:space="preserve">Specialty financial </w:t>
      </w:r>
      <w:r>
        <w:rPr>
          <w:rFonts w:ascii="Arial" w:cs="Arial" w:eastAsia="Arial" w:hAnsi="Arial"/>
          <w:sz w:val="17"/>
          <w:szCs w:val="17"/>
          <w:color w:val="000000"/>
        </w:rPr>
        <w:t>Underwriting profit for this group was $57 million for the first three months of 2026 compared to $37 million in the first three</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months of 2025, an increase of $20 million (54%), reflecting higher underwriting profit in the financial institutions and fidelity and crime businesses. Catastrophe losses were $12 million (4.2 points on the combined ratio) in the first three months of 2026 compared to $35 million (11.9 points) in the first three months of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16" w:right="479" w:bottom="1440" w:gutter="0" w:footer="0" w:header="0"/>
        </w:sectPr>
      </w:pPr>
    </w:p>
    <w:bookmarkStart w:id="46" w:name="page47"/>
    <w:bookmarkEnd w:id="46"/>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Losses and Loss Adjustment Expenses</w:t>
      </w:r>
    </w:p>
    <w:p>
      <w:pPr>
        <w:spacing w:after="0" w:line="30" w:lineRule="exact"/>
        <w:rPr>
          <w:sz w:val="20"/>
          <w:szCs w:val="20"/>
          <w:color w:val="auto"/>
        </w:rPr>
      </w:pPr>
    </w:p>
    <w:p>
      <w:pPr>
        <w:ind w:right="200"/>
        <w:spacing w:after="0" w:line="264" w:lineRule="auto"/>
        <w:rPr>
          <w:sz w:val="20"/>
          <w:szCs w:val="20"/>
          <w:color w:val="auto"/>
        </w:rPr>
      </w:pPr>
      <w:r>
        <w:rPr>
          <w:rFonts w:ascii="Arial" w:cs="Arial" w:eastAsia="Arial" w:hAnsi="Arial"/>
          <w:sz w:val="17"/>
          <w:szCs w:val="17"/>
          <w:color w:val="auto"/>
        </w:rPr>
        <w:t>AFG’s overall loss and LAE ratio was 56.4% for the first three months of 2026 compared to 61.1% for the first three months of 2025, a decrease of 4.7 percentage points. The components of losses and LAE amounts and ratio are detailed below (dollars in millions):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5"/>
          </w:tcPr>
          <w:p>
            <w:pPr>
              <w:spacing w:after="0"/>
              <w:rPr>
                <w:sz w:val="20"/>
                <w:szCs w:val="20"/>
                <w:color w:val="auto"/>
              </w:rPr>
            </w:pPr>
            <w:r>
              <w:rPr>
                <w:rFonts w:ascii="Arial" w:cs="Arial" w:eastAsia="Arial" w:hAnsi="Arial"/>
                <w:sz w:val="14"/>
                <w:szCs w:val="14"/>
                <w:color w:val="auto"/>
              </w:rPr>
              <w:t>Three months ended March 31,</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gridSpan w:val="5"/>
          </w:tcPr>
          <w:p>
            <w:pPr>
              <w:ind w:left="500"/>
              <w:spacing w:after="0"/>
              <w:rPr>
                <w:sz w:val="20"/>
                <w:szCs w:val="20"/>
                <w:color w:val="auto"/>
              </w:rPr>
            </w:pPr>
            <w:r>
              <w:rPr>
                <w:rFonts w:ascii="Arial" w:cs="Arial" w:eastAsia="Arial" w:hAnsi="Arial"/>
                <w:sz w:val="14"/>
                <w:szCs w:val="14"/>
                <w:color w:val="auto"/>
              </w:rPr>
              <w:t>Amount</w:t>
            </w:r>
          </w:p>
        </w:tc>
        <w:tc>
          <w:tcPr>
            <w:tcW w:w="1440" w:type="dxa"/>
            <w:vAlign w:val="bottom"/>
            <w:gridSpan w:val="3"/>
          </w:tcPr>
          <w:p>
            <w:pPr>
              <w:ind w:left="960"/>
              <w:spacing w:after="0"/>
              <w:rPr>
                <w:sz w:val="20"/>
                <w:szCs w:val="20"/>
                <w:color w:val="auto"/>
              </w:rPr>
            </w:pPr>
            <w:r>
              <w:rPr>
                <w:rFonts w:ascii="Arial" w:cs="Arial" w:eastAsia="Arial" w:hAnsi="Arial"/>
                <w:sz w:val="14"/>
                <w:szCs w:val="14"/>
                <w:color w:val="auto"/>
              </w:rPr>
              <w:t>Ratio</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right"/>
              <w:ind w:right="228"/>
              <w:spacing w:after="0"/>
              <w:rPr>
                <w:sz w:val="20"/>
                <w:szCs w:val="20"/>
                <w:color w:val="auto"/>
              </w:rPr>
            </w:pPr>
            <w:r>
              <w:rPr>
                <w:rFonts w:ascii="Arial" w:cs="Arial" w:eastAsia="Arial" w:hAnsi="Arial"/>
                <w:sz w:val="14"/>
                <w:szCs w:val="14"/>
                <w:color w:val="auto"/>
              </w:rPr>
              <w:t>Change in</w:t>
            </w:r>
          </w:p>
        </w:tc>
        <w:tc>
          <w:tcPr>
            <w:tcW w:w="0" w:type="dxa"/>
            <w:vAlign w:val="bottom"/>
          </w:tcPr>
          <w:p>
            <w:pPr>
              <w:spacing w:after="0"/>
              <w:rPr>
                <w:sz w:val="1"/>
                <w:szCs w:val="1"/>
                <w:color w:val="auto"/>
              </w:rPr>
            </w:pPr>
          </w:p>
        </w:tc>
      </w:tr>
      <w:tr>
        <w:trPr>
          <w:trHeight w:val="198"/>
        </w:trPr>
        <w:tc>
          <w:tcPr>
            <w:tcW w:w="564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220"/>
              <w:spacing w:after="0"/>
              <w:rPr>
                <w:sz w:val="20"/>
                <w:szCs w:val="20"/>
                <w:color w:val="auto"/>
              </w:rPr>
            </w:pPr>
            <w:r>
              <w:rPr>
                <w:rFonts w:ascii="Arial" w:cs="Arial" w:eastAsia="Arial" w:hAnsi="Arial"/>
                <w:sz w:val="14"/>
                <w:szCs w:val="14"/>
                <w:color w:val="auto"/>
              </w:rPr>
              <w:t>2026</w:t>
            </w:r>
          </w:p>
        </w:tc>
        <w:tc>
          <w:tcPr>
            <w:tcW w:w="100" w:type="dxa"/>
            <w:vAlign w:val="bottom"/>
            <w:tcBorders>
              <w:top w:val="single" w:sz="8" w:color="auto"/>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220"/>
              <w:spacing w:after="0"/>
              <w:rPr>
                <w:sz w:val="20"/>
                <w:szCs w:val="20"/>
                <w:color w:val="auto"/>
              </w:rPr>
            </w:pPr>
            <w:r>
              <w:rPr>
                <w:rFonts w:ascii="Arial" w:cs="Arial" w:eastAsia="Arial" w:hAnsi="Arial"/>
                <w:sz w:val="14"/>
                <w:szCs w:val="14"/>
                <w:color w:val="auto"/>
              </w:rPr>
              <w:t>2025</w:t>
            </w:r>
          </w:p>
        </w:tc>
        <w:tc>
          <w:tcPr>
            <w:tcW w:w="80" w:type="dxa"/>
            <w:vAlign w:val="bottom"/>
            <w:tcBorders>
              <w:bottom w:val="single" w:sz="8" w:color="CCEEFF"/>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300"/>
              <w:spacing w:after="0"/>
              <w:rPr>
                <w:sz w:val="20"/>
                <w:szCs w:val="20"/>
                <w:color w:val="auto"/>
              </w:rPr>
            </w:pPr>
            <w:r>
              <w:rPr>
                <w:rFonts w:ascii="Arial" w:cs="Arial" w:eastAsia="Arial" w:hAnsi="Arial"/>
                <w:sz w:val="14"/>
                <w:szCs w:val="14"/>
                <w:color w:val="auto"/>
              </w:rPr>
              <w:t>2026</w:t>
            </w:r>
          </w:p>
        </w:tc>
        <w:tc>
          <w:tcPr>
            <w:tcW w:w="8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4"/>
                <w:szCs w:val="14"/>
                <w:color w:val="auto"/>
              </w:rPr>
              <w:t>2025</w:t>
            </w:r>
          </w:p>
        </w:tc>
        <w:tc>
          <w:tcPr>
            <w:tcW w:w="10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Ratio</w:t>
            </w:r>
          </w:p>
        </w:tc>
        <w:tc>
          <w:tcPr>
            <w:tcW w:w="0" w:type="dxa"/>
            <w:vAlign w:val="bottom"/>
          </w:tcPr>
          <w:p>
            <w:pPr>
              <w:spacing w:after="0"/>
              <w:rPr>
                <w:sz w:val="1"/>
                <w:szCs w:val="1"/>
                <w:color w:val="auto"/>
              </w:rPr>
            </w:pPr>
          </w:p>
        </w:tc>
      </w:tr>
      <w:tr>
        <w:trPr>
          <w:trHeight w:val="200"/>
        </w:trPr>
        <w:tc>
          <w:tcPr>
            <w:tcW w:w="56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Property and transportation</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640" w:type="dxa"/>
            <w:vAlign w:val="bottom"/>
          </w:tcPr>
          <w:p>
            <w:pPr>
              <w:ind w:left="260"/>
              <w:spacing w:after="0"/>
              <w:rPr>
                <w:sz w:val="20"/>
                <w:szCs w:val="20"/>
                <w:color w:val="auto"/>
              </w:rPr>
            </w:pPr>
            <w:r>
              <w:rPr>
                <w:rFonts w:ascii="Arial" w:cs="Arial" w:eastAsia="Arial" w:hAnsi="Arial"/>
                <w:sz w:val="16"/>
                <w:szCs w:val="16"/>
                <w:color w:val="auto"/>
              </w:rPr>
              <w:t>Current year, excluding catastrophe losses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336</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320</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63.9%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64.0%</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7"/>
        </w:trPr>
        <w:tc>
          <w:tcPr>
            <w:tcW w:w="56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Prior accident years development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162"/>
        </w:trPr>
        <w:tc>
          <w:tcPr>
            <w:tcW w:w="5640" w:type="dxa"/>
            <w:vAlign w:val="bottom"/>
          </w:tcPr>
          <w:p>
            <w:pPr>
              <w:ind w:left="260"/>
              <w:spacing w:after="0" w:line="162" w:lineRule="exact"/>
              <w:rPr>
                <w:sz w:val="20"/>
                <w:szCs w:val="20"/>
                <w:color w:val="auto"/>
              </w:rPr>
            </w:pPr>
            <w:r>
              <w:rPr>
                <w:rFonts w:ascii="Arial" w:cs="Arial" w:eastAsia="Arial" w:hAnsi="Arial"/>
                <w:sz w:val="16"/>
                <w:szCs w:val="16"/>
                <w:color w:val="auto"/>
              </w:rPr>
              <w:t>Current year catastrophe losses including the impact of net reinstatement</w:t>
            </w:r>
          </w:p>
        </w:tc>
        <w:tc>
          <w:tcPr>
            <w:tcW w:w="20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10</w:t>
            </w:r>
          </w:p>
        </w:tc>
        <w:tc>
          <w:tcPr>
            <w:tcW w:w="8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2.2%</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2.0%</w:t>
            </w:r>
          </w:p>
        </w:tc>
        <w:tc>
          <w:tcPr>
            <w:tcW w:w="1340" w:type="dxa"/>
            <w:vAlign w:val="bottom"/>
            <w:gridSpan w:val="2"/>
            <w:vMerge w:val="restart"/>
          </w:tcPr>
          <w:p>
            <w:pPr>
              <w:jc w:val="right"/>
              <w:ind w:right="8"/>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15"/>
        </w:trPr>
        <w:tc>
          <w:tcPr>
            <w:tcW w:w="564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premiums</w:t>
            </w: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340" w:type="dxa"/>
            <w:vAlign w:val="bottom"/>
            <w:tcBorders>
              <w:bottom w:val="single" w:sz="8" w:color="CCEEFF"/>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56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Property and transportation losses and LAE and ratio</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311</w:t>
            </w:r>
          </w:p>
        </w:tc>
        <w:tc>
          <w:tcPr>
            <w:tcW w:w="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57.1%</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62.1%</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Specialty casualty</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640" w:type="dxa"/>
            <w:vAlign w:val="bottom"/>
          </w:tcPr>
          <w:p>
            <w:pPr>
              <w:ind w:left="260"/>
              <w:spacing w:after="0"/>
              <w:rPr>
                <w:sz w:val="20"/>
                <w:szCs w:val="20"/>
                <w:color w:val="auto"/>
              </w:rPr>
            </w:pPr>
            <w:r>
              <w:rPr>
                <w:rFonts w:ascii="Arial" w:cs="Arial" w:eastAsia="Arial" w:hAnsi="Arial"/>
                <w:sz w:val="16"/>
                <w:szCs w:val="16"/>
                <w:color w:val="auto"/>
              </w:rPr>
              <w:t>Current year, excluding catastrophe losses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506</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497</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63.3%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62.6%</w:t>
            </w:r>
          </w:p>
        </w:tc>
        <w:tc>
          <w:tcPr>
            <w:tcW w:w="1340" w:type="dxa"/>
            <w:vAlign w:val="bottom"/>
            <w:gridSpan w:val="2"/>
          </w:tcPr>
          <w:p>
            <w:pPr>
              <w:jc w:val="right"/>
              <w:ind w:right="8"/>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217"/>
        </w:trPr>
        <w:tc>
          <w:tcPr>
            <w:tcW w:w="56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Prior accident years development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8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162"/>
        </w:trPr>
        <w:tc>
          <w:tcPr>
            <w:tcW w:w="5640" w:type="dxa"/>
            <w:vAlign w:val="bottom"/>
          </w:tcPr>
          <w:p>
            <w:pPr>
              <w:ind w:left="260"/>
              <w:spacing w:after="0" w:line="162" w:lineRule="exact"/>
              <w:rPr>
                <w:sz w:val="20"/>
                <w:szCs w:val="20"/>
                <w:color w:val="auto"/>
              </w:rPr>
            </w:pPr>
            <w:r>
              <w:rPr>
                <w:rFonts w:ascii="Arial" w:cs="Arial" w:eastAsia="Arial" w:hAnsi="Arial"/>
                <w:sz w:val="16"/>
                <w:szCs w:val="16"/>
                <w:color w:val="auto"/>
              </w:rPr>
              <w:t>Current year catastrophe losses including the impact of net reinstatement</w:t>
            </w:r>
          </w:p>
        </w:tc>
        <w:tc>
          <w:tcPr>
            <w:tcW w:w="20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27</w:t>
            </w:r>
          </w:p>
        </w:tc>
        <w:tc>
          <w:tcPr>
            <w:tcW w:w="8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1.4%</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3.4%</w:t>
            </w:r>
          </w:p>
        </w:tc>
        <w:tc>
          <w:tcPr>
            <w:tcW w:w="1340" w:type="dxa"/>
            <w:vAlign w:val="bottom"/>
            <w:gridSpan w:val="2"/>
            <w:vMerge w:val="restart"/>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5"/>
        </w:trPr>
        <w:tc>
          <w:tcPr>
            <w:tcW w:w="564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premiums</w:t>
            </w: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340" w:type="dxa"/>
            <w:vAlign w:val="bottom"/>
            <w:tcBorders>
              <w:bottom w:val="single" w:sz="8" w:color="CCEEFF"/>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56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Specialty casualty losses and LAE and ratio</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536</w:t>
            </w:r>
          </w:p>
        </w:tc>
        <w:tc>
          <w:tcPr>
            <w:tcW w:w="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64.7%</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67.6%</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Specialty financial</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640" w:type="dxa"/>
            <w:vAlign w:val="bottom"/>
          </w:tcPr>
          <w:p>
            <w:pPr>
              <w:ind w:left="260"/>
              <w:spacing w:after="0"/>
              <w:rPr>
                <w:sz w:val="20"/>
                <w:szCs w:val="20"/>
                <w:color w:val="auto"/>
              </w:rPr>
            </w:pPr>
            <w:r>
              <w:rPr>
                <w:rFonts w:ascii="Arial" w:cs="Arial" w:eastAsia="Arial" w:hAnsi="Arial"/>
                <w:sz w:val="16"/>
                <w:szCs w:val="16"/>
                <w:color w:val="auto"/>
              </w:rPr>
              <w:t>Current year, excluding catastrophe losses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99</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96</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34.9%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33.8%</w:t>
            </w:r>
          </w:p>
        </w:tc>
        <w:tc>
          <w:tcPr>
            <w:tcW w:w="1340" w:type="dxa"/>
            <w:vAlign w:val="bottom"/>
            <w:gridSpan w:val="2"/>
          </w:tcPr>
          <w:p>
            <w:pPr>
              <w:jc w:val="right"/>
              <w:ind w:right="8"/>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7"/>
        </w:trPr>
        <w:tc>
          <w:tcPr>
            <w:tcW w:w="56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Prior accident years development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162"/>
        </w:trPr>
        <w:tc>
          <w:tcPr>
            <w:tcW w:w="5640" w:type="dxa"/>
            <w:vAlign w:val="bottom"/>
          </w:tcPr>
          <w:p>
            <w:pPr>
              <w:ind w:left="260"/>
              <w:spacing w:after="0" w:line="162" w:lineRule="exact"/>
              <w:rPr>
                <w:sz w:val="20"/>
                <w:szCs w:val="20"/>
                <w:color w:val="auto"/>
              </w:rPr>
            </w:pPr>
            <w:r>
              <w:rPr>
                <w:rFonts w:ascii="Arial" w:cs="Arial" w:eastAsia="Arial" w:hAnsi="Arial"/>
                <w:sz w:val="16"/>
                <w:szCs w:val="16"/>
                <w:color w:val="auto"/>
              </w:rPr>
              <w:t>Current year catastrophe losses including the impact of net reinstatement</w:t>
            </w:r>
          </w:p>
        </w:tc>
        <w:tc>
          <w:tcPr>
            <w:tcW w:w="20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35</w:t>
            </w:r>
          </w:p>
        </w:tc>
        <w:tc>
          <w:tcPr>
            <w:tcW w:w="8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4.2%</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11.9%</w:t>
            </w:r>
          </w:p>
        </w:tc>
        <w:tc>
          <w:tcPr>
            <w:tcW w:w="1340" w:type="dxa"/>
            <w:vAlign w:val="bottom"/>
            <w:gridSpan w:val="2"/>
            <w:vMerge w:val="restart"/>
          </w:tcPr>
          <w:p>
            <w:pPr>
              <w:jc w:val="right"/>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215"/>
        </w:trPr>
        <w:tc>
          <w:tcPr>
            <w:tcW w:w="564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premiums</w:t>
            </w: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340" w:type="dxa"/>
            <w:vAlign w:val="bottom"/>
            <w:tcBorders>
              <w:bottom w:val="single" w:sz="8" w:color="CCEEFF"/>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56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Specialty financial losses and LAE and ratio</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31.2%</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41.1%</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Specialty</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640" w:type="dxa"/>
            <w:vAlign w:val="bottom"/>
          </w:tcPr>
          <w:p>
            <w:pPr>
              <w:ind w:left="260"/>
              <w:spacing w:after="0"/>
              <w:rPr>
                <w:sz w:val="20"/>
                <w:szCs w:val="20"/>
                <w:color w:val="auto"/>
              </w:rPr>
            </w:pPr>
            <w:r>
              <w:rPr>
                <w:rFonts w:ascii="Arial" w:cs="Arial" w:eastAsia="Arial" w:hAnsi="Arial"/>
                <w:sz w:val="16"/>
                <w:szCs w:val="16"/>
                <w:color w:val="auto"/>
              </w:rPr>
              <w:t>Current year, excluding catastrophe losses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941</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913</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58.5%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57.8%</w:t>
            </w:r>
          </w:p>
        </w:tc>
        <w:tc>
          <w:tcPr>
            <w:tcW w:w="1340" w:type="dxa"/>
            <w:vAlign w:val="bottom"/>
            <w:gridSpan w:val="2"/>
          </w:tcPr>
          <w:p>
            <w:pPr>
              <w:jc w:val="right"/>
              <w:ind w:right="8"/>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217"/>
        </w:trPr>
        <w:tc>
          <w:tcPr>
            <w:tcW w:w="56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Prior accident years development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162"/>
        </w:trPr>
        <w:tc>
          <w:tcPr>
            <w:tcW w:w="5640" w:type="dxa"/>
            <w:vAlign w:val="bottom"/>
          </w:tcPr>
          <w:p>
            <w:pPr>
              <w:ind w:left="260"/>
              <w:spacing w:after="0" w:line="162" w:lineRule="exact"/>
              <w:rPr>
                <w:sz w:val="20"/>
                <w:szCs w:val="20"/>
                <w:color w:val="auto"/>
              </w:rPr>
            </w:pPr>
            <w:r>
              <w:rPr>
                <w:rFonts w:ascii="Arial" w:cs="Arial" w:eastAsia="Arial" w:hAnsi="Arial"/>
                <w:sz w:val="16"/>
                <w:szCs w:val="16"/>
                <w:color w:val="auto"/>
              </w:rPr>
              <w:t>Current year catastrophe losses including the impact of net reinstatement</w:t>
            </w:r>
          </w:p>
        </w:tc>
        <w:tc>
          <w:tcPr>
            <w:tcW w:w="20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72</w:t>
            </w:r>
          </w:p>
        </w:tc>
        <w:tc>
          <w:tcPr>
            <w:tcW w:w="8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2.2%</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4.5%</w:t>
            </w:r>
          </w:p>
        </w:tc>
        <w:tc>
          <w:tcPr>
            <w:tcW w:w="1340" w:type="dxa"/>
            <w:vAlign w:val="bottom"/>
            <w:gridSpan w:val="2"/>
            <w:vMerge w:val="restart"/>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15"/>
        </w:trPr>
        <w:tc>
          <w:tcPr>
            <w:tcW w:w="564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premiums</w:t>
            </w: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340" w:type="dxa"/>
            <w:vAlign w:val="bottom"/>
            <w:tcBorders>
              <w:bottom w:val="single" w:sz="8" w:color="CCEEFF"/>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56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Total Specialty losses and LAE and ratio</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965</w:t>
            </w:r>
          </w:p>
        </w:tc>
        <w:tc>
          <w:tcPr>
            <w:tcW w:w="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56.3%</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61.0%</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Aggregate — including exited lines</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640" w:type="dxa"/>
            <w:vAlign w:val="bottom"/>
          </w:tcPr>
          <w:p>
            <w:pPr>
              <w:ind w:left="260"/>
              <w:spacing w:after="0"/>
              <w:rPr>
                <w:sz w:val="20"/>
                <w:szCs w:val="20"/>
                <w:color w:val="auto"/>
              </w:rPr>
            </w:pPr>
            <w:r>
              <w:rPr>
                <w:rFonts w:ascii="Arial" w:cs="Arial" w:eastAsia="Arial" w:hAnsi="Arial"/>
                <w:sz w:val="16"/>
                <w:szCs w:val="16"/>
                <w:color w:val="auto"/>
              </w:rPr>
              <w:t>Current year, excluding catastrophe losses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941</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913</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58.5%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57.8%</w:t>
            </w:r>
          </w:p>
        </w:tc>
        <w:tc>
          <w:tcPr>
            <w:tcW w:w="1340" w:type="dxa"/>
            <w:vAlign w:val="bottom"/>
            <w:gridSpan w:val="2"/>
          </w:tcPr>
          <w:p>
            <w:pPr>
              <w:jc w:val="right"/>
              <w:ind w:right="8"/>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217"/>
        </w:trPr>
        <w:tc>
          <w:tcPr>
            <w:tcW w:w="56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Prior accident years development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162"/>
        </w:trPr>
        <w:tc>
          <w:tcPr>
            <w:tcW w:w="5640" w:type="dxa"/>
            <w:vAlign w:val="bottom"/>
          </w:tcPr>
          <w:p>
            <w:pPr>
              <w:ind w:left="260"/>
              <w:spacing w:after="0" w:line="162" w:lineRule="exact"/>
              <w:rPr>
                <w:sz w:val="20"/>
                <w:szCs w:val="20"/>
                <w:color w:val="auto"/>
              </w:rPr>
            </w:pPr>
            <w:r>
              <w:rPr>
                <w:rFonts w:ascii="Arial" w:cs="Arial" w:eastAsia="Arial" w:hAnsi="Arial"/>
                <w:sz w:val="16"/>
                <w:szCs w:val="16"/>
                <w:color w:val="auto"/>
              </w:rPr>
              <w:t>Current year catastrophe losses including the impact of net reinstatement</w:t>
            </w:r>
          </w:p>
        </w:tc>
        <w:tc>
          <w:tcPr>
            <w:tcW w:w="20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72</w:t>
            </w:r>
          </w:p>
        </w:tc>
        <w:tc>
          <w:tcPr>
            <w:tcW w:w="8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2.2%</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4.6%</w:t>
            </w:r>
          </w:p>
        </w:tc>
        <w:tc>
          <w:tcPr>
            <w:tcW w:w="1340" w:type="dxa"/>
            <w:vAlign w:val="bottom"/>
            <w:gridSpan w:val="2"/>
            <w:vMerge w:val="restart"/>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15"/>
        </w:trPr>
        <w:tc>
          <w:tcPr>
            <w:tcW w:w="564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premiums</w:t>
            </w: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340" w:type="dxa"/>
            <w:vAlign w:val="bottom"/>
            <w:tcBorders>
              <w:bottom w:val="single" w:sz="8" w:color="CCEEFF"/>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56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Aggregate losses and LAE and ratio</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965</w:t>
            </w:r>
          </w:p>
        </w:tc>
        <w:tc>
          <w:tcPr>
            <w:tcW w:w="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56.4%</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61.1%</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Arial" w:cs="Arial" w:eastAsia="Arial" w:hAnsi="Arial"/>
          <w:sz w:val="17"/>
          <w:szCs w:val="17"/>
          <w:i w:val="1"/>
          <w:iCs w:val="1"/>
          <w:color w:val="003366"/>
        </w:rPr>
        <w:t>Current accident year losses and LAE, excluding catastrophe losses</w:t>
      </w:r>
    </w:p>
    <w:p>
      <w:pPr>
        <w:spacing w:after="0" w:line="21" w:lineRule="exact"/>
        <w:rPr>
          <w:sz w:val="20"/>
          <w:szCs w:val="20"/>
          <w:color w:val="auto"/>
        </w:rPr>
      </w:pPr>
    </w:p>
    <w:p>
      <w:pPr>
        <w:ind w:right="360"/>
        <w:spacing w:after="0" w:line="281" w:lineRule="auto"/>
        <w:rPr>
          <w:sz w:val="20"/>
          <w:szCs w:val="20"/>
          <w:color w:val="auto"/>
        </w:rPr>
      </w:pPr>
      <w:r>
        <w:rPr>
          <w:rFonts w:ascii="Arial" w:cs="Arial" w:eastAsia="Arial" w:hAnsi="Arial"/>
          <w:sz w:val="17"/>
          <w:szCs w:val="17"/>
          <w:color w:val="auto"/>
        </w:rPr>
        <w:t>The current accident year loss and LAE ratio, excluding catastrophe losses, for AFG’s Specialty property and casualty insurance operations was 58.5% for the first three months of 2026 compared to 57.8% for the first three months of 2025, an increase of 0.7 percentage points.</w:t>
      </w:r>
    </w:p>
    <w:p>
      <w:pPr>
        <w:spacing w:after="0" w:line="188" w:lineRule="exact"/>
        <w:rPr>
          <w:sz w:val="20"/>
          <w:szCs w:val="20"/>
          <w:color w:val="auto"/>
        </w:rPr>
      </w:pPr>
    </w:p>
    <w:p>
      <w:pPr>
        <w:ind w:right="20"/>
        <w:spacing w:after="0" w:line="247" w:lineRule="auto"/>
        <w:rPr>
          <w:sz w:val="20"/>
          <w:szCs w:val="20"/>
          <w:color w:val="auto"/>
        </w:rPr>
      </w:pPr>
      <w:r>
        <w:rPr>
          <w:rFonts w:ascii="Arial" w:cs="Arial" w:eastAsia="Arial" w:hAnsi="Arial"/>
          <w:sz w:val="20"/>
          <w:szCs w:val="20"/>
          <w:b w:val="1"/>
          <w:bCs w:val="1"/>
          <w:i w:val="1"/>
          <w:iCs w:val="1"/>
          <w:color w:val="003366"/>
        </w:rPr>
        <w:t xml:space="preserve">Property and transportation </w:t>
      </w:r>
      <w:r>
        <w:rPr>
          <w:rFonts w:ascii="Arial" w:cs="Arial" w:eastAsia="Arial" w:hAnsi="Arial"/>
          <w:sz w:val="17"/>
          <w:szCs w:val="17"/>
          <w:color w:val="000000"/>
        </w:rPr>
        <w:t>The 0.1 percentage points decrease in the loss and LAE ratio for the current year, excluding catastrophe losses,</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reflects growth in the property and inland marine and ocean marine businesses, both of which have a lower loss and LAE ratio than some of the other businesses in the Property and transportation sub-segment, partially offset by growth in the transportation businesses, which has a higher loss and LAE ratio than some of the other businesses in the Property and transportation sub-segment.</w:t>
      </w:r>
    </w:p>
    <w:p>
      <w:pPr>
        <w:spacing w:after="0" w:line="218" w:lineRule="exact"/>
        <w:rPr>
          <w:sz w:val="20"/>
          <w:szCs w:val="20"/>
          <w:color w:val="auto"/>
        </w:rPr>
      </w:pPr>
    </w:p>
    <w:p>
      <w:pPr>
        <w:ind w:right="380"/>
        <w:spacing w:after="0" w:line="247" w:lineRule="auto"/>
        <w:rPr>
          <w:sz w:val="20"/>
          <w:szCs w:val="20"/>
          <w:color w:val="auto"/>
        </w:rPr>
      </w:pPr>
      <w:r>
        <w:rPr>
          <w:rFonts w:ascii="Arial" w:cs="Arial" w:eastAsia="Arial" w:hAnsi="Arial"/>
          <w:sz w:val="20"/>
          <w:szCs w:val="20"/>
          <w:b w:val="1"/>
          <w:bCs w:val="1"/>
          <w:i w:val="1"/>
          <w:iCs w:val="1"/>
          <w:color w:val="003366"/>
        </w:rPr>
        <w:t xml:space="preserve">Specialty casualty </w:t>
      </w:r>
      <w:r>
        <w:rPr>
          <w:rFonts w:ascii="Arial" w:cs="Arial" w:eastAsia="Arial" w:hAnsi="Arial"/>
          <w:sz w:val="17"/>
          <w:szCs w:val="17"/>
          <w:color w:val="000000"/>
        </w:rPr>
        <w:t>The 0.7 percentage points increase in the loss and LAE ratio for the current year, excluding catastrophe losses, reflects</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growth in the workers’ compensation and public sector businesses, both of which have a</w:t>
      </w:r>
    </w:p>
    <w:p>
      <w:pPr>
        <w:sectPr>
          <w:pgSz w:w="11900" w:h="16838" w:orient="portrait"/>
          <w:cols w:equalWidth="0" w:num="1">
            <w:col w:w="11240"/>
          </w:cols>
          <w:pgMar w:left="320" w:top="116" w:right="339" w:bottom="1440" w:gutter="0" w:footer="0" w:header="0"/>
        </w:sect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47" w:name="page48"/>
    <w:bookmarkEnd w:id="47"/>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ind w:right="-79"/>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51" w:lineRule="exact"/>
        <w:rPr>
          <w:sz w:val="20"/>
          <w:szCs w:val="20"/>
          <w:color w:val="auto"/>
        </w:rPr>
      </w:pPr>
    </w:p>
    <w:p>
      <w:pPr>
        <w:jc w:val="both"/>
        <w:ind w:right="60"/>
        <w:spacing w:after="0" w:line="266" w:lineRule="auto"/>
        <w:rPr>
          <w:sz w:val="20"/>
          <w:szCs w:val="20"/>
          <w:color w:val="auto"/>
        </w:rPr>
      </w:pPr>
      <w:r>
        <w:rPr>
          <w:rFonts w:ascii="Arial" w:cs="Arial" w:eastAsia="Arial" w:hAnsi="Arial"/>
          <w:sz w:val="17"/>
          <w:szCs w:val="17"/>
          <w:color w:val="auto"/>
        </w:rPr>
        <w:t>higher loss and LAE ratio than some of the other businesses in the Specialty casualty sub-segment and a decrease in net earned premiums in the executive liability and the excess and surplus lines businesses, both of which have a lower loss and LAE ratio than some of the other businesses in the Specialty casualty sub-segment.</w:t>
      </w:r>
    </w:p>
    <w:p>
      <w:pPr>
        <w:spacing w:after="0" w:line="215" w:lineRule="exact"/>
        <w:rPr>
          <w:sz w:val="20"/>
          <w:szCs w:val="20"/>
          <w:color w:val="auto"/>
        </w:rPr>
      </w:pPr>
    </w:p>
    <w:p>
      <w:pPr>
        <w:ind w:right="20"/>
        <w:spacing w:after="0" w:line="247" w:lineRule="auto"/>
        <w:rPr>
          <w:sz w:val="20"/>
          <w:szCs w:val="20"/>
          <w:color w:val="auto"/>
        </w:rPr>
      </w:pPr>
      <w:r>
        <w:rPr>
          <w:rFonts w:ascii="Arial" w:cs="Arial" w:eastAsia="Arial" w:hAnsi="Arial"/>
          <w:sz w:val="20"/>
          <w:szCs w:val="20"/>
          <w:b w:val="1"/>
          <w:bCs w:val="1"/>
          <w:i w:val="1"/>
          <w:iCs w:val="1"/>
          <w:color w:val="003366"/>
        </w:rPr>
        <w:t xml:space="preserve">Specialty financial </w:t>
      </w:r>
      <w:r>
        <w:rPr>
          <w:rFonts w:ascii="Arial" w:cs="Arial" w:eastAsia="Arial" w:hAnsi="Arial"/>
          <w:sz w:val="17"/>
          <w:szCs w:val="17"/>
          <w:color w:val="000000"/>
        </w:rPr>
        <w:t>The 1.1 percentage points increase in the loss and LAE ratio for the current year, excluding catastrophe losses, reflects</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growth in AFG’s European operations, which has a higher loss and LAE ratio than some of the other businesses in the Specialty financial sub-segment and a decrease in net earned premiums in the surety business, which has a lower loss and LAE ratio than some of the other businesses in the Specialty financial sub-segment.</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i w:val="1"/>
          <w:iCs w:val="1"/>
          <w:color w:val="003366"/>
        </w:rPr>
        <w:t>Net prior year reserve development</w:t>
      </w:r>
    </w:p>
    <w:p>
      <w:pPr>
        <w:spacing w:after="0" w:line="21" w:lineRule="exact"/>
        <w:rPr>
          <w:sz w:val="20"/>
          <w:szCs w:val="20"/>
          <w:color w:val="auto"/>
        </w:rPr>
      </w:pPr>
    </w:p>
    <w:p>
      <w:pPr>
        <w:ind w:right="760"/>
        <w:spacing w:after="0" w:line="264" w:lineRule="auto"/>
        <w:rPr>
          <w:sz w:val="20"/>
          <w:szCs w:val="20"/>
          <w:color w:val="auto"/>
        </w:rPr>
      </w:pPr>
      <w:r>
        <w:rPr>
          <w:rFonts w:ascii="Arial" w:cs="Arial" w:eastAsia="Arial" w:hAnsi="Arial"/>
          <w:sz w:val="17"/>
          <w:szCs w:val="17"/>
          <w:color w:val="auto"/>
        </w:rPr>
        <w:t>AFG’s Specialty property and casualty insurance operations recorded net favorable reserve development related to prior accident years of $70 million in the first three months of 2026 compared to $20 million in the first three months of 2025, an increase of $50 million (250%).</w:t>
      </w:r>
    </w:p>
    <w:p>
      <w:pPr>
        <w:spacing w:after="0" w:line="203" w:lineRule="exact"/>
        <w:rPr>
          <w:sz w:val="20"/>
          <w:szCs w:val="20"/>
          <w:color w:val="auto"/>
        </w:rPr>
      </w:pPr>
    </w:p>
    <w:p>
      <w:pPr>
        <w:ind w:right="20"/>
        <w:spacing w:after="0" w:line="247" w:lineRule="auto"/>
        <w:rPr>
          <w:sz w:val="20"/>
          <w:szCs w:val="20"/>
          <w:color w:val="auto"/>
        </w:rPr>
      </w:pPr>
      <w:r>
        <w:rPr>
          <w:rFonts w:ascii="Arial" w:cs="Arial" w:eastAsia="Arial" w:hAnsi="Arial"/>
          <w:sz w:val="20"/>
          <w:szCs w:val="20"/>
          <w:b w:val="1"/>
          <w:bCs w:val="1"/>
          <w:i w:val="1"/>
          <w:iCs w:val="1"/>
          <w:color w:val="003366"/>
        </w:rPr>
        <w:t xml:space="preserve">Property and transportation </w:t>
      </w:r>
      <w:r>
        <w:rPr>
          <w:rFonts w:ascii="Arial" w:cs="Arial" w:eastAsia="Arial" w:hAnsi="Arial"/>
          <w:sz w:val="17"/>
          <w:szCs w:val="17"/>
          <w:color w:val="000000"/>
        </w:rPr>
        <w:t>Net favorable reserve development of $47 million in the first three months of 2026 reflects lower than anticipated</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losses in the crop business and lower than expected claim severity in the ocean marine and commercial auto businesses. Net favorable reserve development of $19 million in the first three months of 2025 reflects lower than anticipated losses in the crop business and lower than anticipated claim frequency and severity in the trucking business.</w:t>
      </w:r>
    </w:p>
    <w:p>
      <w:pPr>
        <w:spacing w:after="0" w:line="218" w:lineRule="exact"/>
        <w:rPr>
          <w:sz w:val="20"/>
          <w:szCs w:val="20"/>
          <w:color w:val="auto"/>
        </w:rPr>
      </w:pPr>
    </w:p>
    <w:p>
      <w:pPr>
        <w:spacing w:after="0" w:line="247" w:lineRule="auto"/>
        <w:rPr>
          <w:sz w:val="20"/>
          <w:szCs w:val="20"/>
          <w:color w:val="auto"/>
        </w:rPr>
      </w:pPr>
      <w:r>
        <w:rPr>
          <w:rFonts w:ascii="Arial" w:cs="Arial" w:eastAsia="Arial" w:hAnsi="Arial"/>
          <w:sz w:val="20"/>
          <w:szCs w:val="20"/>
          <w:b w:val="1"/>
          <w:bCs w:val="1"/>
          <w:i w:val="1"/>
          <w:iCs w:val="1"/>
          <w:color w:val="003366"/>
        </w:rPr>
        <w:t xml:space="preserve">Specialty casualty </w:t>
      </w:r>
      <w:r>
        <w:rPr>
          <w:rFonts w:ascii="Arial" w:cs="Arial" w:eastAsia="Arial" w:hAnsi="Arial"/>
          <w:sz w:val="17"/>
          <w:szCs w:val="17"/>
          <w:color w:val="000000"/>
        </w:rPr>
        <w:t>Net favorable reserve development of less than $1 million in the first three months of 2026 reflects lower than anticipated</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claim severity in the workers’ compensation businesses, offset by higher than anticipated severity in certain social inflation exposed businesses. Net adverse reserve development of $12 million in the first three months of 2025 reflects higher than anticipated claim severity in the excess liability businesses, partially offset by lower than anticipated claim severity in the workers' compensation businesses.</w:t>
      </w:r>
    </w:p>
    <w:p>
      <w:pPr>
        <w:spacing w:after="0" w:line="231" w:lineRule="exact"/>
        <w:rPr>
          <w:sz w:val="20"/>
          <w:szCs w:val="20"/>
          <w:color w:val="auto"/>
        </w:rPr>
      </w:pPr>
    </w:p>
    <w:p>
      <w:pPr>
        <w:ind w:right="260"/>
        <w:spacing w:after="0"/>
        <w:rPr>
          <w:sz w:val="20"/>
          <w:szCs w:val="20"/>
          <w:color w:val="auto"/>
        </w:rPr>
      </w:pPr>
      <w:r>
        <w:rPr>
          <w:rFonts w:ascii="Arial" w:cs="Arial" w:eastAsia="Arial" w:hAnsi="Arial"/>
          <w:sz w:val="20"/>
          <w:szCs w:val="20"/>
          <w:b w:val="1"/>
          <w:bCs w:val="1"/>
          <w:i w:val="1"/>
          <w:iCs w:val="1"/>
          <w:color w:val="003366"/>
        </w:rPr>
        <w:t xml:space="preserve">Specialty financial </w:t>
      </w:r>
      <w:r>
        <w:rPr>
          <w:rFonts w:ascii="Arial" w:cs="Arial" w:eastAsia="Arial" w:hAnsi="Arial"/>
          <w:sz w:val="17"/>
          <w:szCs w:val="17"/>
          <w:color w:val="000000"/>
        </w:rPr>
        <w:t>Net favorable reserve development of $23 million in the first three months of 2026 reflects lower than anticipated claim</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frequency in the fidelity and crime business and lower than expected claim severity in the surety business. Net favorable reserve development of $13 million in the first three months of 2025 reflects lower than anticipated claim frequency and severity in the financial institutions business.</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i w:val="1"/>
          <w:iCs w:val="1"/>
          <w:color w:val="003366"/>
        </w:rPr>
        <w:t>Catastrophe losses</w:t>
      </w:r>
    </w:p>
    <w:p>
      <w:pPr>
        <w:spacing w:after="0" w:line="21" w:lineRule="exact"/>
        <w:rPr>
          <w:sz w:val="20"/>
          <w:szCs w:val="20"/>
          <w:color w:val="auto"/>
        </w:rPr>
      </w:pPr>
    </w:p>
    <w:p>
      <w:pPr>
        <w:ind w:right="100"/>
        <w:spacing w:after="0" w:line="254" w:lineRule="auto"/>
        <w:rPr>
          <w:sz w:val="20"/>
          <w:szCs w:val="20"/>
          <w:color w:val="auto"/>
        </w:rPr>
      </w:pPr>
      <w:r>
        <w:rPr>
          <w:rFonts w:ascii="Arial" w:cs="Arial" w:eastAsia="Arial" w:hAnsi="Arial"/>
          <w:sz w:val="17"/>
          <w:szCs w:val="17"/>
          <w:color w:val="auto"/>
        </w:rPr>
        <w:t>AFG generally seeks to reduce its exposure to catastrophes (whether resulting from climate change or otherwise) through individual risk selection, including minimizing coastal and known fault-line exposures, and the purchase of reinsurance. AFG currently has comprehensive property catastrophe reinsurance coverage in place (including a $70 million per occurrence net retention) for losses up to $625 million in the vast majority of circumstances. This coverage consists of a combination of $205 million from traditional reinsurance and $350 million of coverage through a fully collateralized catastrophe bond. Based on data available at December 31, 2025, management estimates that AFG’s exposure to a catastrophic earthquake or windstorm that industry models indicate should statistically occur once in every 500 years is less than 3% of AFG’s Shareholders’ Equity.</w:t>
      </w:r>
    </w:p>
    <w:p>
      <w:pPr>
        <w:spacing w:after="0" w:line="210" w:lineRule="exact"/>
        <w:rPr>
          <w:sz w:val="20"/>
          <w:szCs w:val="20"/>
          <w:color w:val="auto"/>
        </w:rPr>
      </w:pPr>
    </w:p>
    <w:p>
      <w:pPr>
        <w:ind w:right="320"/>
        <w:spacing w:after="0" w:line="284" w:lineRule="auto"/>
        <w:rPr>
          <w:sz w:val="20"/>
          <w:szCs w:val="20"/>
          <w:color w:val="auto"/>
        </w:rPr>
      </w:pPr>
      <w:r>
        <w:rPr>
          <w:rFonts w:ascii="Arial" w:cs="Arial" w:eastAsia="Arial" w:hAnsi="Arial"/>
          <w:sz w:val="17"/>
          <w:szCs w:val="17"/>
          <w:color w:val="auto"/>
        </w:rPr>
        <w:t>Catastrophe losses of $35 million in the first three months of 2026 resulted primarily from winter and convective storms in multiple regions of the United States. Catastrophe losses of $72 million in the first three months of 2025 resulted primarily from California wildfires.</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Commissions and Other Underwriting Expense</w:t>
      </w:r>
    </w:p>
    <w:p>
      <w:pPr>
        <w:spacing w:after="0" w:line="30" w:lineRule="exact"/>
        <w:rPr>
          <w:sz w:val="20"/>
          <w:szCs w:val="20"/>
          <w:color w:val="auto"/>
        </w:rPr>
      </w:pPr>
    </w:p>
    <w:p>
      <w:pPr>
        <w:ind w:right="40"/>
        <w:spacing w:after="0" w:line="256" w:lineRule="auto"/>
        <w:rPr>
          <w:sz w:val="20"/>
          <w:szCs w:val="20"/>
          <w:color w:val="auto"/>
        </w:rPr>
      </w:pPr>
      <w:r>
        <w:rPr>
          <w:rFonts w:ascii="Arial" w:cs="Arial" w:eastAsia="Arial" w:hAnsi="Arial"/>
          <w:sz w:val="17"/>
          <w:szCs w:val="17"/>
          <w:color w:val="auto"/>
        </w:rPr>
        <w:t>Commissions and other underwriting expenses (“U/W Exp”) were $547 million in the first three months of 2026 compared to $521 million for the first three months of 2025, an increase of $26 million (5%). AFG’s underwriting expense ratio, calculated as commissions and other underwriting expenses divided by net premiums earned, was 34.0% for the first</w:t>
      </w:r>
    </w:p>
    <w:p>
      <w:pPr>
        <w:spacing w:after="0" w:line="200" w:lineRule="exact"/>
        <w:rPr>
          <w:sz w:val="20"/>
          <w:szCs w:val="20"/>
          <w:color w:val="auto"/>
        </w:rPr>
      </w:pPr>
    </w:p>
    <w:p>
      <w:pPr>
        <w:spacing w:after="0" w:line="373"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6" w:right="399" w:bottom="1440" w:gutter="0" w:footer="0" w:header="0"/>
        </w:sectPr>
      </w:pPr>
    </w:p>
    <w:bookmarkStart w:id="48" w:name="page49"/>
    <w:bookmarkEnd w:id="48"/>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51" w:lineRule="exact"/>
        <w:rPr>
          <w:sz w:val="20"/>
          <w:szCs w:val="20"/>
          <w:color w:val="auto"/>
        </w:rPr>
      </w:pPr>
    </w:p>
    <w:p>
      <w:pPr>
        <w:ind w:right="180"/>
        <w:spacing w:after="0" w:line="284" w:lineRule="auto"/>
        <w:rPr>
          <w:sz w:val="20"/>
          <w:szCs w:val="20"/>
          <w:color w:val="auto"/>
        </w:rPr>
      </w:pPr>
      <w:r>
        <w:rPr>
          <w:rFonts w:ascii="Arial" w:cs="Arial" w:eastAsia="Arial" w:hAnsi="Arial"/>
          <w:sz w:val="17"/>
          <w:szCs w:val="17"/>
          <w:color w:val="auto"/>
        </w:rPr>
        <w:t>three months of 2026 compared to 33.0% for the first three months of 2025, an increase of 1.0 percentage points. Detail of commissions and other underwriting expenses and underwriting expense ratios is shown below (dollars in millions):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4"/>
          </w:tcPr>
          <w:p>
            <w:pPr>
              <w:jc w:val="right"/>
              <w:ind w:right="1"/>
              <w:spacing w:after="0"/>
              <w:rPr>
                <w:sz w:val="20"/>
                <w:szCs w:val="20"/>
                <w:color w:val="auto"/>
              </w:rPr>
            </w:pPr>
            <w:r>
              <w:rPr>
                <w:rFonts w:ascii="Arial" w:cs="Arial" w:eastAsia="Arial" w:hAnsi="Arial"/>
                <w:sz w:val="14"/>
                <w:szCs w:val="14"/>
                <w:color w:val="auto"/>
              </w:rPr>
              <w:t>Three months ended March 31,</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6"/>
        </w:trPr>
        <w:tc>
          <w:tcPr>
            <w:tcW w:w="49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color w:val="auto"/>
              </w:rPr>
              <w:t>2026</w:t>
            </w:r>
          </w:p>
        </w:tc>
        <w:tc>
          <w:tcPr>
            <w:tcW w:w="10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jc w:val="right"/>
              <w:ind w:right="984"/>
              <w:spacing w:after="0"/>
              <w:rPr>
                <w:sz w:val="20"/>
                <w:szCs w:val="20"/>
                <w:color w:val="auto"/>
              </w:rPr>
            </w:pPr>
            <w:r>
              <w:rPr>
                <w:rFonts w:ascii="Arial" w:cs="Arial" w:eastAsia="Arial" w:hAnsi="Arial"/>
                <w:sz w:val="14"/>
                <w:szCs w:val="14"/>
                <w:color w:val="auto"/>
                <w:w w:val="96"/>
              </w:rPr>
              <w:t>2025</w:t>
            </w:r>
          </w:p>
        </w:tc>
        <w:tc>
          <w:tcPr>
            <w:tcW w:w="100" w:type="dxa"/>
            <w:vAlign w:val="bottom"/>
          </w:tcPr>
          <w:p>
            <w:pPr>
              <w:spacing w:after="0"/>
              <w:rPr>
                <w:sz w:val="17"/>
                <w:szCs w:val="17"/>
                <w:color w:val="auto"/>
              </w:rPr>
            </w:pPr>
          </w:p>
        </w:tc>
        <w:tc>
          <w:tcPr>
            <w:tcW w:w="1240" w:type="dxa"/>
            <w:vAlign w:val="bottom"/>
          </w:tcPr>
          <w:p>
            <w:pPr>
              <w:jc w:val="right"/>
              <w:ind w:right="222"/>
              <w:spacing w:after="0"/>
              <w:rPr>
                <w:sz w:val="20"/>
                <w:szCs w:val="20"/>
                <w:color w:val="auto"/>
              </w:rPr>
            </w:pPr>
            <w:r>
              <w:rPr>
                <w:rFonts w:ascii="Arial" w:cs="Arial" w:eastAsia="Arial" w:hAnsi="Arial"/>
                <w:sz w:val="14"/>
                <w:szCs w:val="14"/>
                <w:color w:val="auto"/>
              </w:rPr>
              <w:t>Change in</w:t>
            </w:r>
          </w:p>
        </w:tc>
      </w:tr>
      <w:tr>
        <w:trPr>
          <w:trHeight w:val="198"/>
        </w:trPr>
        <w:tc>
          <w:tcPr>
            <w:tcW w:w="4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3"/>
          </w:tcPr>
          <w:p>
            <w:pPr>
              <w:jc w:val="right"/>
              <w:ind w:right="580"/>
              <w:spacing w:after="0"/>
              <w:rPr>
                <w:sz w:val="20"/>
                <w:szCs w:val="20"/>
                <w:color w:val="auto"/>
              </w:rPr>
            </w:pPr>
            <w:r>
              <w:rPr>
                <w:rFonts w:ascii="Arial" w:cs="Arial" w:eastAsia="Arial" w:hAnsi="Arial"/>
                <w:sz w:val="14"/>
                <w:szCs w:val="14"/>
                <w:color w:val="auto"/>
              </w:rPr>
              <w:t>U/W Exp</w:t>
            </w:r>
          </w:p>
        </w:tc>
        <w:tc>
          <w:tcPr>
            <w:tcW w:w="1100" w:type="dxa"/>
            <w:vAlign w:val="bottom"/>
            <w:gridSpan w:val="2"/>
          </w:tcPr>
          <w:p>
            <w:pPr>
              <w:ind w:left="80"/>
              <w:spacing w:after="0"/>
              <w:rPr>
                <w:sz w:val="20"/>
                <w:szCs w:val="20"/>
                <w:color w:val="auto"/>
              </w:rPr>
            </w:pPr>
            <w:r>
              <w:rPr>
                <w:rFonts w:ascii="Arial" w:cs="Arial" w:eastAsia="Arial" w:hAnsi="Arial"/>
                <w:sz w:val="14"/>
                <w:szCs w:val="14"/>
                <w:color w:val="auto"/>
              </w:rPr>
              <w:t>% of NEP</w:t>
            </w:r>
          </w:p>
        </w:tc>
        <w:tc>
          <w:tcPr>
            <w:tcW w:w="180" w:type="dxa"/>
            <w:vAlign w:val="bottom"/>
          </w:tcPr>
          <w:p>
            <w:pPr>
              <w:spacing w:after="0"/>
              <w:rPr>
                <w:sz w:val="17"/>
                <w:szCs w:val="17"/>
                <w:color w:val="auto"/>
              </w:rPr>
            </w:pPr>
          </w:p>
        </w:tc>
        <w:tc>
          <w:tcPr>
            <w:tcW w:w="860" w:type="dxa"/>
            <w:vAlign w:val="bottom"/>
          </w:tcPr>
          <w:p>
            <w:pPr>
              <w:jc w:val="right"/>
              <w:ind w:right="121"/>
              <w:spacing w:after="0"/>
              <w:rPr>
                <w:sz w:val="20"/>
                <w:szCs w:val="20"/>
                <w:color w:val="auto"/>
              </w:rPr>
            </w:pPr>
            <w:r>
              <w:rPr>
                <w:rFonts w:ascii="Arial" w:cs="Arial" w:eastAsia="Arial" w:hAnsi="Arial"/>
                <w:sz w:val="14"/>
                <w:szCs w:val="14"/>
                <w:color w:val="auto"/>
              </w:rPr>
              <w:t>U/W Exp</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ind w:left="300"/>
              <w:spacing w:after="0"/>
              <w:rPr>
                <w:sz w:val="20"/>
                <w:szCs w:val="20"/>
                <w:color w:val="auto"/>
              </w:rPr>
            </w:pPr>
            <w:r>
              <w:rPr>
                <w:rFonts w:ascii="Arial" w:cs="Arial" w:eastAsia="Arial" w:hAnsi="Arial"/>
                <w:sz w:val="14"/>
                <w:szCs w:val="14"/>
                <w:color w:val="auto"/>
              </w:rPr>
              <w:t>% of NEP</w:t>
            </w:r>
          </w:p>
        </w:tc>
        <w:tc>
          <w:tcPr>
            <w:tcW w:w="1240" w:type="dxa"/>
            <w:vAlign w:val="bottom"/>
          </w:tcPr>
          <w:p>
            <w:pPr>
              <w:jc w:val="right"/>
              <w:ind w:right="222"/>
              <w:spacing w:after="0"/>
              <w:rPr>
                <w:sz w:val="20"/>
                <w:szCs w:val="20"/>
                <w:color w:val="auto"/>
              </w:rPr>
            </w:pPr>
            <w:r>
              <w:rPr>
                <w:rFonts w:ascii="Arial" w:cs="Arial" w:eastAsia="Arial" w:hAnsi="Arial"/>
                <w:sz w:val="14"/>
                <w:szCs w:val="14"/>
                <w:color w:val="auto"/>
              </w:rPr>
              <w:t>% of NEP</w:t>
            </w:r>
          </w:p>
        </w:tc>
      </w:tr>
      <w:tr>
        <w:trPr>
          <w:trHeight w:val="213"/>
        </w:trPr>
        <w:tc>
          <w:tcPr>
            <w:tcW w:w="4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Property and transportation</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30.5%</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w:t>
            </w: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30.4%</w:t>
            </w:r>
          </w:p>
        </w:tc>
        <w:tc>
          <w:tcPr>
            <w:tcW w:w="1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r>
      <w:tr>
        <w:trPr>
          <w:trHeight w:val="215"/>
        </w:trPr>
        <w:tc>
          <w:tcPr>
            <w:tcW w:w="4960" w:type="dxa"/>
            <w:vAlign w:val="bottom"/>
          </w:tcPr>
          <w:p>
            <w:pPr>
              <w:ind w:left="20"/>
              <w:spacing w:after="0"/>
              <w:rPr>
                <w:sz w:val="20"/>
                <w:szCs w:val="20"/>
                <w:color w:val="auto"/>
              </w:rPr>
            </w:pPr>
            <w:r>
              <w:rPr>
                <w:rFonts w:ascii="Arial" w:cs="Arial" w:eastAsia="Arial" w:hAnsi="Arial"/>
                <w:sz w:val="16"/>
                <w:szCs w:val="16"/>
                <w:color w:val="auto"/>
              </w:rPr>
              <w:t>Specialty casualty</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248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31.1%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238</w:t>
            </w:r>
          </w:p>
        </w:tc>
        <w:tc>
          <w:tcPr>
            <w:tcW w:w="1380" w:type="dxa"/>
            <w:vAlign w:val="bottom"/>
            <w:gridSpan w:val="3"/>
          </w:tcPr>
          <w:p>
            <w:pPr>
              <w:jc w:val="right"/>
              <w:spacing w:after="0"/>
              <w:rPr>
                <w:sz w:val="20"/>
                <w:szCs w:val="20"/>
                <w:color w:val="auto"/>
              </w:rPr>
            </w:pPr>
            <w:r>
              <w:rPr>
                <w:rFonts w:ascii="Arial" w:cs="Arial" w:eastAsia="Arial" w:hAnsi="Arial"/>
                <w:sz w:val="16"/>
                <w:szCs w:val="16"/>
                <w:color w:val="auto"/>
              </w:rPr>
              <w:t>30.0%</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17"/>
        </w:trPr>
        <w:tc>
          <w:tcPr>
            <w:tcW w:w="4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Specialty financial</w:t>
            </w: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48.8%</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60" w:type="dxa"/>
            <w:vAlign w:val="bottom"/>
            <w:tcBorders>
              <w:bottom w:val="single" w:sz="8" w:color="auto"/>
            </w:tcBorders>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45.9%</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r>
      <w:tr>
        <w:trPr>
          <w:trHeight w:val="210"/>
        </w:trPr>
        <w:tc>
          <w:tcPr>
            <w:tcW w:w="49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547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34.0%</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521</w:t>
            </w:r>
          </w:p>
        </w:tc>
        <w:tc>
          <w:tcPr>
            <w:tcW w:w="1380" w:type="dxa"/>
            <w:vAlign w:val="bottom"/>
            <w:gridSpan w:val="3"/>
          </w:tcPr>
          <w:p>
            <w:pPr>
              <w:jc w:val="right"/>
              <w:spacing w:after="0"/>
              <w:rPr>
                <w:sz w:val="20"/>
                <w:szCs w:val="20"/>
                <w:color w:val="auto"/>
              </w:rPr>
            </w:pPr>
            <w:r>
              <w:rPr>
                <w:rFonts w:ascii="Arial" w:cs="Arial" w:eastAsia="Arial" w:hAnsi="Arial"/>
                <w:sz w:val="16"/>
                <w:szCs w:val="16"/>
                <w:color w:val="auto"/>
              </w:rPr>
              <w:t>33.0%</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0"/>
        </w:trPr>
        <w:tc>
          <w:tcPr>
            <w:tcW w:w="49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31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003366"/>
        </w:rPr>
        <w:t xml:space="preserve">Property and transportation  </w:t>
      </w:r>
      <w:r>
        <w:rPr>
          <w:rFonts w:ascii="Arial" w:cs="Arial" w:eastAsia="Arial" w:hAnsi="Arial"/>
          <w:sz w:val="17"/>
          <w:szCs w:val="17"/>
          <w:color w:val="000000"/>
        </w:rPr>
        <w:t>Commissions and other underwriting expenses as a percentage of net earned premiums increased</w:t>
      </w:r>
    </w:p>
    <w:p>
      <w:pPr>
        <w:spacing w:after="0" w:line="15" w:lineRule="exact"/>
        <w:rPr>
          <w:sz w:val="20"/>
          <w:szCs w:val="20"/>
          <w:color w:val="auto"/>
        </w:rPr>
      </w:pPr>
    </w:p>
    <w:p>
      <w:pPr>
        <w:ind w:right="140"/>
        <w:spacing w:after="0" w:line="259" w:lineRule="auto"/>
        <w:rPr>
          <w:sz w:val="20"/>
          <w:szCs w:val="20"/>
          <w:color w:val="auto"/>
        </w:rPr>
      </w:pPr>
      <w:r>
        <w:rPr>
          <w:rFonts w:ascii="Arial" w:cs="Arial" w:eastAsia="Arial" w:hAnsi="Arial"/>
          <w:sz w:val="17"/>
          <w:szCs w:val="17"/>
          <w:color w:val="auto"/>
        </w:rPr>
        <w:t>0.1 percentage points in the first three months of 2026 compared to the first three months of 2025. The increase reflects higher costs for software and other expenses associated with certain initiatives in IT security, customer experience and data analytics, partially offset by the impact of growth in the crop and transportation businesses, both of which have a lower commissions and other underwriting expense ratio than some of the other businesses in the Property and transportation sub-segment.</w:t>
      </w:r>
    </w:p>
    <w:p>
      <w:pPr>
        <w:spacing w:after="0" w:line="207" w:lineRule="exact"/>
        <w:rPr>
          <w:sz w:val="20"/>
          <w:szCs w:val="20"/>
          <w:color w:val="auto"/>
        </w:rPr>
      </w:pPr>
    </w:p>
    <w:p>
      <w:pPr>
        <w:ind w:right="40"/>
        <w:spacing w:after="0" w:line="247" w:lineRule="auto"/>
        <w:rPr>
          <w:sz w:val="20"/>
          <w:szCs w:val="20"/>
          <w:color w:val="auto"/>
        </w:rPr>
      </w:pPr>
      <w:r>
        <w:rPr>
          <w:rFonts w:ascii="Arial" w:cs="Arial" w:eastAsia="Arial" w:hAnsi="Arial"/>
          <w:sz w:val="20"/>
          <w:szCs w:val="20"/>
          <w:b w:val="1"/>
          <w:bCs w:val="1"/>
          <w:i w:val="1"/>
          <w:iCs w:val="1"/>
          <w:color w:val="003366"/>
        </w:rPr>
        <w:t xml:space="preserve">Specialty casualty </w:t>
      </w:r>
      <w:r>
        <w:rPr>
          <w:rFonts w:ascii="Arial" w:cs="Arial" w:eastAsia="Arial" w:hAnsi="Arial"/>
          <w:sz w:val="17"/>
          <w:szCs w:val="17"/>
          <w:color w:val="000000"/>
        </w:rPr>
        <w:t>Commissions and other underwriting expenses as a percentage of net earned premiums increased 1.1 percentage points in</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the first three months of 2026 compared to the first three months of 2025 reflecting higher costs for software and other expenses associated with certain initiatives in IT security, customer experience and data analytics and lower reinsurance ceding commissions in certain excess and surplus businesses, partially offset by the impact of higher ceding commissions in the public sector business.</w:t>
      </w:r>
    </w:p>
    <w:p>
      <w:pPr>
        <w:spacing w:after="0" w:line="218" w:lineRule="exact"/>
        <w:rPr>
          <w:sz w:val="20"/>
          <w:szCs w:val="20"/>
          <w:color w:val="auto"/>
        </w:rPr>
      </w:pPr>
    </w:p>
    <w:p>
      <w:pPr>
        <w:ind w:right="20"/>
        <w:spacing w:after="0" w:line="247" w:lineRule="auto"/>
        <w:rPr>
          <w:sz w:val="20"/>
          <w:szCs w:val="20"/>
          <w:color w:val="auto"/>
        </w:rPr>
      </w:pPr>
      <w:r>
        <w:rPr>
          <w:rFonts w:ascii="Arial" w:cs="Arial" w:eastAsia="Arial" w:hAnsi="Arial"/>
          <w:sz w:val="20"/>
          <w:szCs w:val="20"/>
          <w:b w:val="1"/>
          <w:bCs w:val="1"/>
          <w:i w:val="1"/>
          <w:iCs w:val="1"/>
          <w:color w:val="003366"/>
        </w:rPr>
        <w:t xml:space="preserve">Specialty financial </w:t>
      </w:r>
      <w:r>
        <w:rPr>
          <w:rFonts w:ascii="Arial" w:cs="Arial" w:eastAsia="Arial" w:hAnsi="Arial"/>
          <w:sz w:val="17"/>
          <w:szCs w:val="17"/>
          <w:color w:val="000000"/>
        </w:rPr>
        <w:t>Commissions and other underwriting expenses as a percentage of net earned premiums increased 2.9 percentage points in</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the first three months of 2026 compared to the first three months of 2025 due primarily to higher costs for software and other expenses associated with certain initiatives in IT security, customer experience and data analytics and higher profit-based commissions to agents in the financial institutions business.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Property and Casualty Net Investment Income</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Net investment income in AFG’s property and casualty insurance operations was $168 million in the first three months of 2026 compared to</w:t>
      </w:r>
    </w:p>
    <w:p>
      <w:pPr>
        <w:spacing w:after="0" w:line="7" w:lineRule="exact"/>
        <w:rPr>
          <w:sz w:val="20"/>
          <w:szCs w:val="20"/>
          <w:color w:val="auto"/>
        </w:rPr>
      </w:pPr>
    </w:p>
    <w:p>
      <w:pPr>
        <w:ind w:right="220"/>
        <w:spacing w:after="0" w:line="264" w:lineRule="auto"/>
        <w:rPr>
          <w:sz w:val="20"/>
          <w:szCs w:val="20"/>
          <w:color w:val="auto"/>
        </w:rPr>
      </w:pPr>
      <w:r>
        <w:rPr>
          <w:rFonts w:ascii="Arial" w:cs="Arial" w:eastAsia="Arial" w:hAnsi="Arial"/>
          <w:sz w:val="17"/>
          <w:szCs w:val="17"/>
          <w:color w:val="auto"/>
        </w:rPr>
        <w:t>$170 million in the first three months of 2025, a decrease of $2 million (1%). The average invested assets and overall yield earned on investments held by AFG’s property and casualty insurance operations are provided below (dollars in millions):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920" w:type="dxa"/>
            <w:vAlign w:val="bottom"/>
            <w:gridSpan w:val="5"/>
          </w:tcPr>
          <w:p>
            <w:pPr>
              <w:ind w:left="240"/>
              <w:spacing w:after="0"/>
              <w:rPr>
                <w:sz w:val="20"/>
                <w:szCs w:val="20"/>
                <w:color w:val="auto"/>
              </w:rPr>
            </w:pPr>
            <w:r>
              <w:rPr>
                <w:rFonts w:ascii="Arial" w:cs="Arial" w:eastAsia="Arial" w:hAnsi="Arial"/>
                <w:sz w:val="14"/>
                <w:szCs w:val="14"/>
                <w:color w:val="auto"/>
              </w:rPr>
              <w:t>Three months ended March 31,</w:t>
            </w: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8"/>
        </w:trPr>
        <w:tc>
          <w:tcPr>
            <w:tcW w:w="548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4"/>
                <w:szCs w:val="14"/>
                <w:color w:val="auto"/>
              </w:rPr>
              <w:t>2026</w:t>
            </w: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4"/>
                <w:szCs w:val="14"/>
                <w:color w:val="auto"/>
              </w:rPr>
              <w:t>2025</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Change</w:t>
            </w: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 Change</w:t>
            </w:r>
          </w:p>
        </w:tc>
      </w:tr>
      <w:tr>
        <w:trPr>
          <w:trHeight w:val="200"/>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investment income:</w:t>
            </w: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5"/>
        </w:trPr>
        <w:tc>
          <w:tcPr>
            <w:tcW w:w="5480" w:type="dxa"/>
            <w:vAlign w:val="bottom"/>
          </w:tcPr>
          <w:p>
            <w:pPr>
              <w:ind w:left="260"/>
              <w:spacing w:after="0"/>
              <w:rPr>
                <w:sz w:val="20"/>
                <w:szCs w:val="20"/>
                <w:color w:val="auto"/>
              </w:rPr>
            </w:pPr>
            <w:r>
              <w:rPr>
                <w:rFonts w:ascii="Arial" w:cs="Arial" w:eastAsia="Arial" w:hAnsi="Arial"/>
                <w:sz w:val="16"/>
                <w:szCs w:val="16"/>
                <w:color w:val="auto"/>
              </w:rPr>
              <w:t>Net investment income, excluding alternative investments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Pr>
          <w:p>
            <w:pPr>
              <w:ind w:left="700"/>
              <w:spacing w:after="0"/>
              <w:rPr>
                <w:sz w:val="20"/>
                <w:szCs w:val="20"/>
                <w:color w:val="auto"/>
              </w:rPr>
            </w:pPr>
            <w:r>
              <w:rPr>
                <w:rFonts w:ascii="Arial" w:cs="Arial" w:eastAsia="Arial" w:hAnsi="Arial"/>
                <w:sz w:val="16"/>
                <w:szCs w:val="16"/>
                <w:color w:val="auto"/>
              </w:rPr>
              <w:t>171</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ind w:left="700"/>
              <w:spacing w:after="0"/>
              <w:rPr>
                <w:sz w:val="20"/>
                <w:szCs w:val="20"/>
                <w:color w:val="auto"/>
              </w:rPr>
            </w:pPr>
            <w:r>
              <w:rPr>
                <w:rFonts w:ascii="Arial" w:cs="Arial" w:eastAsia="Arial" w:hAnsi="Arial"/>
                <w:sz w:val="16"/>
                <w:szCs w:val="16"/>
                <w:color w:val="auto"/>
              </w:rPr>
              <w:t>158</w:t>
            </w:r>
          </w:p>
        </w:tc>
        <w:tc>
          <w:tcPr>
            <w:tcW w:w="10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80"/>
              <w:spacing w:after="0"/>
              <w:rPr>
                <w:sz w:val="20"/>
                <w:szCs w:val="20"/>
                <w:color w:val="auto"/>
              </w:rPr>
            </w:pPr>
            <w:r>
              <w:rPr>
                <w:rFonts w:ascii="Arial" w:cs="Arial" w:eastAsia="Arial" w:hAnsi="Arial"/>
                <w:sz w:val="16"/>
                <w:szCs w:val="16"/>
                <w:color w:val="auto"/>
              </w:rPr>
              <w:t>13</w:t>
            </w:r>
          </w:p>
        </w:tc>
        <w:tc>
          <w:tcPr>
            <w:tcW w:w="1200" w:type="dxa"/>
            <w:vAlign w:val="bottom"/>
            <w:gridSpan w:val="2"/>
          </w:tcPr>
          <w:p>
            <w:pPr>
              <w:jc w:val="right"/>
              <w:ind w:right="8"/>
              <w:spacing w:after="0"/>
              <w:rPr>
                <w:sz w:val="20"/>
                <w:szCs w:val="20"/>
                <w:color w:val="auto"/>
              </w:rPr>
            </w:pPr>
            <w:r>
              <w:rPr>
                <w:rFonts w:ascii="Arial" w:cs="Arial" w:eastAsia="Arial" w:hAnsi="Arial"/>
                <w:sz w:val="16"/>
                <w:szCs w:val="16"/>
                <w:color w:val="auto"/>
              </w:rPr>
              <w:t>8%</w:t>
            </w:r>
          </w:p>
        </w:tc>
      </w:tr>
      <w:tr>
        <w:trPr>
          <w:trHeight w:val="216"/>
        </w:trPr>
        <w:tc>
          <w:tcPr>
            <w:tcW w:w="54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Alternative investments</w:t>
            </w:r>
          </w:p>
        </w:tc>
        <w:tc>
          <w:tcPr>
            <w:tcW w:w="3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(15)</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(125%)</w:t>
            </w:r>
          </w:p>
        </w:tc>
      </w:tr>
      <w:tr>
        <w:trPr>
          <w:trHeight w:val="210"/>
        </w:trPr>
        <w:tc>
          <w:tcPr>
            <w:tcW w:w="5480" w:type="dxa"/>
            <w:vAlign w:val="bottom"/>
          </w:tcPr>
          <w:p>
            <w:pPr>
              <w:ind w:left="440"/>
              <w:spacing w:after="0"/>
              <w:rPr>
                <w:sz w:val="20"/>
                <w:szCs w:val="20"/>
                <w:color w:val="auto"/>
              </w:rPr>
            </w:pPr>
            <w:r>
              <w:rPr>
                <w:rFonts w:ascii="Arial" w:cs="Arial" w:eastAsia="Arial" w:hAnsi="Arial"/>
                <w:sz w:val="16"/>
                <w:szCs w:val="16"/>
                <w:color w:val="auto"/>
              </w:rPr>
              <w:t>Total net investment income</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ind w:left="700"/>
              <w:spacing w:after="0"/>
              <w:rPr>
                <w:sz w:val="20"/>
                <w:szCs w:val="20"/>
                <w:color w:val="auto"/>
              </w:rPr>
            </w:pPr>
            <w:r>
              <w:rPr>
                <w:rFonts w:ascii="Arial" w:cs="Arial" w:eastAsia="Arial" w:hAnsi="Arial"/>
                <w:sz w:val="16"/>
                <w:szCs w:val="16"/>
                <w:color w:val="auto"/>
              </w:rPr>
              <w:t>168</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ind w:left="700"/>
              <w:spacing w:after="0"/>
              <w:rPr>
                <w:sz w:val="20"/>
                <w:szCs w:val="20"/>
                <w:color w:val="auto"/>
              </w:rPr>
            </w:pPr>
            <w:r>
              <w:rPr>
                <w:rFonts w:ascii="Arial" w:cs="Arial" w:eastAsia="Arial" w:hAnsi="Arial"/>
                <w:sz w:val="16"/>
                <w:szCs w:val="16"/>
                <w:color w:val="auto"/>
              </w:rPr>
              <w:t>170</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(2)</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(1%)</w:t>
            </w:r>
          </w:p>
        </w:tc>
      </w:tr>
      <w:tr>
        <w:trPr>
          <w:trHeight w:val="20"/>
        </w:trPr>
        <w:tc>
          <w:tcPr>
            <w:tcW w:w="54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r>
      <w:tr>
        <w:trPr>
          <w:trHeight w:val="183"/>
        </w:trPr>
        <w:tc>
          <w:tcPr>
            <w:tcW w:w="54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16"/>
        </w:trPr>
        <w:tc>
          <w:tcPr>
            <w:tcW w:w="5480" w:type="dxa"/>
            <w:vAlign w:val="bottom"/>
          </w:tcPr>
          <w:p>
            <w:pPr>
              <w:ind w:left="20"/>
              <w:spacing w:after="0"/>
              <w:rPr>
                <w:sz w:val="20"/>
                <w:szCs w:val="20"/>
                <w:color w:val="auto"/>
              </w:rPr>
            </w:pPr>
            <w:r>
              <w:rPr>
                <w:rFonts w:ascii="Arial" w:cs="Arial" w:eastAsia="Arial" w:hAnsi="Arial"/>
                <w:sz w:val="16"/>
                <w:szCs w:val="16"/>
                <w:color w:val="auto"/>
              </w:rPr>
              <w:t>Average invested assets (at amortized cost)</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ind w:left="460"/>
              <w:spacing w:after="0"/>
              <w:rPr>
                <w:sz w:val="20"/>
                <w:szCs w:val="20"/>
                <w:color w:val="auto"/>
              </w:rPr>
            </w:pPr>
            <w:r>
              <w:rPr>
                <w:rFonts w:ascii="Arial" w:cs="Arial" w:eastAsia="Arial" w:hAnsi="Arial"/>
                <w:sz w:val="16"/>
                <w:szCs w:val="16"/>
                <w:color w:val="auto"/>
              </w:rPr>
              <w:t>16,855</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15,881</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974</w:t>
            </w:r>
          </w:p>
        </w:tc>
        <w:tc>
          <w:tcPr>
            <w:tcW w:w="1200" w:type="dxa"/>
            <w:vAlign w:val="bottom"/>
            <w:gridSpan w:val="2"/>
          </w:tcPr>
          <w:p>
            <w:pPr>
              <w:jc w:val="right"/>
              <w:ind w:right="8"/>
              <w:spacing w:after="0"/>
              <w:rPr>
                <w:sz w:val="20"/>
                <w:szCs w:val="20"/>
                <w:color w:val="auto"/>
              </w:rPr>
            </w:pPr>
            <w:r>
              <w:rPr>
                <w:rFonts w:ascii="Arial" w:cs="Arial" w:eastAsia="Arial" w:hAnsi="Arial"/>
                <w:sz w:val="16"/>
                <w:szCs w:val="16"/>
                <w:color w:val="auto"/>
              </w:rPr>
              <w:t>6%</w:t>
            </w:r>
          </w:p>
        </w:tc>
      </w:tr>
      <w:tr>
        <w:trPr>
          <w:trHeight w:val="20"/>
        </w:trPr>
        <w:tc>
          <w:tcPr>
            <w:tcW w:w="54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r>
      <w:tr>
        <w:trPr>
          <w:trHeight w:val="183"/>
        </w:trPr>
        <w:tc>
          <w:tcPr>
            <w:tcW w:w="54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15"/>
        </w:trPr>
        <w:tc>
          <w:tcPr>
            <w:tcW w:w="5480" w:type="dxa"/>
            <w:vAlign w:val="bottom"/>
          </w:tcPr>
          <w:p>
            <w:pPr>
              <w:ind w:left="20"/>
              <w:spacing w:after="0"/>
              <w:rPr>
                <w:sz w:val="20"/>
                <w:szCs w:val="20"/>
                <w:color w:val="auto"/>
              </w:rPr>
            </w:pPr>
            <w:r>
              <w:rPr>
                <w:rFonts w:ascii="Arial" w:cs="Arial" w:eastAsia="Arial" w:hAnsi="Arial"/>
                <w:sz w:val="16"/>
                <w:szCs w:val="16"/>
                <w:color w:val="auto"/>
              </w:rPr>
              <w:t>Yield (net investment income as a % of average invested assets):</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7"/>
        </w:trPr>
        <w:tc>
          <w:tcPr>
            <w:tcW w:w="54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Excluding alternative investments</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ind w:left="700"/>
              <w:spacing w:after="0"/>
              <w:rPr>
                <w:sz w:val="20"/>
                <w:szCs w:val="20"/>
                <w:color w:val="auto"/>
              </w:rPr>
            </w:pPr>
            <w:r>
              <w:rPr>
                <w:rFonts w:ascii="Arial" w:cs="Arial" w:eastAsia="Arial" w:hAnsi="Arial"/>
                <w:sz w:val="16"/>
                <w:szCs w:val="16"/>
                <w:color w:val="auto"/>
              </w:rPr>
              <w:t>4.87%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ind w:left="700"/>
              <w:spacing w:after="0"/>
              <w:rPr>
                <w:sz w:val="20"/>
                <w:szCs w:val="20"/>
                <w:color w:val="auto"/>
              </w:rPr>
            </w:pPr>
            <w:r>
              <w:rPr>
                <w:rFonts w:ascii="Arial" w:cs="Arial" w:eastAsia="Arial" w:hAnsi="Arial"/>
                <w:sz w:val="16"/>
                <w:szCs w:val="16"/>
                <w:color w:val="auto"/>
                <w:w w:val="96"/>
              </w:rPr>
              <w:t>4.81%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0.06%</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5"/>
        </w:trPr>
        <w:tc>
          <w:tcPr>
            <w:tcW w:w="5480" w:type="dxa"/>
            <w:vAlign w:val="bottom"/>
          </w:tcPr>
          <w:p>
            <w:pPr>
              <w:ind w:left="140"/>
              <w:spacing w:after="0"/>
              <w:rPr>
                <w:sz w:val="20"/>
                <w:szCs w:val="20"/>
                <w:color w:val="auto"/>
              </w:rPr>
            </w:pPr>
            <w:r>
              <w:rPr>
                <w:rFonts w:ascii="Arial" w:cs="Arial" w:eastAsia="Arial" w:hAnsi="Arial"/>
                <w:sz w:val="16"/>
                <w:szCs w:val="16"/>
                <w:color w:val="auto"/>
              </w:rPr>
              <w:t>Alternative investments</w:t>
            </w:r>
          </w:p>
        </w:tc>
        <w:tc>
          <w:tcPr>
            <w:tcW w:w="340" w:type="dxa"/>
            <w:vAlign w:val="bottom"/>
          </w:tcPr>
          <w:p>
            <w:pPr>
              <w:spacing w:after="0"/>
              <w:rPr>
                <w:sz w:val="18"/>
                <w:szCs w:val="18"/>
                <w:color w:val="auto"/>
              </w:rPr>
            </w:pPr>
          </w:p>
        </w:tc>
        <w:tc>
          <w:tcPr>
            <w:tcW w:w="1220" w:type="dxa"/>
            <w:vAlign w:val="bottom"/>
          </w:tcPr>
          <w:p>
            <w:pPr>
              <w:ind w:left="640"/>
              <w:spacing w:after="0"/>
              <w:rPr>
                <w:sz w:val="20"/>
                <w:szCs w:val="20"/>
                <w:color w:val="auto"/>
              </w:rPr>
            </w:pPr>
            <w:r>
              <w:rPr>
                <w:rFonts w:ascii="Arial" w:cs="Arial" w:eastAsia="Arial" w:hAnsi="Arial"/>
                <w:sz w:val="16"/>
                <w:szCs w:val="16"/>
                <w:color w:val="auto"/>
                <w:w w:val="99"/>
              </w:rPr>
              <w:t>(0.43%)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ind w:left="700"/>
              <w:spacing w:after="0"/>
              <w:rPr>
                <w:sz w:val="20"/>
                <w:szCs w:val="20"/>
                <w:color w:val="auto"/>
              </w:rPr>
            </w:pPr>
            <w:r>
              <w:rPr>
                <w:rFonts w:ascii="Arial" w:cs="Arial" w:eastAsia="Arial" w:hAnsi="Arial"/>
                <w:sz w:val="16"/>
                <w:szCs w:val="16"/>
                <w:color w:val="auto"/>
                <w:w w:val="96"/>
              </w:rPr>
              <w:t>1.75%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(2.18%)</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7"/>
        </w:trPr>
        <w:tc>
          <w:tcPr>
            <w:tcW w:w="54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Overall P&amp;C portfolio</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ind w:left="700"/>
              <w:spacing w:after="0"/>
              <w:rPr>
                <w:sz w:val="20"/>
                <w:szCs w:val="20"/>
                <w:color w:val="auto"/>
              </w:rPr>
            </w:pPr>
            <w:r>
              <w:rPr>
                <w:rFonts w:ascii="Arial" w:cs="Arial" w:eastAsia="Arial" w:hAnsi="Arial"/>
                <w:sz w:val="16"/>
                <w:szCs w:val="16"/>
                <w:color w:val="auto"/>
              </w:rPr>
              <w:t>3.99%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ind w:left="700"/>
              <w:spacing w:after="0"/>
              <w:rPr>
                <w:sz w:val="20"/>
                <w:szCs w:val="20"/>
                <w:color w:val="auto"/>
              </w:rPr>
            </w:pPr>
            <w:r>
              <w:rPr>
                <w:rFonts w:ascii="Arial" w:cs="Arial" w:eastAsia="Arial" w:hAnsi="Arial"/>
                <w:sz w:val="16"/>
                <w:szCs w:val="16"/>
                <w:color w:val="auto"/>
                <w:w w:val="96"/>
              </w:rPr>
              <w:t>4.28%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(0.29%)</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5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Yield on fixed maturities (before investment expenses)</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ind w:left="700"/>
              <w:spacing w:after="0"/>
              <w:rPr>
                <w:sz w:val="20"/>
                <w:szCs w:val="20"/>
                <w:color w:val="auto"/>
              </w:rPr>
            </w:pPr>
            <w:r>
              <w:rPr>
                <w:rFonts w:ascii="Arial" w:cs="Arial" w:eastAsia="Arial" w:hAnsi="Arial"/>
                <w:sz w:val="16"/>
                <w:szCs w:val="16"/>
                <w:color w:val="auto"/>
              </w:rPr>
              <w:t>5.04%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ind w:left="700"/>
              <w:spacing w:after="0"/>
              <w:rPr>
                <w:sz w:val="20"/>
                <w:szCs w:val="20"/>
                <w:color w:val="auto"/>
              </w:rPr>
            </w:pPr>
            <w:r>
              <w:rPr>
                <w:rFonts w:ascii="Arial" w:cs="Arial" w:eastAsia="Arial" w:hAnsi="Arial"/>
                <w:sz w:val="16"/>
                <w:szCs w:val="16"/>
                <w:color w:val="auto"/>
                <w:w w:val="96"/>
              </w:rPr>
              <w:t>5.13%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(0.09%)</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bl>
    <w:p>
      <w:pPr>
        <w:spacing w:after="0" w:line="315" w:lineRule="exact"/>
        <w:rPr>
          <w:sz w:val="20"/>
          <w:szCs w:val="20"/>
          <w:color w:val="auto"/>
        </w:rPr>
      </w:pPr>
    </w:p>
    <w:p>
      <w:pPr>
        <w:ind w:right="120"/>
        <w:spacing w:after="0" w:line="266" w:lineRule="auto"/>
        <w:rPr>
          <w:sz w:val="20"/>
          <w:szCs w:val="20"/>
          <w:color w:val="auto"/>
        </w:rPr>
      </w:pPr>
      <w:r>
        <w:rPr>
          <w:rFonts w:ascii="Arial" w:cs="Arial" w:eastAsia="Arial" w:hAnsi="Arial"/>
          <w:sz w:val="17"/>
          <w:szCs w:val="17"/>
          <w:color w:val="auto"/>
        </w:rPr>
        <w:t>The decrease in the property and casualty insurance segment’s net investment income for the first three months of 2026 compared to the first three months of 2025 reflects the impact of lower returns on AFG’s alternative investment portfolio (partnerships and similar investments and AFG-managed CLOs), partially offset by higher balances of invested assets.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9" w:name="page50"/>
    <w:bookmarkEnd w:id="49"/>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Property and Casualty Other Income and Expenses, Net</w:t>
      </w:r>
    </w:p>
    <w:p>
      <w:pPr>
        <w:spacing w:after="0" w:line="30" w:lineRule="exact"/>
        <w:rPr>
          <w:sz w:val="20"/>
          <w:szCs w:val="20"/>
          <w:color w:val="auto"/>
        </w:rPr>
      </w:pPr>
    </w:p>
    <w:p>
      <w:pPr>
        <w:ind w:right="60"/>
        <w:spacing w:after="0" w:line="256" w:lineRule="auto"/>
        <w:rPr>
          <w:sz w:val="20"/>
          <w:szCs w:val="20"/>
          <w:color w:val="auto"/>
        </w:rPr>
      </w:pPr>
      <w:r>
        <w:rPr>
          <w:rFonts w:ascii="Arial" w:cs="Arial" w:eastAsia="Arial" w:hAnsi="Arial"/>
          <w:sz w:val="17"/>
          <w:szCs w:val="17"/>
          <w:color w:val="auto"/>
        </w:rPr>
        <w:t>Other income and expenses, net for AFG’s property and casualty insurance operations was a net expense of $15 million for the first three months of 2026 compared to $18 million for the first three months of 2025, an improvement of $3 million (17%). The table below details the items included in other income and expenses, net for AFG’s property and casualty insurance operations (in millions):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060" w:type="dxa"/>
            <w:vAlign w:val="bottom"/>
          </w:tcPr>
          <w:p>
            <w:pPr>
              <w:spacing w:after="0"/>
              <w:rPr>
                <w:sz w:val="16"/>
                <w:szCs w:val="16"/>
                <w:color w:val="auto"/>
              </w:rPr>
            </w:pPr>
          </w:p>
        </w:tc>
        <w:tc>
          <w:tcPr>
            <w:tcW w:w="2740" w:type="dxa"/>
            <w:vAlign w:val="bottom"/>
            <w:tcBorders>
              <w:bottom w:val="single" w:sz="8" w:color="auto"/>
            </w:tcBorders>
            <w:gridSpan w:val="4"/>
          </w:tcPr>
          <w:p>
            <w:pPr>
              <w:jc w:val="right"/>
              <w:ind w:right="62"/>
              <w:spacing w:after="0"/>
              <w:rPr>
                <w:sz w:val="20"/>
                <w:szCs w:val="20"/>
                <w:color w:val="auto"/>
              </w:rPr>
            </w:pPr>
            <w:r>
              <w:rPr>
                <w:rFonts w:ascii="Arial" w:cs="Arial" w:eastAsia="Arial" w:hAnsi="Arial"/>
                <w:sz w:val="14"/>
                <w:szCs w:val="14"/>
                <w:color w:val="auto"/>
              </w:rPr>
              <w:t>Three months ended March 31,</w:t>
            </w:r>
          </w:p>
        </w:tc>
        <w:tc>
          <w:tcPr>
            <w:tcW w:w="440" w:type="dxa"/>
            <w:vAlign w:val="bottom"/>
            <w:tcBorders>
              <w:bottom w:val="single" w:sz="8" w:color="auto"/>
            </w:tcBorders>
          </w:tcPr>
          <w:p>
            <w:pPr>
              <w:spacing w:after="0"/>
              <w:rPr>
                <w:sz w:val="16"/>
                <w:szCs w:val="16"/>
                <w:color w:val="auto"/>
              </w:rPr>
            </w:pPr>
          </w:p>
        </w:tc>
      </w:tr>
      <w:tr>
        <w:trPr>
          <w:trHeight w:val="196"/>
        </w:trPr>
        <w:tc>
          <w:tcPr>
            <w:tcW w:w="806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ind w:right="64"/>
              <w:spacing w:after="0"/>
              <w:rPr>
                <w:sz w:val="20"/>
                <w:szCs w:val="20"/>
                <w:color w:val="auto"/>
              </w:rPr>
            </w:pPr>
            <w:r>
              <w:rPr>
                <w:rFonts w:ascii="Arial" w:cs="Arial" w:eastAsia="Arial" w:hAnsi="Arial"/>
                <w:sz w:val="14"/>
                <w:szCs w:val="14"/>
                <w:color w:val="auto"/>
              </w:rPr>
              <w:t>2026</w:t>
            </w:r>
          </w:p>
        </w:tc>
        <w:tc>
          <w:tcPr>
            <w:tcW w:w="4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color w:val="auto"/>
              </w:rPr>
              <w:t>2025</w:t>
            </w:r>
          </w:p>
        </w:tc>
        <w:tc>
          <w:tcPr>
            <w:tcW w:w="440" w:type="dxa"/>
            <w:vAlign w:val="bottom"/>
            <w:tcBorders>
              <w:bottom w:val="single" w:sz="8" w:color="auto"/>
            </w:tcBorders>
          </w:tcPr>
          <w:p>
            <w:pPr>
              <w:spacing w:after="0"/>
              <w:rPr>
                <w:sz w:val="17"/>
                <w:szCs w:val="17"/>
                <w:color w:val="auto"/>
              </w:rPr>
            </w:pPr>
          </w:p>
        </w:tc>
      </w:tr>
      <w:tr>
        <w:trPr>
          <w:trHeight w:val="213"/>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Other income</w:t>
            </w:r>
          </w:p>
        </w:tc>
        <w:tc>
          <w:tcPr>
            <w:tcW w:w="1080" w:type="dxa"/>
            <w:vAlign w:val="bottom"/>
            <w:tcBorders>
              <w:bottom w:val="single" w:sz="8" w:color="auto"/>
            </w:tcBorders>
            <w:shd w:val="clear" w:color="auto" w:fill="CCEEFF"/>
          </w:tcPr>
          <w:p>
            <w:pPr>
              <w:jc w:val="right"/>
              <w:ind w:right="884"/>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922"/>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196"/>
        </w:trPr>
        <w:tc>
          <w:tcPr>
            <w:tcW w:w="8060" w:type="dxa"/>
            <w:vAlign w:val="bottom"/>
          </w:tcPr>
          <w:p>
            <w:pPr>
              <w:ind w:left="20"/>
              <w:spacing w:after="0"/>
              <w:rPr>
                <w:sz w:val="20"/>
                <w:szCs w:val="20"/>
                <w:color w:val="auto"/>
              </w:rPr>
            </w:pPr>
            <w:r>
              <w:rPr>
                <w:rFonts w:ascii="Arial" w:cs="Arial" w:eastAsia="Arial" w:hAnsi="Arial"/>
                <w:sz w:val="16"/>
                <w:szCs w:val="16"/>
                <w:b w:val="1"/>
                <w:bCs w:val="1"/>
                <w:color w:val="auto"/>
              </w:rPr>
              <w:t>Other expenses:</w:t>
            </w:r>
          </w:p>
        </w:tc>
        <w:tc>
          <w:tcPr>
            <w:tcW w:w="10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216"/>
        </w:trPr>
        <w:tc>
          <w:tcPr>
            <w:tcW w:w="80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Amortization of intangibles</w:t>
            </w:r>
          </w:p>
        </w:tc>
        <w:tc>
          <w:tcPr>
            <w:tcW w:w="10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15"/>
        </w:trPr>
        <w:tc>
          <w:tcPr>
            <w:tcW w:w="8060" w:type="dxa"/>
            <w:vAlign w:val="bottom"/>
          </w:tcPr>
          <w:p>
            <w:pPr>
              <w:ind w:left="260"/>
              <w:spacing w:after="0"/>
              <w:rPr>
                <w:sz w:val="20"/>
                <w:szCs w:val="20"/>
                <w:color w:val="auto"/>
              </w:rPr>
            </w:pPr>
            <w:r>
              <w:rPr>
                <w:rFonts w:ascii="Arial" w:cs="Arial" w:eastAsia="Arial" w:hAnsi="Arial"/>
                <w:sz w:val="16"/>
                <w:szCs w:val="16"/>
                <w:color w:val="auto"/>
              </w:rPr>
              <w:t>Interest expense on funds withheld</w:t>
            </w:r>
          </w:p>
        </w:tc>
        <w:tc>
          <w:tcPr>
            <w:tcW w:w="10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17"/>
        </w:trPr>
        <w:tc>
          <w:tcPr>
            <w:tcW w:w="80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Other</w:t>
            </w:r>
          </w:p>
        </w:tc>
        <w:tc>
          <w:tcPr>
            <w:tcW w:w="10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09"/>
        </w:trPr>
        <w:tc>
          <w:tcPr>
            <w:tcW w:w="806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Total other expenses</w:t>
            </w:r>
          </w:p>
        </w:tc>
        <w:tc>
          <w:tcPr>
            <w:tcW w:w="10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r>
      <w:tr>
        <w:trPr>
          <w:trHeight w:val="235"/>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Other income and expenses, net</w:t>
            </w:r>
          </w:p>
        </w:tc>
        <w:tc>
          <w:tcPr>
            <w:tcW w:w="1080" w:type="dxa"/>
            <w:vAlign w:val="bottom"/>
            <w:tcBorders>
              <w:bottom w:val="single" w:sz="8" w:color="auto"/>
            </w:tcBorders>
            <w:shd w:val="clear" w:color="auto" w:fill="CCEEFF"/>
          </w:tcPr>
          <w:p>
            <w:pPr>
              <w:jc w:val="right"/>
              <w:ind w:right="884"/>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922"/>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r>
    </w:tbl>
    <w:p>
      <w:pPr>
        <w:spacing w:after="0" w:line="300" w:lineRule="exact"/>
        <w:rPr>
          <w:sz w:val="20"/>
          <w:szCs w:val="20"/>
          <w:color w:val="auto"/>
        </w:rPr>
      </w:pPr>
    </w:p>
    <w:p>
      <w:pPr>
        <w:spacing w:after="0"/>
        <w:rPr>
          <w:sz w:val="20"/>
          <w:szCs w:val="20"/>
          <w:color w:val="auto"/>
        </w:rPr>
      </w:pPr>
      <w:r>
        <w:rPr>
          <w:rFonts w:ascii="Arial" w:cs="Arial" w:eastAsia="Arial" w:hAnsi="Arial"/>
          <w:sz w:val="25"/>
          <w:szCs w:val="25"/>
          <w:b w:val="1"/>
          <w:bCs w:val="1"/>
          <w:color w:val="003366"/>
        </w:rPr>
        <w:t>Holding Company, Other and Unallocated — Results of Operations</w:t>
      </w:r>
    </w:p>
    <w:p>
      <w:pPr>
        <w:spacing w:after="0" w:line="41" w:lineRule="exact"/>
        <w:rPr>
          <w:sz w:val="20"/>
          <w:szCs w:val="20"/>
          <w:color w:val="auto"/>
        </w:rPr>
      </w:pPr>
    </w:p>
    <w:p>
      <w:pPr>
        <w:ind w:right="300"/>
        <w:spacing w:after="0" w:line="264" w:lineRule="auto"/>
        <w:rPr>
          <w:sz w:val="20"/>
          <w:szCs w:val="20"/>
          <w:color w:val="auto"/>
        </w:rPr>
      </w:pPr>
      <w:r>
        <w:rPr>
          <w:rFonts w:ascii="Arial" w:cs="Arial" w:eastAsia="Arial" w:hAnsi="Arial"/>
          <w:sz w:val="17"/>
          <w:szCs w:val="17"/>
          <w:color w:val="auto"/>
        </w:rPr>
        <w:t>AFG’s net pretax loss outside of its property and casualty insurance segment (excluding realized gains and losses) totaled $52 million in both the first three months of 2026 and 2025.</w:t>
      </w:r>
    </w:p>
    <w:p>
      <w:pPr>
        <w:spacing w:after="0" w:line="202" w:lineRule="exact"/>
        <w:rPr>
          <w:sz w:val="20"/>
          <w:szCs w:val="20"/>
          <w:color w:val="auto"/>
        </w:rPr>
      </w:pPr>
    </w:p>
    <w:p>
      <w:pPr>
        <w:ind w:right="420"/>
        <w:spacing w:after="0" w:line="284" w:lineRule="auto"/>
        <w:rPr>
          <w:sz w:val="20"/>
          <w:szCs w:val="20"/>
          <w:color w:val="auto"/>
        </w:rPr>
      </w:pPr>
      <w:r>
        <w:rPr>
          <w:rFonts w:ascii="Arial" w:cs="Arial" w:eastAsia="Arial" w:hAnsi="Arial"/>
          <w:sz w:val="17"/>
          <w:szCs w:val="17"/>
          <w:color w:val="auto"/>
        </w:rPr>
        <w:t>The following table details AFG’s loss before income taxes from operations outside of its property and casualty insurance segment for the three months ended March 31, 2026 and 2025 (dollars in millions):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20" w:type="dxa"/>
            <w:vAlign w:val="bottom"/>
          </w:tcPr>
          <w:p>
            <w:pPr>
              <w:spacing w:after="0"/>
              <w:rPr>
                <w:sz w:val="16"/>
                <w:szCs w:val="16"/>
                <w:color w:val="auto"/>
              </w:rPr>
            </w:pPr>
          </w:p>
        </w:tc>
        <w:tc>
          <w:tcPr>
            <w:tcW w:w="2560" w:type="dxa"/>
            <w:vAlign w:val="bottom"/>
            <w:tcBorders>
              <w:bottom w:val="single" w:sz="8" w:color="auto"/>
            </w:tcBorders>
            <w:gridSpan w:val="4"/>
          </w:tcPr>
          <w:p>
            <w:pPr>
              <w:jc w:val="right"/>
              <w:ind w:right="2"/>
              <w:spacing w:after="0"/>
              <w:rPr>
                <w:sz w:val="20"/>
                <w:szCs w:val="20"/>
                <w:color w:val="auto"/>
              </w:rPr>
            </w:pPr>
            <w:r>
              <w:rPr>
                <w:rFonts w:ascii="Arial" w:cs="Arial" w:eastAsia="Arial" w:hAnsi="Arial"/>
                <w:sz w:val="14"/>
                <w:szCs w:val="14"/>
                <w:color w:val="auto"/>
              </w:rPr>
              <w:t>Three months ended March 31,</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702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ind w:right="44"/>
              <w:spacing w:after="0"/>
              <w:rPr>
                <w:sz w:val="20"/>
                <w:szCs w:val="20"/>
                <w:color w:val="auto"/>
              </w:rPr>
            </w:pPr>
            <w:r>
              <w:rPr>
                <w:rFonts w:ascii="Arial" w:cs="Arial" w:eastAsia="Arial" w:hAnsi="Arial"/>
                <w:sz w:val="14"/>
                <w:szCs w:val="14"/>
                <w:color w:val="auto"/>
              </w:rPr>
              <w:t>2026</w:t>
            </w: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color w:val="auto"/>
              </w:rPr>
              <w:t>2025</w:t>
            </w: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00"/>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Revenues:</w:t>
            </w:r>
          </w:p>
        </w:tc>
        <w:tc>
          <w:tcPr>
            <w:tcW w:w="10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7020" w:type="dxa"/>
            <w:vAlign w:val="bottom"/>
          </w:tcPr>
          <w:p>
            <w:pPr>
              <w:ind w:left="180"/>
              <w:spacing w:after="0"/>
              <w:rPr>
                <w:sz w:val="20"/>
                <w:szCs w:val="20"/>
                <w:color w:val="auto"/>
              </w:rPr>
            </w:pPr>
            <w:r>
              <w:rPr>
                <w:rFonts w:ascii="Arial" w:cs="Arial" w:eastAsia="Arial" w:hAnsi="Arial"/>
                <w:sz w:val="16"/>
                <w:szCs w:val="16"/>
                <w:color w:val="auto"/>
              </w:rPr>
              <w:t>Net investment income</w:t>
            </w:r>
          </w:p>
        </w:tc>
        <w:tc>
          <w:tcPr>
            <w:tcW w:w="1000" w:type="dxa"/>
            <w:vAlign w:val="bottom"/>
          </w:tcPr>
          <w:p>
            <w:pPr>
              <w:jc w:val="right"/>
              <w:ind w:right="804"/>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1020" w:type="dxa"/>
            <w:vAlign w:val="bottom"/>
          </w:tcPr>
          <w:p>
            <w:pPr>
              <w:jc w:val="right"/>
              <w:ind w:right="842"/>
              <w:spacing w:after="0"/>
              <w:rPr>
                <w:sz w:val="20"/>
                <w:szCs w:val="20"/>
                <w:color w:val="auto"/>
              </w:rPr>
            </w:pPr>
            <w:r>
              <w:rPr>
                <w:rFonts w:ascii="Arial" w:cs="Arial" w:eastAsia="Arial" w:hAnsi="Arial"/>
                <w:sz w:val="16"/>
                <w:szCs w:val="16"/>
                <w:color w:val="auto"/>
                <w:w w:val="89"/>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5</w:t>
            </w:r>
          </w:p>
        </w:tc>
        <w:tc>
          <w:tcPr>
            <w:tcW w:w="1260" w:type="dxa"/>
            <w:vAlign w:val="bottom"/>
            <w:gridSpan w:val="2"/>
          </w:tcPr>
          <w:p>
            <w:pPr>
              <w:jc w:val="right"/>
              <w:ind w:right="1"/>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7"/>
        </w:trPr>
        <w:tc>
          <w:tcPr>
            <w:tcW w:w="70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income — P&amp;C fees</w:t>
            </w: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70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 income</w:t>
            </w:r>
          </w:p>
        </w:tc>
        <w:tc>
          <w:tcPr>
            <w:tcW w:w="10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70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revenues</w:t>
            </w: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260" w:type="dxa"/>
            <w:vAlign w:val="bottom"/>
            <w:gridSpan w:val="2"/>
            <w:shd w:val="clear" w:color="auto" w:fill="CCEEFF"/>
          </w:tcPr>
          <w:p>
            <w:pPr>
              <w:jc w:val="right"/>
              <w:ind w:right="1"/>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6"/>
        </w:trPr>
        <w:tc>
          <w:tcPr>
            <w:tcW w:w="70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Costs and Expenses:</w:t>
            </w: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020" w:type="dxa"/>
            <w:vAlign w:val="bottom"/>
          </w:tcPr>
          <w:p>
            <w:pPr>
              <w:ind w:left="180"/>
              <w:spacing w:after="0"/>
              <w:rPr>
                <w:sz w:val="20"/>
                <w:szCs w:val="20"/>
                <w:color w:val="auto"/>
              </w:rPr>
            </w:pPr>
            <w:r>
              <w:rPr>
                <w:rFonts w:ascii="Arial" w:cs="Arial" w:eastAsia="Arial" w:hAnsi="Arial"/>
                <w:sz w:val="16"/>
                <w:szCs w:val="16"/>
                <w:color w:val="auto"/>
              </w:rPr>
              <w:t>P&amp;C — loss adjustment and underwriting expenses</w:t>
            </w:r>
          </w:p>
        </w:tc>
        <w:tc>
          <w:tcPr>
            <w:tcW w:w="10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70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expense — expenses associated with P&amp;C fees</w:t>
            </w: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70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 expenses</w:t>
            </w:r>
          </w:p>
        </w:tc>
        <w:tc>
          <w:tcPr>
            <w:tcW w:w="10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12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0"/>
        </w:trPr>
        <w:tc>
          <w:tcPr>
            <w:tcW w:w="70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Costs and expenses, excluding interest charges on borrowed money</w:t>
            </w:r>
          </w:p>
        </w:tc>
        <w:tc>
          <w:tcPr>
            <w:tcW w:w="10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0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142"/>
        </w:trPr>
        <w:tc>
          <w:tcPr>
            <w:tcW w:w="7020" w:type="dxa"/>
            <w:vAlign w:val="bottom"/>
          </w:tcPr>
          <w:p>
            <w:pPr>
              <w:ind w:left="20"/>
              <w:spacing w:after="0" w:line="142" w:lineRule="exact"/>
              <w:rPr>
                <w:sz w:val="20"/>
                <w:szCs w:val="20"/>
                <w:color w:val="auto"/>
              </w:rPr>
            </w:pPr>
            <w:r>
              <w:rPr>
                <w:rFonts w:ascii="Arial" w:cs="Arial" w:eastAsia="Arial" w:hAnsi="Arial"/>
                <w:sz w:val="16"/>
                <w:szCs w:val="16"/>
                <w:color w:val="auto"/>
              </w:rPr>
              <w:t>Loss before income taxes, excluding realized gains and losses and interest charges on borrowed</w:t>
            </w:r>
          </w:p>
        </w:tc>
        <w:tc>
          <w:tcPr>
            <w:tcW w:w="1000" w:type="dxa"/>
            <w:vAlign w:val="bottom"/>
          </w:tcPr>
          <w:p>
            <w:pPr>
              <w:spacing w:after="0"/>
              <w:rPr>
                <w:sz w:val="12"/>
                <w:szCs w:val="12"/>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0" w:type="dxa"/>
            <w:vAlign w:val="bottom"/>
            <w:vMerge w:val="restart"/>
          </w:tcPr>
          <w:p>
            <w:pPr>
              <w:jc w:val="right"/>
              <w:spacing w:after="0"/>
              <w:rPr>
                <w:sz w:val="20"/>
                <w:szCs w:val="20"/>
                <w:color w:val="auto"/>
              </w:rPr>
            </w:pPr>
            <w:r>
              <w:rPr>
                <w:rFonts w:ascii="Arial" w:cs="Arial" w:eastAsia="Arial" w:hAnsi="Arial"/>
                <w:sz w:val="16"/>
                <w:szCs w:val="16"/>
                <w:color w:val="auto"/>
              </w:rPr>
              <w:t>(33)</w:t>
            </w:r>
          </w:p>
        </w:tc>
        <w:tc>
          <w:tcPr>
            <w:tcW w:w="1260" w:type="dxa"/>
            <w:vAlign w:val="bottom"/>
            <w:gridSpan w:val="2"/>
            <w:vMerge w:val="restart"/>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5"/>
        </w:trPr>
        <w:tc>
          <w:tcPr>
            <w:tcW w:w="7020" w:type="dxa"/>
            <w:vAlign w:val="bottom"/>
          </w:tcPr>
          <w:p>
            <w:pPr>
              <w:ind w:left="180"/>
              <w:spacing w:after="0"/>
              <w:rPr>
                <w:sz w:val="20"/>
                <w:szCs w:val="20"/>
                <w:color w:val="auto"/>
              </w:rPr>
            </w:pPr>
            <w:r>
              <w:rPr>
                <w:rFonts w:ascii="Arial" w:cs="Arial" w:eastAsia="Arial" w:hAnsi="Arial"/>
                <w:sz w:val="16"/>
                <w:szCs w:val="16"/>
                <w:color w:val="auto"/>
              </w:rPr>
              <w:t>money</w:t>
            </w:r>
          </w:p>
        </w:tc>
        <w:tc>
          <w:tcPr>
            <w:tcW w:w="1000" w:type="dxa"/>
            <w:vAlign w:val="bottom"/>
          </w:tcPr>
          <w:p>
            <w:pPr>
              <w:spacing w:after="0"/>
              <w:rPr>
                <w:sz w:val="18"/>
                <w:szCs w:val="18"/>
                <w:color w:val="auto"/>
              </w:rPr>
            </w:pPr>
          </w:p>
        </w:tc>
        <w:tc>
          <w:tcPr>
            <w:tcW w:w="4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vMerge w:val="continue"/>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0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Interest charges on borrowed money</w:t>
            </w:r>
          </w:p>
        </w:tc>
        <w:tc>
          <w:tcPr>
            <w:tcW w:w="10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260" w:type="dxa"/>
            <w:vAlign w:val="bottom"/>
            <w:gridSpan w:val="2"/>
            <w:shd w:val="clear" w:color="auto" w:fill="CCEEFF"/>
          </w:tcPr>
          <w:p>
            <w:pPr>
              <w:jc w:val="right"/>
              <w:ind w:right="1"/>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10"/>
        </w:trPr>
        <w:tc>
          <w:tcPr>
            <w:tcW w:w="7020" w:type="dxa"/>
            <w:vAlign w:val="bottom"/>
          </w:tcPr>
          <w:p>
            <w:pPr>
              <w:ind w:left="20"/>
              <w:spacing w:after="0"/>
              <w:rPr>
                <w:sz w:val="20"/>
                <w:szCs w:val="20"/>
                <w:color w:val="auto"/>
              </w:rPr>
            </w:pPr>
            <w:r>
              <w:rPr>
                <w:rFonts w:ascii="Arial" w:cs="Arial" w:eastAsia="Arial" w:hAnsi="Arial"/>
                <w:sz w:val="16"/>
                <w:szCs w:val="16"/>
                <w:b w:val="1"/>
                <w:bCs w:val="1"/>
                <w:color w:val="auto"/>
              </w:rPr>
              <w:t>Loss before income taxes, excluding realized gains and losses</w:t>
            </w:r>
          </w:p>
        </w:tc>
        <w:tc>
          <w:tcPr>
            <w:tcW w:w="1000" w:type="dxa"/>
            <w:vAlign w:val="bottom"/>
            <w:tcBorders>
              <w:bottom w:val="single" w:sz="8" w:color="auto"/>
            </w:tcBorders>
          </w:tcPr>
          <w:p>
            <w:pPr>
              <w:jc w:val="right"/>
              <w:ind w:right="804"/>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18"/>
                <w:szCs w:val="18"/>
                <w:color w:val="auto"/>
              </w:rPr>
            </w:pPr>
          </w:p>
        </w:tc>
        <w:tc>
          <w:tcPr>
            <w:tcW w:w="1020" w:type="dxa"/>
            <w:vAlign w:val="bottom"/>
            <w:tcBorders>
              <w:bottom w:val="single" w:sz="8" w:color="auto"/>
            </w:tcBorders>
          </w:tcPr>
          <w:p>
            <w:pPr>
              <w:jc w:val="right"/>
              <w:ind w:right="842"/>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4"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Holding Company and Other — P&amp;C Fees and Related Expenses</w:t>
      </w:r>
    </w:p>
    <w:p>
      <w:pPr>
        <w:spacing w:after="0" w:line="30"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color w:val="auto"/>
        </w:rPr>
        <w:t>Summit, a workers’ compensation insurance subsidiary, collects fees from a small group of unaffiliated insurers for providing underwriting, policy administration and claims services. In addition, certain of AFG’s property and casualty insurance businesses collect fees from customers for ancillary services such as workplace safety programs and premium financing. In both the first three months of 2026 and 2025, AFG collected $25 million in fees for these services. Management views this fee income, net of the $16 million in both the first three months of 2026 and 2025, in expenses incurred to generate such fees, as a reduction in the cost of underwriting its property and casualty insurance policies. The expenses related to providing such services are embedded in property and casualty underwriting and claims servicing expenses. Consistent with internal management reporting, these fees and the related expenses are netted and recorded as a reduction of commissions and other underwriting expenses and loss adjustment expenses in AFG’s segmented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0" w:name="page51"/>
    <w:bookmarkEnd w:id="50"/>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Holding Company and Other — Other Income</w:t>
      </w:r>
    </w:p>
    <w:p>
      <w:pPr>
        <w:spacing w:after="0" w:line="30"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 xml:space="preserve">Other income in the table above includes $2 million and $3 million in the first three months of 2026 and the first three months of 2025, respectively, in management fees paid to AFG by the AFG-managed CLOs (AFG’s consolidated managed investment entities). The management fees are eliminated in consolidation — see the other income line in the Consolidate MIEs column under </w:t>
      </w:r>
      <w:r>
        <w:rPr>
          <w:rFonts w:ascii="Arial" w:cs="Arial" w:eastAsia="Arial" w:hAnsi="Arial"/>
          <w:sz w:val="17"/>
          <w:szCs w:val="17"/>
          <w:i w:val="1"/>
          <w:iCs w:val="1"/>
          <w:color w:val="auto"/>
        </w:rPr>
        <w:t>“Results of Operations — Segmented Statement of</w:t>
      </w:r>
      <w:r>
        <w:rPr>
          <w:rFonts w:ascii="Arial" w:cs="Arial" w:eastAsia="Arial" w:hAnsi="Arial"/>
          <w:sz w:val="17"/>
          <w:szCs w:val="17"/>
          <w:color w:val="auto"/>
        </w:rPr>
        <w:t xml:space="preserve"> </w:t>
      </w:r>
      <w:r>
        <w:rPr>
          <w:rFonts w:ascii="Arial" w:cs="Arial" w:eastAsia="Arial" w:hAnsi="Arial"/>
          <w:sz w:val="17"/>
          <w:szCs w:val="17"/>
          <w:i w:val="1"/>
          <w:iCs w:val="1"/>
          <w:color w:val="auto"/>
        </w:rPr>
        <w:t>Earnings.”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Holding Company and Other — Other Expenses</w:t>
      </w:r>
    </w:p>
    <w:p>
      <w:pPr>
        <w:spacing w:after="0" w:line="30" w:lineRule="exact"/>
        <w:rPr>
          <w:sz w:val="20"/>
          <w:szCs w:val="20"/>
          <w:color w:val="auto"/>
        </w:rPr>
      </w:pPr>
    </w:p>
    <w:p>
      <w:pPr>
        <w:ind w:right="40"/>
        <w:spacing w:after="0" w:line="256" w:lineRule="auto"/>
        <w:rPr>
          <w:sz w:val="20"/>
          <w:szCs w:val="20"/>
          <w:color w:val="auto"/>
        </w:rPr>
      </w:pPr>
      <w:r>
        <w:rPr>
          <w:rFonts w:ascii="Arial" w:cs="Arial" w:eastAsia="Arial" w:hAnsi="Arial"/>
          <w:sz w:val="17"/>
          <w:szCs w:val="17"/>
          <w:color w:val="auto"/>
        </w:rPr>
        <w:t>AFG’s holding companies and other operations outside of its property and casualty insurance segment recorded other expenses of $37 million in the first three months of 2026 compared to $40 million in the first three months of 2025, a decrease of $3 million (8%). Other expenses for the 2025 quarter include a $4 million charge to increase liabilities related to AFG’s former railroad and manufacturing operations.</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Holding Company and Other — Interest Charges on Borrowed Money</w:t>
      </w:r>
    </w:p>
    <w:p>
      <w:pPr>
        <w:spacing w:after="0" w:line="17" w:lineRule="exact"/>
        <w:rPr>
          <w:sz w:val="20"/>
          <w:szCs w:val="20"/>
          <w:color w:val="auto"/>
        </w:rPr>
      </w:pPr>
    </w:p>
    <w:p>
      <w:pPr>
        <w:jc w:val="both"/>
        <w:ind w:right="240"/>
        <w:spacing w:after="0" w:line="256" w:lineRule="auto"/>
        <w:rPr>
          <w:sz w:val="20"/>
          <w:szCs w:val="20"/>
          <w:color w:val="auto"/>
        </w:rPr>
      </w:pPr>
      <w:r>
        <w:rPr>
          <w:rFonts w:ascii="Arial" w:cs="Arial" w:eastAsia="Arial" w:hAnsi="Arial"/>
          <w:sz w:val="17"/>
          <w:szCs w:val="17"/>
          <w:color w:val="auto"/>
        </w:rPr>
        <w:t>AFG’s holding companies and other operations outside of its property and casualty insurance segment recorded interest expense of $23 million in the first three months of 2026 compared to $19 million in the first three months of 2025, an increase of $4 million (21%), reflecting the issuance of $350 million principal amount of 5.00% Senior Notes in September 2025.</w:t>
      </w:r>
    </w:p>
    <w:p>
      <w:pPr>
        <w:spacing w:after="0" w:line="220" w:lineRule="exact"/>
        <w:rPr>
          <w:sz w:val="20"/>
          <w:szCs w:val="20"/>
          <w:color w:val="auto"/>
        </w:rPr>
      </w:pPr>
    </w:p>
    <w:p>
      <w:pPr>
        <w:spacing w:after="0"/>
        <w:rPr>
          <w:sz w:val="20"/>
          <w:szCs w:val="20"/>
          <w:color w:val="auto"/>
        </w:rPr>
      </w:pPr>
      <w:r>
        <w:rPr>
          <w:rFonts w:ascii="Arial" w:cs="Arial" w:eastAsia="Arial" w:hAnsi="Arial"/>
          <w:sz w:val="25"/>
          <w:szCs w:val="25"/>
          <w:b w:val="1"/>
          <w:bCs w:val="1"/>
          <w:color w:val="003366"/>
        </w:rPr>
        <w:t>Realized Gains (Losses) on Securities</w:t>
      </w:r>
    </w:p>
    <w:p>
      <w:pPr>
        <w:spacing w:after="0" w:line="28" w:lineRule="exact"/>
        <w:rPr>
          <w:sz w:val="20"/>
          <w:szCs w:val="20"/>
          <w:color w:val="auto"/>
        </w:rPr>
      </w:pPr>
    </w:p>
    <w:p>
      <w:pPr>
        <w:ind w:right="100"/>
        <w:spacing w:after="0" w:line="264" w:lineRule="auto"/>
        <w:rPr>
          <w:sz w:val="20"/>
          <w:szCs w:val="20"/>
          <w:color w:val="auto"/>
        </w:rPr>
      </w:pPr>
      <w:r>
        <w:rPr>
          <w:rFonts w:ascii="Arial" w:cs="Arial" w:eastAsia="Arial" w:hAnsi="Arial"/>
          <w:sz w:val="17"/>
          <w:szCs w:val="17"/>
          <w:color w:val="auto"/>
        </w:rPr>
        <w:t>AFG’s realized gains (losses) on securities were net losses of $18 million in the first three months of 2026 compared to net gains of $3 million in the first three months of 2025, a change of $21 million (700%). Realized gains (losses) on securities consisted of the following (in millions):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2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420"/>
              <w:spacing w:after="0"/>
              <w:rPr>
                <w:sz w:val="20"/>
                <w:szCs w:val="20"/>
                <w:color w:val="auto"/>
              </w:rPr>
            </w:pPr>
            <w:r>
              <w:rPr>
                <w:rFonts w:ascii="Arial" w:cs="Arial" w:eastAsia="Arial" w:hAnsi="Arial"/>
                <w:sz w:val="14"/>
                <w:szCs w:val="14"/>
                <w:color w:val="auto"/>
              </w:rPr>
              <w:t>Three months ended March 31,</w:t>
            </w:r>
          </w:p>
        </w:tc>
      </w:tr>
      <w:tr>
        <w:trPr>
          <w:trHeight w:val="199"/>
        </w:trPr>
        <w:tc>
          <w:tcPr>
            <w:tcW w:w="82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81"/>
              <w:spacing w:after="0"/>
              <w:rPr>
                <w:sz w:val="20"/>
                <w:szCs w:val="20"/>
                <w:color w:val="auto"/>
              </w:rPr>
            </w:pPr>
            <w:r>
              <w:rPr>
                <w:rFonts w:ascii="Arial" w:cs="Arial" w:eastAsia="Arial" w:hAnsi="Arial"/>
                <w:sz w:val="15"/>
                <w:szCs w:val="15"/>
                <w:color w:val="auto"/>
              </w:rPr>
              <w:t>2026</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80"/>
              <w:spacing w:after="0"/>
              <w:rPr>
                <w:sz w:val="20"/>
                <w:szCs w:val="20"/>
                <w:color w:val="auto"/>
              </w:rPr>
            </w:pPr>
            <w:r>
              <w:rPr>
                <w:rFonts w:ascii="Arial" w:cs="Arial" w:eastAsia="Arial" w:hAnsi="Arial"/>
                <w:sz w:val="15"/>
                <w:szCs w:val="15"/>
                <w:color w:val="auto"/>
              </w:rPr>
              <w:t>2025</w:t>
            </w:r>
          </w:p>
        </w:tc>
      </w:tr>
      <w:tr>
        <w:trPr>
          <w:trHeight w:val="197"/>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Realized gains (losses) before impairment allowances:</w:t>
            </w: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5"/>
        </w:trPr>
        <w:tc>
          <w:tcPr>
            <w:tcW w:w="8220" w:type="dxa"/>
            <w:vAlign w:val="bottom"/>
          </w:tcPr>
          <w:p>
            <w:pPr>
              <w:ind w:left="220"/>
              <w:spacing w:after="0"/>
              <w:rPr>
                <w:sz w:val="20"/>
                <w:szCs w:val="20"/>
                <w:color w:val="auto"/>
              </w:rPr>
            </w:pPr>
            <w:r>
              <w:rPr>
                <w:rFonts w:ascii="Arial" w:cs="Arial" w:eastAsia="Arial" w:hAnsi="Arial"/>
                <w:sz w:val="16"/>
                <w:szCs w:val="16"/>
                <w:color w:val="auto"/>
              </w:rPr>
              <w:t>Change in the fair value of equity securities</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16"/>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Change in the fair value of derivatives</w:t>
            </w: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09"/>
        </w:trPr>
        <w:tc>
          <w:tcPr>
            <w:tcW w:w="82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r>
      <w:tr>
        <w:trPr>
          <w:trHeight w:val="197"/>
        </w:trPr>
        <w:tc>
          <w:tcPr>
            <w:tcW w:w="8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5"/>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Change in allowance for impairments on securities</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r>
      <w:tr>
        <w:trPr>
          <w:trHeight w:val="235"/>
        </w:trPr>
        <w:tc>
          <w:tcPr>
            <w:tcW w:w="82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Realized gains (losses) on securities</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right="160"/>
        <w:spacing w:after="0" w:line="257" w:lineRule="auto"/>
        <w:rPr>
          <w:sz w:val="20"/>
          <w:szCs w:val="20"/>
          <w:color w:val="auto"/>
        </w:rPr>
      </w:pPr>
      <w:r>
        <w:rPr>
          <w:rFonts w:ascii="Arial" w:cs="Arial" w:eastAsia="Arial" w:hAnsi="Arial"/>
          <w:sz w:val="17"/>
          <w:szCs w:val="17"/>
          <w:color w:val="auto"/>
        </w:rPr>
        <w:t>The $12 million net realized loss from the change in the fair value of equity securities in the first three months of 2026 includes losses of $7 million on investments in asset managers, $6 million on investments in media companies and $4 million on investments in healthcare companies, partially offset by gains of $7 million on investments in natural gas companies. The $9 million net realized gain from the change in the fair value of equity securities in the first three months of 2025 includes gains of $5 million on investments in media companies and $2 million on investments in natural gas companies.</w:t>
      </w:r>
    </w:p>
    <w:p>
      <w:pPr>
        <w:spacing w:after="0" w:line="220" w:lineRule="exact"/>
        <w:rPr>
          <w:sz w:val="20"/>
          <w:szCs w:val="20"/>
          <w:color w:val="auto"/>
        </w:rPr>
      </w:pPr>
    </w:p>
    <w:p>
      <w:pPr>
        <w:spacing w:after="0"/>
        <w:rPr>
          <w:sz w:val="20"/>
          <w:szCs w:val="20"/>
          <w:color w:val="auto"/>
        </w:rPr>
      </w:pPr>
      <w:r>
        <w:rPr>
          <w:rFonts w:ascii="Arial" w:cs="Arial" w:eastAsia="Arial" w:hAnsi="Arial"/>
          <w:sz w:val="25"/>
          <w:szCs w:val="25"/>
          <w:b w:val="1"/>
          <w:bCs w:val="1"/>
          <w:color w:val="003366"/>
        </w:rPr>
        <w:t>Consolidated Income Taxes</w:t>
      </w:r>
    </w:p>
    <w:p>
      <w:pPr>
        <w:spacing w:after="0" w:line="28" w:lineRule="exact"/>
        <w:rPr>
          <w:sz w:val="20"/>
          <w:szCs w:val="20"/>
          <w:color w:val="auto"/>
        </w:rPr>
      </w:pPr>
    </w:p>
    <w:p>
      <w:pPr>
        <w:jc w:val="both"/>
        <w:ind w:right="40"/>
        <w:spacing w:after="0" w:line="256" w:lineRule="auto"/>
        <w:rPr>
          <w:sz w:val="20"/>
          <w:szCs w:val="20"/>
          <w:color w:val="auto"/>
        </w:rPr>
      </w:pPr>
      <w:r>
        <w:rPr>
          <w:rFonts w:ascii="Arial" w:cs="Arial" w:eastAsia="Arial" w:hAnsi="Arial"/>
          <w:sz w:val="17"/>
          <w:szCs w:val="17"/>
          <w:color w:val="auto"/>
        </w:rPr>
        <w:t xml:space="preserve">AFG’s consolidated provision for income taxes was $48 million for the first three months of 2026 compared to $43 million for the first three months of 2025, an increase of $5 million (12%). See </w:t>
      </w:r>
      <w:r>
        <w:rPr>
          <w:rFonts w:ascii="Arial" w:cs="Arial" w:eastAsia="Arial" w:hAnsi="Arial"/>
          <w:sz w:val="17"/>
          <w:szCs w:val="17"/>
          <w:i w:val="1"/>
          <w:iCs w:val="1"/>
          <w:color w:val="auto"/>
        </w:rPr>
        <w:t>Note J — “Income Taxes”</w:t>
      </w:r>
      <w:r>
        <w:rPr>
          <w:rFonts w:ascii="Arial" w:cs="Arial" w:eastAsia="Arial" w:hAnsi="Arial"/>
          <w:sz w:val="17"/>
          <w:szCs w:val="17"/>
          <w:color w:val="auto"/>
        </w:rPr>
        <w:t xml:space="preserve"> to the financial statements for an analysis of items affecting AFG’s effective tax rate.</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9"/>
          <w:szCs w:val="29"/>
          <w:b w:val="1"/>
          <w:bCs w:val="1"/>
          <w:color w:val="003366"/>
        </w:rPr>
        <w:t>ACCOUNTING STANDARDS TO BE ADOPTED</w:t>
      </w:r>
    </w:p>
    <w:p>
      <w:pPr>
        <w:spacing w:after="0" w:line="259" w:lineRule="exact"/>
        <w:rPr>
          <w:sz w:val="20"/>
          <w:szCs w:val="20"/>
          <w:color w:val="auto"/>
        </w:rPr>
      </w:pPr>
    </w:p>
    <w:p>
      <w:pPr>
        <w:ind w:right="300"/>
        <w:spacing w:after="0" w:line="261" w:lineRule="auto"/>
        <w:rPr>
          <w:sz w:val="20"/>
          <w:szCs w:val="20"/>
          <w:color w:val="auto"/>
        </w:rPr>
      </w:pPr>
      <w:r>
        <w:rPr>
          <w:rFonts w:ascii="Arial" w:cs="Arial" w:eastAsia="Arial" w:hAnsi="Arial"/>
          <w:sz w:val="17"/>
          <w:szCs w:val="17"/>
          <w:color w:val="auto"/>
        </w:rPr>
        <w:t xml:space="preserve">In November 2024, the FASB issued ASU No. 2024-03 (“ASU 2024-03”), </w:t>
      </w:r>
      <w:r>
        <w:rPr>
          <w:rFonts w:ascii="Arial" w:cs="Arial" w:eastAsia="Arial" w:hAnsi="Arial"/>
          <w:sz w:val="17"/>
          <w:szCs w:val="17"/>
          <w:i w:val="1"/>
          <w:iCs w:val="1"/>
          <w:color w:val="auto"/>
        </w:rPr>
        <w:t>Income Statement — Reporting Comprehensive Income — Expense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Disaggregation Disclosures (Subtopic 220-40): Disaggregation of Income Statement Expenses. </w:t>
      </w:r>
      <w:r>
        <w:rPr>
          <w:rFonts w:ascii="Arial" w:cs="Arial" w:eastAsia="Arial" w:hAnsi="Arial"/>
          <w:sz w:val="17"/>
          <w:szCs w:val="17"/>
          <w:color w:val="auto"/>
        </w:rPr>
        <w:t>ASU 2024-03 requires additional information and</w:t>
      </w:r>
      <w:r>
        <w:rPr>
          <w:rFonts w:ascii="Arial" w:cs="Arial" w:eastAsia="Arial" w:hAnsi="Arial"/>
          <w:sz w:val="17"/>
          <w:szCs w:val="17"/>
          <w:i w:val="1"/>
          <w:iCs w:val="1"/>
          <w:color w:val="auto"/>
        </w:rPr>
        <w:t xml:space="preserve"> </w:t>
      </w:r>
      <w:r>
        <w:rPr>
          <w:rFonts w:ascii="Arial" w:cs="Arial" w:eastAsia="Arial" w:hAnsi="Arial"/>
          <w:sz w:val="17"/>
          <w:szCs w:val="17"/>
          <w:color w:val="auto"/>
        </w:rPr>
        <w:t>disaggregation of specified expense categories in the notes to financial statements. ASU 2024-03 is effective for fiscal years beginning after December 15, 2026, and interim periods within fiscal years beginning after December 15, 2027, with early adoption permitted and applied either prospectively or retrospectively. As of March 31, 2026, AFG has not adopted ASU 2024-03. Management is evaluating the impact of the</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1" w:name="page52"/>
    <w:bookmarkEnd w:id="51"/>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51" w:lineRule="exact"/>
        <w:rPr>
          <w:sz w:val="20"/>
          <w:szCs w:val="20"/>
          <w:color w:val="auto"/>
        </w:rPr>
      </w:pPr>
    </w:p>
    <w:p>
      <w:pPr>
        <w:spacing w:after="0" w:line="284" w:lineRule="auto"/>
        <w:rPr>
          <w:sz w:val="20"/>
          <w:szCs w:val="20"/>
          <w:color w:val="auto"/>
        </w:rPr>
      </w:pPr>
      <w:r>
        <w:rPr>
          <w:rFonts w:ascii="Arial" w:cs="Arial" w:eastAsia="Arial" w:hAnsi="Arial"/>
          <w:sz w:val="17"/>
          <w:szCs w:val="17"/>
          <w:color w:val="auto"/>
        </w:rPr>
        <w:t>standard to AFG’s income statement expense disclosures. Since ASU 2024-03 only requires additional disclosures, the adoption of this guidance will not have an impact on AFG’s results of operations or financial condition.</w:t>
      </w:r>
    </w:p>
    <w:p>
      <w:pPr>
        <w:spacing w:after="0" w:line="183" w:lineRule="exact"/>
        <w:rPr>
          <w:sz w:val="20"/>
          <w:szCs w:val="20"/>
          <w:color w:val="auto"/>
        </w:rPr>
      </w:pPr>
    </w:p>
    <w:p>
      <w:pPr>
        <w:ind w:right="840"/>
        <w:spacing w:after="0" w:line="297" w:lineRule="auto"/>
        <w:rPr>
          <w:sz w:val="20"/>
          <w:szCs w:val="20"/>
          <w:color w:val="auto"/>
        </w:rPr>
      </w:pPr>
      <w:r>
        <w:rPr>
          <w:rFonts w:ascii="Arial" w:cs="Arial" w:eastAsia="Arial" w:hAnsi="Arial"/>
          <w:sz w:val="36"/>
          <w:szCs w:val="36"/>
          <w:b w:val="1"/>
          <w:bCs w:val="1"/>
          <w:color w:val="003366"/>
        </w:rPr>
        <w:t>ITEM 3. Quantitative and Qualitative Disclosure about Market Risk</w:t>
      </w:r>
    </w:p>
    <w:p>
      <w:pPr>
        <w:spacing w:after="0" w:line="84" w:lineRule="exact"/>
        <w:rPr>
          <w:sz w:val="20"/>
          <w:szCs w:val="20"/>
          <w:color w:val="auto"/>
        </w:rPr>
      </w:pPr>
    </w:p>
    <w:p>
      <w:pPr>
        <w:ind w:right="460"/>
        <w:spacing w:after="0" w:line="301" w:lineRule="auto"/>
        <w:rPr>
          <w:sz w:val="20"/>
          <w:szCs w:val="20"/>
          <w:color w:val="auto"/>
        </w:rPr>
      </w:pPr>
      <w:r>
        <w:rPr>
          <w:rFonts w:ascii="Arial" w:cs="Arial" w:eastAsia="Arial" w:hAnsi="Arial"/>
          <w:sz w:val="17"/>
          <w:szCs w:val="17"/>
          <w:color w:val="auto"/>
        </w:rPr>
        <w:t xml:space="preserve">As of March 31, 2026, there were no material changes to the information provided in </w:t>
      </w:r>
      <w:r>
        <w:rPr>
          <w:rFonts w:ascii="Arial" w:cs="Arial" w:eastAsia="Arial" w:hAnsi="Arial"/>
          <w:sz w:val="17"/>
          <w:szCs w:val="17"/>
          <w:i w:val="1"/>
          <w:iCs w:val="1"/>
          <w:color w:val="auto"/>
        </w:rPr>
        <w:t>Item 7A — Quantitative and Qualitative Disclosures about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Market Risk </w:t>
      </w:r>
      <w:r>
        <w:rPr>
          <w:rFonts w:ascii="Arial" w:cs="Arial" w:eastAsia="Arial" w:hAnsi="Arial"/>
          <w:sz w:val="17"/>
          <w:szCs w:val="17"/>
          <w:color w:val="auto"/>
        </w:rPr>
        <w:t>of AFG’s 2025 Form 10-K.</w:t>
      </w:r>
    </w:p>
    <w:p>
      <w:pPr>
        <w:spacing w:after="0" w:line="171"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color w:val="auto"/>
        </w:rPr>
        <w:t xml:space="preserve">Consistent with the discussion in </w:t>
      </w:r>
      <w:r>
        <w:rPr>
          <w:rFonts w:ascii="Arial" w:cs="Arial" w:eastAsia="Arial" w:hAnsi="Arial"/>
          <w:sz w:val="17"/>
          <w:szCs w:val="17"/>
          <w:i w:val="1"/>
          <w:iCs w:val="1"/>
          <w:color w:val="auto"/>
        </w:rPr>
        <w:t>Item 2 — Management’s Discussion and Analysis — “Investments,”</w:t>
      </w:r>
      <w:r>
        <w:rPr>
          <w:rFonts w:ascii="Arial" w:cs="Arial" w:eastAsia="Arial" w:hAnsi="Arial"/>
          <w:sz w:val="17"/>
          <w:szCs w:val="17"/>
          <w:color w:val="auto"/>
        </w:rPr>
        <w:t xml:space="preserve"> the following table demonstrates the sensitivity of the fair value of AFG’s fixed maturity portfolio to reasonably likely changes in interest rates by illustrating the estimated effect on AFG’s fixed maturity portfolio that an immediate increase of 100 basis points in the interest rate yield curve would have had at March 31, 2026 (based on the duration of the portfolio, dollars in millions). Effects of increases or decreases from the 100 basis points illustrated would be approximately proportional.</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Fair value of fixed maturity portfolio</w:t>
            </w:r>
          </w:p>
        </w:tc>
        <w:tc>
          <w:tcPr>
            <w:tcW w:w="28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11,477</w:t>
            </w:r>
          </w:p>
        </w:tc>
      </w:tr>
      <w:tr>
        <w:trPr>
          <w:trHeight w:val="215"/>
        </w:trPr>
        <w:tc>
          <w:tcPr>
            <w:tcW w:w="7380" w:type="dxa"/>
            <w:vAlign w:val="bottom"/>
          </w:tcPr>
          <w:p>
            <w:pPr>
              <w:ind w:left="20"/>
              <w:spacing w:after="0"/>
              <w:rPr>
                <w:sz w:val="20"/>
                <w:szCs w:val="20"/>
                <w:color w:val="auto"/>
              </w:rPr>
            </w:pPr>
            <w:r>
              <w:rPr>
                <w:rFonts w:ascii="Arial" w:cs="Arial" w:eastAsia="Arial" w:hAnsi="Arial"/>
                <w:sz w:val="16"/>
                <w:szCs w:val="16"/>
                <w:color w:val="auto"/>
              </w:rPr>
              <w:t>Percentage impact on fair value of 100 bps increase in interest rates</w:t>
            </w:r>
          </w:p>
        </w:tc>
        <w:tc>
          <w:tcPr>
            <w:tcW w:w="28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217"/>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Pretax impact on fair value of fixed maturity portfolio</w:t>
            </w:r>
          </w:p>
        </w:tc>
        <w:tc>
          <w:tcPr>
            <w:tcW w:w="28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(402)</w:t>
            </w:r>
          </w:p>
        </w:tc>
      </w:tr>
    </w:tbl>
    <w:p>
      <w:pPr>
        <w:spacing w:after="0" w:line="300" w:lineRule="exact"/>
        <w:rPr>
          <w:sz w:val="20"/>
          <w:szCs w:val="20"/>
          <w:color w:val="auto"/>
        </w:rPr>
      </w:pPr>
    </w:p>
    <w:p>
      <w:pPr>
        <w:spacing w:after="0"/>
        <w:rPr>
          <w:sz w:val="20"/>
          <w:szCs w:val="20"/>
          <w:color w:val="auto"/>
        </w:rPr>
      </w:pPr>
      <w:r>
        <w:rPr>
          <w:rFonts w:ascii="Arial" w:cs="Arial" w:eastAsia="Arial" w:hAnsi="Arial"/>
          <w:sz w:val="36"/>
          <w:szCs w:val="36"/>
          <w:b w:val="1"/>
          <w:bCs w:val="1"/>
          <w:color w:val="003366"/>
        </w:rPr>
        <w:t>ITEM 4. Controls and Procedures</w:t>
      </w:r>
    </w:p>
    <w:p>
      <w:pPr>
        <w:spacing w:after="0" w:line="263" w:lineRule="exact"/>
        <w:rPr>
          <w:sz w:val="20"/>
          <w:szCs w:val="20"/>
          <w:color w:val="auto"/>
        </w:rPr>
      </w:pPr>
    </w:p>
    <w:p>
      <w:pPr>
        <w:ind w:right="60"/>
        <w:spacing w:after="0" w:line="261" w:lineRule="auto"/>
        <w:rPr>
          <w:sz w:val="20"/>
          <w:szCs w:val="20"/>
          <w:color w:val="auto"/>
        </w:rPr>
      </w:pPr>
      <w:r>
        <w:rPr>
          <w:rFonts w:ascii="Arial" w:cs="Arial" w:eastAsia="Arial" w:hAnsi="Arial"/>
          <w:sz w:val="17"/>
          <w:szCs w:val="17"/>
          <w:color w:val="auto"/>
        </w:rPr>
        <w:t>AFG’s management, with participation of its Co-Chief Executive Officers and its Chief Financial Officer, has evaluated AFG’s disclosure controls and procedures (as defined in Exchange Act Rule 13a-15) as of the end of the period covered by this report. Based on that evaluation, AFG’s Co-CEOs and CFO concluded that the controls and procedures are effective. There have been no changes in AFG’s internal control over financial reporting during the first fiscal quarter of 2026 that materially affected, or are reasonably likely to materially affect, AFG’s internal control over financial reporting.</w:t>
      </w:r>
    </w:p>
    <w:p>
      <w:pPr>
        <w:spacing w:after="0" w:line="206" w:lineRule="exact"/>
        <w:rPr>
          <w:sz w:val="20"/>
          <w:szCs w:val="20"/>
          <w:color w:val="auto"/>
        </w:rPr>
      </w:pPr>
    </w:p>
    <w:p>
      <w:pPr>
        <w:ind w:right="280"/>
        <w:spacing w:after="0" w:line="274" w:lineRule="auto"/>
        <w:rPr>
          <w:sz w:val="20"/>
          <w:szCs w:val="20"/>
          <w:color w:val="auto"/>
        </w:rPr>
      </w:pPr>
      <w:r>
        <w:rPr>
          <w:rFonts w:ascii="Arial" w:cs="Arial" w:eastAsia="Arial" w:hAnsi="Arial"/>
          <w:sz w:val="17"/>
          <w:szCs w:val="17"/>
          <w:color w:val="auto"/>
        </w:rPr>
        <w:t>In the ordinary course of business, AFG and its subsidiaries routinely enhance their information systems by either upgrading current systems or implementing new systems. There have been no changes in AFG’s business processes and procedures during the first fiscal quarter of 2026 that have materially affected, or are reasonably likely to materially affect, AFG’s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2" w:name="page53"/>
    <w:bookmarkEnd w:id="52"/>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PART II</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OTHER INFORMATION</w:t>
      </w:r>
    </w:p>
    <w:p>
      <w:pPr>
        <w:spacing w:after="0" w:line="15" w:lineRule="exact"/>
        <w:rPr>
          <w:sz w:val="20"/>
          <w:szCs w:val="20"/>
          <w:color w:val="auto"/>
        </w:rPr>
      </w:pPr>
    </w:p>
    <w:p>
      <w:pPr>
        <w:ind w:right="1220"/>
        <w:spacing w:after="0" w:line="276" w:lineRule="auto"/>
        <w:rPr>
          <w:sz w:val="20"/>
          <w:szCs w:val="20"/>
          <w:color w:val="auto"/>
        </w:rPr>
      </w:pPr>
      <w:r>
        <w:rPr>
          <w:rFonts w:ascii="Arial" w:cs="Arial" w:eastAsia="Arial" w:hAnsi="Arial"/>
          <w:sz w:val="36"/>
          <w:szCs w:val="36"/>
          <w:b w:val="1"/>
          <w:bCs w:val="1"/>
          <w:color w:val="003366"/>
        </w:rPr>
        <w:t>ITEM 2. Unregistered Sales of Equity Securities and Use of Proceeds</w:t>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 xml:space="preserve">Issuer Purchases of Equity Securities  </w:t>
      </w:r>
      <w:r>
        <w:rPr>
          <w:rFonts w:ascii="Arial" w:cs="Arial" w:eastAsia="Arial" w:hAnsi="Arial"/>
          <w:sz w:val="17"/>
          <w:szCs w:val="17"/>
          <w:color w:val="000000"/>
        </w:rPr>
        <w:t>AFG repurchased shares of its Common Stock during 2026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color w:val="auto"/>
              </w:rPr>
              <w:t>Total Number</w:t>
            </w:r>
          </w:p>
        </w:tc>
        <w:tc>
          <w:tcPr>
            <w:tcW w:w="8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color w:val="auto"/>
              </w:rPr>
              <w:t>Maximum Number</w:t>
            </w:r>
          </w:p>
        </w:tc>
        <w:tc>
          <w:tcPr>
            <w:tcW w:w="0" w:type="dxa"/>
            <w:vAlign w:val="bottom"/>
          </w:tcPr>
          <w:p>
            <w:pPr>
              <w:spacing w:after="0"/>
              <w:rPr>
                <w:sz w:val="1"/>
                <w:szCs w:val="1"/>
                <w:color w:val="auto"/>
              </w:rPr>
            </w:pPr>
          </w:p>
        </w:tc>
      </w:tr>
      <w:tr>
        <w:trPr>
          <w:trHeight w:val="148"/>
        </w:trPr>
        <w:tc>
          <w:tcPr>
            <w:tcW w:w="5280" w:type="dxa"/>
            <w:vAlign w:val="bottom"/>
          </w:tcPr>
          <w:p>
            <w:pPr>
              <w:spacing w:after="0"/>
              <w:rPr>
                <w:sz w:val="12"/>
                <w:szCs w:val="12"/>
                <w:color w:val="auto"/>
              </w:rPr>
            </w:pPr>
          </w:p>
        </w:tc>
        <w:tc>
          <w:tcPr>
            <w:tcW w:w="128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6"/>
              </w:rPr>
              <w:t>Total</w:t>
            </w: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Arial" w:cs="Arial" w:eastAsia="Arial" w:hAnsi="Arial"/>
                <w:sz w:val="14"/>
                <w:szCs w:val="14"/>
                <w:color w:val="auto"/>
              </w:rPr>
              <w:t>of Shares</w:t>
            </w:r>
          </w:p>
        </w:tc>
        <w:tc>
          <w:tcPr>
            <w:tcW w:w="80" w:type="dxa"/>
            <w:vAlign w:val="bottom"/>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Arial" w:cs="Arial" w:eastAsia="Arial" w:hAnsi="Arial"/>
                <w:sz w:val="14"/>
                <w:szCs w:val="14"/>
                <w:color w:val="auto"/>
              </w:rPr>
              <w:t>of Shares</w:t>
            </w:r>
          </w:p>
        </w:tc>
        <w:tc>
          <w:tcPr>
            <w:tcW w:w="0" w:type="dxa"/>
            <w:vAlign w:val="bottom"/>
          </w:tcPr>
          <w:p>
            <w:pPr>
              <w:spacing w:after="0"/>
              <w:rPr>
                <w:sz w:val="1"/>
                <w:szCs w:val="1"/>
                <w:color w:val="auto"/>
              </w:rPr>
            </w:pPr>
          </w:p>
        </w:tc>
      </w:tr>
      <w:tr>
        <w:trPr>
          <w:trHeight w:val="144"/>
        </w:trPr>
        <w:tc>
          <w:tcPr>
            <w:tcW w:w="52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vMerge w:val="restart"/>
          </w:tcPr>
          <w:p>
            <w:pPr>
              <w:jc w:val="center"/>
              <w:ind w:right="300"/>
              <w:spacing w:after="0"/>
              <w:rPr>
                <w:sz w:val="20"/>
                <w:szCs w:val="20"/>
                <w:color w:val="auto"/>
              </w:rPr>
            </w:pPr>
            <w:r>
              <w:rPr>
                <w:rFonts w:ascii="Arial" w:cs="Arial" w:eastAsia="Arial" w:hAnsi="Arial"/>
                <w:sz w:val="14"/>
                <w:szCs w:val="14"/>
                <w:color w:val="auto"/>
              </w:rPr>
              <w:t>Average</w:t>
            </w:r>
          </w:p>
        </w:tc>
        <w:tc>
          <w:tcPr>
            <w:tcW w:w="1600" w:type="dxa"/>
            <w:vAlign w:val="bottom"/>
          </w:tcPr>
          <w:p>
            <w:pPr>
              <w:jc w:val="center"/>
              <w:spacing w:after="0" w:line="145" w:lineRule="exact"/>
              <w:rPr>
                <w:sz w:val="20"/>
                <w:szCs w:val="20"/>
                <w:color w:val="auto"/>
              </w:rPr>
            </w:pPr>
            <w:r>
              <w:rPr>
                <w:rFonts w:ascii="Arial" w:cs="Arial" w:eastAsia="Arial" w:hAnsi="Arial"/>
                <w:sz w:val="14"/>
                <w:szCs w:val="14"/>
                <w:color w:val="auto"/>
              </w:rPr>
              <w:t>Purchased as</w:t>
            </w:r>
          </w:p>
        </w:tc>
        <w:tc>
          <w:tcPr>
            <w:tcW w:w="80" w:type="dxa"/>
            <w:vAlign w:val="bottom"/>
          </w:tcPr>
          <w:p>
            <w:pPr>
              <w:spacing w:after="0"/>
              <w:rPr>
                <w:sz w:val="12"/>
                <w:szCs w:val="12"/>
                <w:color w:val="auto"/>
              </w:rPr>
            </w:pPr>
          </w:p>
        </w:tc>
        <w:tc>
          <w:tcPr>
            <w:tcW w:w="1680" w:type="dxa"/>
            <w:vAlign w:val="bottom"/>
          </w:tcPr>
          <w:p>
            <w:pPr>
              <w:jc w:val="center"/>
              <w:spacing w:after="0" w:line="145" w:lineRule="exact"/>
              <w:rPr>
                <w:sz w:val="20"/>
                <w:szCs w:val="20"/>
                <w:color w:val="auto"/>
              </w:rPr>
            </w:pPr>
            <w:r>
              <w:rPr>
                <w:rFonts w:ascii="Arial" w:cs="Arial" w:eastAsia="Arial" w:hAnsi="Arial"/>
                <w:sz w:val="14"/>
                <w:szCs w:val="14"/>
                <w:color w:val="auto"/>
              </w:rPr>
              <w:t>that May</w:t>
            </w:r>
          </w:p>
        </w:tc>
        <w:tc>
          <w:tcPr>
            <w:tcW w:w="0" w:type="dxa"/>
            <w:vAlign w:val="bottom"/>
          </w:tcPr>
          <w:p>
            <w:pPr>
              <w:spacing w:after="0"/>
              <w:rPr>
                <w:sz w:val="1"/>
                <w:szCs w:val="1"/>
                <w:color w:val="auto"/>
              </w:rPr>
            </w:pPr>
          </w:p>
        </w:tc>
      </w:tr>
      <w:tr>
        <w:trPr>
          <w:trHeight w:val="139"/>
        </w:trPr>
        <w:tc>
          <w:tcPr>
            <w:tcW w:w="5280" w:type="dxa"/>
            <w:vAlign w:val="bottom"/>
          </w:tcPr>
          <w:p>
            <w:pPr>
              <w:spacing w:after="0"/>
              <w:rPr>
                <w:sz w:val="12"/>
                <w:szCs w:val="12"/>
                <w:color w:val="auto"/>
              </w:rPr>
            </w:pPr>
          </w:p>
        </w:tc>
        <w:tc>
          <w:tcPr>
            <w:tcW w:w="1280" w:type="dxa"/>
            <w:vAlign w:val="bottom"/>
            <w:gridSpan w:val="2"/>
          </w:tcPr>
          <w:p>
            <w:pPr>
              <w:jc w:val="center"/>
              <w:ind w:right="100"/>
              <w:spacing w:after="0" w:line="139" w:lineRule="exact"/>
              <w:rPr>
                <w:sz w:val="20"/>
                <w:szCs w:val="20"/>
                <w:color w:val="auto"/>
              </w:rPr>
            </w:pPr>
            <w:r>
              <w:rPr>
                <w:rFonts w:ascii="Arial" w:cs="Arial" w:eastAsia="Arial" w:hAnsi="Arial"/>
                <w:sz w:val="14"/>
                <w:szCs w:val="14"/>
                <w:color w:val="auto"/>
              </w:rPr>
              <w:t>Number</w:t>
            </w:r>
          </w:p>
        </w:tc>
        <w:tc>
          <w:tcPr>
            <w:tcW w:w="2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600" w:type="dxa"/>
            <w:vAlign w:val="bottom"/>
          </w:tcPr>
          <w:p>
            <w:pPr>
              <w:jc w:val="center"/>
              <w:spacing w:after="0" w:line="139" w:lineRule="exact"/>
              <w:rPr>
                <w:sz w:val="20"/>
                <w:szCs w:val="20"/>
                <w:color w:val="auto"/>
              </w:rPr>
            </w:pPr>
            <w:r>
              <w:rPr>
                <w:rFonts w:ascii="Arial" w:cs="Arial" w:eastAsia="Arial" w:hAnsi="Arial"/>
                <w:sz w:val="14"/>
                <w:szCs w:val="14"/>
                <w:color w:val="auto"/>
              </w:rPr>
              <w:t>Part of Publicly</w:t>
            </w:r>
          </w:p>
        </w:tc>
        <w:tc>
          <w:tcPr>
            <w:tcW w:w="80" w:type="dxa"/>
            <w:vAlign w:val="bottom"/>
          </w:tcPr>
          <w:p>
            <w:pPr>
              <w:spacing w:after="0"/>
              <w:rPr>
                <w:sz w:val="12"/>
                <w:szCs w:val="12"/>
                <w:color w:val="auto"/>
              </w:rPr>
            </w:pPr>
          </w:p>
        </w:tc>
        <w:tc>
          <w:tcPr>
            <w:tcW w:w="1680" w:type="dxa"/>
            <w:vAlign w:val="bottom"/>
          </w:tcPr>
          <w:p>
            <w:pPr>
              <w:jc w:val="center"/>
              <w:spacing w:after="0" w:line="139" w:lineRule="exact"/>
              <w:rPr>
                <w:sz w:val="20"/>
                <w:szCs w:val="20"/>
                <w:color w:val="auto"/>
              </w:rPr>
            </w:pPr>
            <w:r>
              <w:rPr>
                <w:rFonts w:ascii="Arial" w:cs="Arial" w:eastAsia="Arial" w:hAnsi="Arial"/>
                <w:sz w:val="14"/>
                <w:szCs w:val="14"/>
                <w:color w:val="auto"/>
              </w:rPr>
              <w:t>Yet be Purchased</w:t>
            </w:r>
          </w:p>
        </w:tc>
        <w:tc>
          <w:tcPr>
            <w:tcW w:w="0" w:type="dxa"/>
            <w:vAlign w:val="bottom"/>
          </w:tcPr>
          <w:p>
            <w:pPr>
              <w:spacing w:after="0"/>
              <w:rPr>
                <w:sz w:val="1"/>
                <w:szCs w:val="1"/>
                <w:color w:val="auto"/>
              </w:rPr>
            </w:pPr>
          </w:p>
        </w:tc>
      </w:tr>
      <w:tr>
        <w:trPr>
          <w:trHeight w:val="144"/>
        </w:trPr>
        <w:tc>
          <w:tcPr>
            <w:tcW w:w="5280" w:type="dxa"/>
            <w:vAlign w:val="bottom"/>
          </w:tcPr>
          <w:p>
            <w:pPr>
              <w:spacing w:after="0"/>
              <w:rPr>
                <w:sz w:val="12"/>
                <w:szCs w:val="12"/>
                <w:color w:val="auto"/>
              </w:rPr>
            </w:pPr>
          </w:p>
        </w:tc>
        <w:tc>
          <w:tcPr>
            <w:tcW w:w="1280" w:type="dxa"/>
            <w:vAlign w:val="bottom"/>
            <w:gridSpan w:val="2"/>
          </w:tcPr>
          <w:p>
            <w:pPr>
              <w:jc w:val="center"/>
              <w:ind w:right="100"/>
              <w:spacing w:after="0" w:line="145" w:lineRule="exact"/>
              <w:rPr>
                <w:sz w:val="20"/>
                <w:szCs w:val="20"/>
                <w:color w:val="auto"/>
              </w:rPr>
            </w:pPr>
            <w:r>
              <w:rPr>
                <w:rFonts w:ascii="Arial" w:cs="Arial" w:eastAsia="Arial" w:hAnsi="Arial"/>
                <w:sz w:val="14"/>
                <w:szCs w:val="14"/>
                <w:color w:val="auto"/>
              </w:rPr>
              <w:t>of Shares</w:t>
            </w:r>
          </w:p>
        </w:tc>
        <w:tc>
          <w:tcPr>
            <w:tcW w:w="200" w:type="dxa"/>
            <w:vAlign w:val="bottom"/>
          </w:tcPr>
          <w:p>
            <w:pPr>
              <w:spacing w:after="0"/>
              <w:rPr>
                <w:sz w:val="12"/>
                <w:szCs w:val="12"/>
                <w:color w:val="auto"/>
              </w:rPr>
            </w:pPr>
          </w:p>
        </w:tc>
        <w:tc>
          <w:tcPr>
            <w:tcW w:w="1120" w:type="dxa"/>
            <w:vAlign w:val="bottom"/>
            <w:gridSpan w:val="2"/>
          </w:tcPr>
          <w:p>
            <w:pPr>
              <w:jc w:val="center"/>
              <w:ind w:right="300"/>
              <w:spacing w:after="0" w:line="145" w:lineRule="exact"/>
              <w:rPr>
                <w:sz w:val="20"/>
                <w:szCs w:val="20"/>
                <w:color w:val="auto"/>
              </w:rPr>
            </w:pPr>
            <w:r>
              <w:rPr>
                <w:rFonts w:ascii="Arial" w:cs="Arial" w:eastAsia="Arial" w:hAnsi="Arial"/>
                <w:sz w:val="14"/>
                <w:szCs w:val="14"/>
                <w:color w:val="auto"/>
              </w:rPr>
              <w:t>Price Paid</w:t>
            </w:r>
          </w:p>
        </w:tc>
        <w:tc>
          <w:tcPr>
            <w:tcW w:w="1600" w:type="dxa"/>
            <w:vAlign w:val="bottom"/>
          </w:tcPr>
          <w:p>
            <w:pPr>
              <w:jc w:val="center"/>
              <w:spacing w:after="0" w:line="145" w:lineRule="exact"/>
              <w:rPr>
                <w:sz w:val="20"/>
                <w:szCs w:val="20"/>
                <w:color w:val="auto"/>
              </w:rPr>
            </w:pPr>
            <w:r>
              <w:rPr>
                <w:rFonts w:ascii="Arial" w:cs="Arial" w:eastAsia="Arial" w:hAnsi="Arial"/>
                <w:sz w:val="14"/>
                <w:szCs w:val="14"/>
                <w:color w:val="auto"/>
              </w:rPr>
              <w:t>Announced Plans</w:t>
            </w:r>
          </w:p>
        </w:tc>
        <w:tc>
          <w:tcPr>
            <w:tcW w:w="80" w:type="dxa"/>
            <w:vAlign w:val="bottom"/>
          </w:tcPr>
          <w:p>
            <w:pPr>
              <w:spacing w:after="0"/>
              <w:rPr>
                <w:sz w:val="12"/>
                <w:szCs w:val="12"/>
                <w:color w:val="auto"/>
              </w:rPr>
            </w:pPr>
          </w:p>
        </w:tc>
        <w:tc>
          <w:tcPr>
            <w:tcW w:w="1680" w:type="dxa"/>
            <w:vAlign w:val="bottom"/>
          </w:tcPr>
          <w:p>
            <w:pPr>
              <w:jc w:val="center"/>
              <w:spacing w:after="0" w:line="145" w:lineRule="exact"/>
              <w:rPr>
                <w:sz w:val="20"/>
                <w:szCs w:val="20"/>
                <w:color w:val="auto"/>
              </w:rPr>
            </w:pPr>
            <w:r>
              <w:rPr>
                <w:rFonts w:ascii="Arial" w:cs="Arial" w:eastAsia="Arial" w:hAnsi="Arial"/>
                <w:sz w:val="14"/>
                <w:szCs w:val="14"/>
                <w:color w:val="auto"/>
              </w:rPr>
              <w:t>Under the Plans</w:t>
            </w:r>
          </w:p>
        </w:tc>
        <w:tc>
          <w:tcPr>
            <w:tcW w:w="0" w:type="dxa"/>
            <w:vAlign w:val="bottom"/>
          </w:tcPr>
          <w:p>
            <w:pPr>
              <w:spacing w:after="0"/>
              <w:rPr>
                <w:sz w:val="1"/>
                <w:szCs w:val="1"/>
                <w:color w:val="auto"/>
              </w:rPr>
            </w:pPr>
          </w:p>
        </w:tc>
      </w:tr>
      <w:tr>
        <w:trPr>
          <w:trHeight w:val="189"/>
        </w:trPr>
        <w:tc>
          <w:tcPr>
            <w:tcW w:w="5280" w:type="dxa"/>
            <w:vAlign w:val="bottom"/>
          </w:tcPr>
          <w:p>
            <w:pPr>
              <w:spacing w:after="0"/>
              <w:rPr>
                <w:sz w:val="16"/>
                <w:szCs w:val="16"/>
                <w:color w:val="auto"/>
              </w:rPr>
            </w:pPr>
          </w:p>
        </w:tc>
        <w:tc>
          <w:tcPr>
            <w:tcW w:w="1280" w:type="dxa"/>
            <w:vAlign w:val="bottom"/>
            <w:gridSpan w:val="2"/>
          </w:tcPr>
          <w:p>
            <w:pPr>
              <w:jc w:val="center"/>
              <w:ind w:right="80"/>
              <w:spacing w:after="0"/>
              <w:rPr>
                <w:sz w:val="20"/>
                <w:szCs w:val="20"/>
                <w:color w:val="auto"/>
              </w:rPr>
            </w:pPr>
            <w:r>
              <w:rPr>
                <w:rFonts w:ascii="Arial" w:cs="Arial" w:eastAsia="Arial" w:hAnsi="Arial"/>
                <w:sz w:val="14"/>
                <w:szCs w:val="14"/>
                <w:color w:val="auto"/>
              </w:rPr>
              <w:t>Purchased</w:t>
            </w:r>
          </w:p>
        </w:tc>
        <w:tc>
          <w:tcPr>
            <w:tcW w:w="200" w:type="dxa"/>
            <w:vAlign w:val="bottom"/>
          </w:tcPr>
          <w:p>
            <w:pPr>
              <w:spacing w:after="0"/>
              <w:rPr>
                <w:sz w:val="16"/>
                <w:szCs w:val="16"/>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color w:val="auto"/>
              </w:rPr>
              <w:t>Per Share</w:t>
            </w:r>
          </w:p>
        </w:tc>
        <w:tc>
          <w:tcPr>
            <w:tcW w:w="1600" w:type="dxa"/>
            <w:vAlign w:val="bottom"/>
          </w:tcPr>
          <w:p>
            <w:pPr>
              <w:jc w:val="center"/>
              <w:spacing w:after="0"/>
              <w:rPr>
                <w:sz w:val="20"/>
                <w:szCs w:val="20"/>
                <w:color w:val="auto"/>
              </w:rPr>
            </w:pPr>
            <w:r>
              <w:rPr>
                <w:rFonts w:ascii="Arial" w:cs="Arial" w:eastAsia="Arial" w:hAnsi="Arial"/>
                <w:sz w:val="14"/>
                <w:szCs w:val="14"/>
                <w:color w:val="auto"/>
              </w:rPr>
              <w:t>or Programs</w:t>
            </w:r>
          </w:p>
        </w:tc>
        <w:tc>
          <w:tcPr>
            <w:tcW w:w="8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Arial" w:cs="Arial" w:eastAsia="Arial" w:hAnsi="Arial"/>
                <w:sz w:val="14"/>
                <w:szCs w:val="14"/>
                <w:color w:val="auto"/>
              </w:rPr>
              <w:t>or Programs (*)</w:t>
            </w:r>
          </w:p>
        </w:tc>
        <w:tc>
          <w:tcPr>
            <w:tcW w:w="0" w:type="dxa"/>
            <w:vAlign w:val="bottom"/>
          </w:tcPr>
          <w:p>
            <w:pPr>
              <w:spacing w:after="0"/>
              <w:rPr>
                <w:sz w:val="1"/>
                <w:szCs w:val="1"/>
                <w:color w:val="auto"/>
              </w:rPr>
            </w:pPr>
          </w:p>
        </w:tc>
      </w:tr>
      <w:tr>
        <w:trPr>
          <w:trHeight w:val="196"/>
        </w:trPr>
        <w:tc>
          <w:tcPr>
            <w:tcW w:w="5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First quarter:</w:t>
            </w:r>
          </w:p>
        </w:tc>
        <w:tc>
          <w:tcPr>
            <w:tcW w:w="12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280" w:type="dxa"/>
            <w:vAlign w:val="bottom"/>
          </w:tcPr>
          <w:p>
            <w:pPr>
              <w:ind w:left="240"/>
              <w:spacing w:after="0"/>
              <w:rPr>
                <w:sz w:val="20"/>
                <w:szCs w:val="20"/>
                <w:color w:val="auto"/>
              </w:rPr>
            </w:pPr>
            <w:r>
              <w:rPr>
                <w:rFonts w:ascii="Arial" w:cs="Arial" w:eastAsia="Arial" w:hAnsi="Arial"/>
                <w:sz w:val="16"/>
                <w:szCs w:val="16"/>
                <w:color w:val="auto"/>
              </w:rPr>
              <w:t>January</w:t>
            </w:r>
          </w:p>
        </w:tc>
        <w:tc>
          <w:tcPr>
            <w:tcW w:w="1200" w:type="dxa"/>
            <w:vAlign w:val="bottom"/>
          </w:tcPr>
          <w:p>
            <w:pPr>
              <w:jc w:val="right"/>
              <w:ind w:right="4"/>
              <w:spacing w:after="0"/>
              <w:rPr>
                <w:sz w:val="20"/>
                <w:szCs w:val="20"/>
                <w:color w:val="auto"/>
              </w:rPr>
            </w:pPr>
            <w:r>
              <w:rPr>
                <w:rFonts w:ascii="Arial" w:cs="Arial" w:eastAsia="Arial" w:hAnsi="Arial"/>
                <w:sz w:val="16"/>
                <w:szCs w:val="16"/>
                <w:color w:val="auto"/>
              </w:rPr>
              <w:t>124,688</w:t>
            </w:r>
          </w:p>
        </w:tc>
        <w:tc>
          <w:tcPr>
            <w:tcW w:w="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128.34</w:t>
            </w:r>
          </w:p>
        </w:tc>
        <w:tc>
          <w:tcPr>
            <w:tcW w:w="100" w:type="dxa"/>
            <w:vAlign w:val="bottom"/>
          </w:tcPr>
          <w:p>
            <w:pPr>
              <w:spacing w:after="0"/>
              <w:rPr>
                <w:sz w:val="18"/>
                <w:szCs w:val="18"/>
                <w:color w:val="auto"/>
              </w:rPr>
            </w:pPr>
          </w:p>
        </w:tc>
        <w:tc>
          <w:tcPr>
            <w:tcW w:w="1600" w:type="dxa"/>
            <w:vAlign w:val="bottom"/>
          </w:tcPr>
          <w:p>
            <w:pPr>
              <w:jc w:val="right"/>
              <w:ind w:right="4"/>
              <w:spacing w:after="0"/>
              <w:rPr>
                <w:sz w:val="20"/>
                <w:szCs w:val="20"/>
                <w:color w:val="auto"/>
              </w:rPr>
            </w:pPr>
            <w:r>
              <w:rPr>
                <w:rFonts w:ascii="Arial" w:cs="Arial" w:eastAsia="Arial" w:hAnsi="Arial"/>
                <w:sz w:val="16"/>
                <w:szCs w:val="16"/>
                <w:color w:val="auto"/>
              </w:rPr>
              <w:t>124,688</w:t>
            </w:r>
          </w:p>
        </w:tc>
        <w:tc>
          <w:tcPr>
            <w:tcW w:w="1760" w:type="dxa"/>
            <w:vAlign w:val="bottom"/>
            <w:gridSpan w:val="2"/>
          </w:tcPr>
          <w:p>
            <w:pPr>
              <w:jc w:val="right"/>
              <w:ind w:right="8"/>
              <w:spacing w:after="0"/>
              <w:rPr>
                <w:sz w:val="20"/>
                <w:szCs w:val="20"/>
                <w:color w:val="auto"/>
              </w:rPr>
            </w:pPr>
            <w:r>
              <w:rPr>
                <w:rFonts w:ascii="Arial" w:cs="Arial" w:eastAsia="Arial" w:hAnsi="Arial"/>
                <w:sz w:val="16"/>
                <w:szCs w:val="16"/>
                <w:color w:val="auto"/>
              </w:rPr>
              <w:t>4,875,312</w:t>
            </w:r>
          </w:p>
        </w:tc>
        <w:tc>
          <w:tcPr>
            <w:tcW w:w="0" w:type="dxa"/>
            <w:vAlign w:val="bottom"/>
          </w:tcPr>
          <w:p>
            <w:pPr>
              <w:spacing w:after="0"/>
              <w:rPr>
                <w:sz w:val="1"/>
                <w:szCs w:val="1"/>
                <w:color w:val="auto"/>
              </w:rPr>
            </w:pPr>
          </w:p>
        </w:tc>
      </w:tr>
      <w:tr>
        <w:trPr>
          <w:trHeight w:val="217"/>
        </w:trPr>
        <w:tc>
          <w:tcPr>
            <w:tcW w:w="52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February</w:t>
            </w:r>
          </w:p>
        </w:tc>
        <w:tc>
          <w:tcPr>
            <w:tcW w:w="12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137,522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128.66</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137,522</w:t>
            </w:r>
          </w:p>
        </w:tc>
        <w:tc>
          <w:tcPr>
            <w:tcW w:w="1760" w:type="dxa"/>
            <w:vAlign w:val="bottom"/>
            <w:gridSpan w:val="2"/>
            <w:shd w:val="clear" w:color="auto" w:fill="CCEEFF"/>
          </w:tcPr>
          <w:p>
            <w:pPr>
              <w:jc w:val="right"/>
              <w:ind w:right="8"/>
              <w:spacing w:after="0"/>
              <w:rPr>
                <w:sz w:val="20"/>
                <w:szCs w:val="20"/>
                <w:color w:val="auto"/>
              </w:rPr>
            </w:pPr>
            <w:r>
              <w:rPr>
                <w:rFonts w:ascii="Arial" w:cs="Arial" w:eastAsia="Arial" w:hAnsi="Arial"/>
                <w:sz w:val="16"/>
                <w:szCs w:val="16"/>
                <w:color w:val="auto"/>
              </w:rPr>
              <w:t>4,737,790</w:t>
            </w:r>
          </w:p>
        </w:tc>
        <w:tc>
          <w:tcPr>
            <w:tcW w:w="0" w:type="dxa"/>
            <w:vAlign w:val="bottom"/>
          </w:tcPr>
          <w:p>
            <w:pPr>
              <w:spacing w:after="0"/>
              <w:rPr>
                <w:sz w:val="1"/>
                <w:szCs w:val="1"/>
                <w:color w:val="auto"/>
              </w:rPr>
            </w:pPr>
          </w:p>
        </w:tc>
      </w:tr>
      <w:tr>
        <w:trPr>
          <w:trHeight w:val="215"/>
        </w:trPr>
        <w:tc>
          <w:tcPr>
            <w:tcW w:w="528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March</w:t>
            </w:r>
          </w:p>
        </w:tc>
        <w:tc>
          <w:tcPr>
            <w:tcW w:w="12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203,887</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127.04</w:t>
            </w:r>
          </w:p>
        </w:tc>
        <w:tc>
          <w:tcPr>
            <w:tcW w:w="100" w:type="dxa"/>
            <w:vAlign w:val="bottom"/>
            <w:tcBorders>
              <w:bottom w:val="single" w:sz="8" w:color="CCEEFF"/>
            </w:tcBorders>
          </w:tcPr>
          <w:p>
            <w:pPr>
              <w:spacing w:after="0"/>
              <w:rPr>
                <w:sz w:val="18"/>
                <w:szCs w:val="18"/>
                <w:color w:val="auto"/>
              </w:rPr>
            </w:pPr>
          </w:p>
        </w:tc>
        <w:tc>
          <w:tcPr>
            <w:tcW w:w="16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203,887</w:t>
            </w:r>
          </w:p>
        </w:tc>
        <w:tc>
          <w:tcPr>
            <w:tcW w:w="1760" w:type="dxa"/>
            <w:vAlign w:val="bottom"/>
            <w:tcBorders>
              <w:bottom w:val="single" w:sz="8" w:color="CCEEFF"/>
            </w:tcBorders>
            <w:gridSpan w:val="2"/>
          </w:tcPr>
          <w:p>
            <w:pPr>
              <w:jc w:val="right"/>
              <w:ind w:right="8"/>
              <w:spacing w:after="0"/>
              <w:rPr>
                <w:sz w:val="20"/>
                <w:szCs w:val="20"/>
                <w:color w:val="auto"/>
              </w:rPr>
            </w:pPr>
            <w:r>
              <w:rPr>
                <w:rFonts w:ascii="Arial" w:cs="Arial" w:eastAsia="Arial" w:hAnsi="Arial"/>
                <w:sz w:val="16"/>
                <w:szCs w:val="16"/>
                <w:color w:val="auto"/>
              </w:rPr>
              <w:t>4,533,903</w:t>
            </w:r>
          </w:p>
        </w:tc>
        <w:tc>
          <w:tcPr>
            <w:tcW w:w="0" w:type="dxa"/>
            <w:vAlign w:val="bottom"/>
          </w:tcPr>
          <w:p>
            <w:pPr>
              <w:spacing w:after="0"/>
              <w:rPr>
                <w:sz w:val="1"/>
                <w:szCs w:val="1"/>
                <w:color w:val="auto"/>
              </w:rPr>
            </w:pPr>
          </w:p>
        </w:tc>
      </w:tr>
      <w:tr>
        <w:trPr>
          <w:trHeight w:val="235"/>
        </w:trPr>
        <w:tc>
          <w:tcPr>
            <w:tcW w:w="5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w:t>
            </w:r>
          </w:p>
        </w:tc>
        <w:tc>
          <w:tcPr>
            <w:tcW w:w="12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466,097</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127.86</w:t>
            </w:r>
          </w:p>
        </w:tc>
        <w:tc>
          <w:tcPr>
            <w:tcW w:w="1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466,097</w:t>
            </w:r>
          </w:p>
        </w:tc>
        <w:tc>
          <w:tcPr>
            <w:tcW w:w="8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ind w:left="420" w:right="120" w:hanging="412"/>
        <w:spacing w:after="0" w:line="301" w:lineRule="auto"/>
        <w:tabs>
          <w:tab w:leader="none" w:pos="411" w:val="left"/>
        </w:tabs>
        <w:numPr>
          <w:ilvl w:val="0"/>
          <w:numId w:val="32"/>
        </w:numPr>
        <w:rPr>
          <w:rFonts w:ascii="Arial" w:cs="Arial" w:eastAsia="Arial" w:hAnsi="Arial"/>
          <w:sz w:val="17"/>
          <w:szCs w:val="17"/>
          <w:color w:val="auto"/>
        </w:rPr>
      </w:pPr>
      <w:r>
        <w:rPr>
          <w:rFonts w:ascii="Arial" w:cs="Arial" w:eastAsia="Arial" w:hAnsi="Arial"/>
          <w:sz w:val="17"/>
          <w:szCs w:val="17"/>
          <w:color w:val="auto"/>
        </w:rPr>
        <w:t>Represents the remaining shares that may be repurchased until December 31, 2030 under the Plan authorized by AFG’s Board of Directors in December 2025.</w:t>
      </w:r>
    </w:p>
    <w:p>
      <w:pPr>
        <w:spacing w:after="0" w:line="171" w:lineRule="exact"/>
        <w:rPr>
          <w:sz w:val="20"/>
          <w:szCs w:val="20"/>
          <w:color w:val="auto"/>
        </w:rPr>
      </w:pPr>
    </w:p>
    <w:p>
      <w:pPr>
        <w:ind w:right="300"/>
        <w:spacing w:after="0" w:line="284" w:lineRule="auto"/>
        <w:rPr>
          <w:sz w:val="20"/>
          <w:szCs w:val="20"/>
          <w:color w:val="auto"/>
        </w:rPr>
      </w:pPr>
      <w:r>
        <w:rPr>
          <w:rFonts w:ascii="Arial" w:cs="Arial" w:eastAsia="Arial" w:hAnsi="Arial"/>
          <w:sz w:val="17"/>
          <w:szCs w:val="17"/>
          <w:color w:val="auto"/>
        </w:rPr>
        <w:t>In connection with its stock incentive plan, AFG acquired 160 shares of its Common Stock (at an average of $133.27 per share) in January 2026, 38,268 shares (at an average of $129.87 per share) in February 2026 and 308 shares (at an average of $128.28 per share) in March 2026.</w:t>
      </w:r>
    </w:p>
    <w:p>
      <w:pPr>
        <w:spacing w:after="0" w:line="183" w:lineRule="exact"/>
        <w:rPr>
          <w:sz w:val="20"/>
          <w:szCs w:val="20"/>
          <w:color w:val="auto"/>
        </w:rPr>
      </w:pPr>
    </w:p>
    <w:p>
      <w:pPr>
        <w:spacing w:after="0"/>
        <w:rPr>
          <w:sz w:val="20"/>
          <w:szCs w:val="20"/>
          <w:color w:val="auto"/>
        </w:rPr>
      </w:pPr>
      <w:r>
        <w:rPr>
          <w:rFonts w:ascii="Arial" w:cs="Arial" w:eastAsia="Arial" w:hAnsi="Arial"/>
          <w:sz w:val="36"/>
          <w:szCs w:val="36"/>
          <w:b w:val="1"/>
          <w:bCs w:val="1"/>
          <w:color w:val="003366"/>
        </w:rPr>
        <w:t>ITEM 5. Other Information</w:t>
      </w:r>
    </w:p>
    <w:p>
      <w:pPr>
        <w:spacing w:after="0" w:line="36" w:lineRule="exact"/>
        <w:rPr>
          <w:sz w:val="20"/>
          <w:szCs w:val="20"/>
          <w:color w:val="auto"/>
        </w:rPr>
      </w:pPr>
    </w:p>
    <w:p>
      <w:pPr>
        <w:ind w:right="80"/>
        <w:spacing w:after="0" w:line="264" w:lineRule="auto"/>
        <w:rPr>
          <w:sz w:val="20"/>
          <w:szCs w:val="20"/>
          <w:color w:val="auto"/>
        </w:rPr>
      </w:pPr>
      <w:r>
        <w:rPr>
          <w:rFonts w:ascii="Arial" w:cs="Arial" w:eastAsia="Arial" w:hAnsi="Arial"/>
          <w:sz w:val="17"/>
          <w:szCs w:val="17"/>
          <w:color w:val="auto"/>
        </w:rPr>
        <w:t>During the three months ended March 31, 2026, none of the Company’s directors or officers adopted, terminated or modified a “Rule 10b5-1 trading arrangement” or “non-Rule 10b5-1 trading arrangement,” as those terms are defined in Regulation S-K, Item 408.</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3" w:name="page54"/>
    <w:bookmarkEnd w:id="53"/>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003366"/>
        </w:rPr>
        <w:t>AMERICAN FINANCIAL GROUP, INC. 10-Q</w:t>
      </w:r>
    </w:p>
    <w:p>
      <w:pPr>
        <w:spacing w:after="0" w:line="316" w:lineRule="exact"/>
        <w:rPr>
          <w:sz w:val="20"/>
          <w:szCs w:val="20"/>
          <w:color w:val="auto"/>
        </w:rPr>
      </w:pPr>
    </w:p>
    <w:p>
      <w:pPr>
        <w:spacing w:after="0"/>
        <w:rPr>
          <w:sz w:val="20"/>
          <w:szCs w:val="20"/>
          <w:color w:val="auto"/>
        </w:rPr>
      </w:pPr>
      <w:r>
        <w:rPr>
          <w:rFonts w:ascii="Arial" w:cs="Arial" w:eastAsia="Arial" w:hAnsi="Arial"/>
          <w:sz w:val="36"/>
          <w:szCs w:val="36"/>
          <w:b w:val="1"/>
          <w:bCs w:val="1"/>
          <w:color w:val="003366"/>
        </w:rPr>
        <w:t>ITEM 6. Exhibits</w:t>
      </w:r>
    </w:p>
    <w:p>
      <w:pPr>
        <w:spacing w:after="0" w:line="358"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880" w:type="dxa"/>
            <w:vAlign w:val="bottom"/>
            <w:gridSpan w:val="2"/>
          </w:tcPr>
          <w:p>
            <w:pPr>
              <w:spacing w:after="0"/>
              <w:rPr>
                <w:sz w:val="20"/>
                <w:szCs w:val="20"/>
                <w:color w:val="auto"/>
              </w:rPr>
            </w:pPr>
            <w:r>
              <w:rPr>
                <w:rFonts w:ascii="Arial" w:cs="Arial" w:eastAsia="Arial" w:hAnsi="Arial"/>
                <w:sz w:val="16"/>
                <w:szCs w:val="16"/>
                <w:color w:val="auto"/>
              </w:rPr>
              <w:t>Number</w:t>
            </w:r>
          </w:p>
        </w:tc>
        <w:tc>
          <w:tcPr>
            <w:tcW w:w="10240" w:type="dxa"/>
            <w:vAlign w:val="bottom"/>
            <w:gridSpan w:val="3"/>
          </w:tcPr>
          <w:p>
            <w:pPr>
              <w:ind w:left="220"/>
              <w:spacing w:after="0"/>
              <w:rPr>
                <w:sz w:val="20"/>
                <w:szCs w:val="20"/>
                <w:color w:val="auto"/>
              </w:rPr>
            </w:pPr>
            <w:r>
              <w:rPr>
                <w:rFonts w:ascii="Arial" w:cs="Arial" w:eastAsia="Arial" w:hAnsi="Arial"/>
                <w:sz w:val="16"/>
                <w:szCs w:val="16"/>
                <w:color w:val="auto"/>
              </w:rPr>
              <w:t>Exhibit Description</w:t>
            </w:r>
          </w:p>
        </w:tc>
      </w:tr>
      <w:tr>
        <w:trPr>
          <w:trHeight w:val="20"/>
        </w:trPr>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r>
      <w:tr>
        <w:trPr>
          <w:trHeight w:val="234"/>
        </w:trPr>
        <w:tc>
          <w:tcPr>
            <w:tcW w:w="580" w:type="dxa"/>
            <w:vAlign w:val="bottom"/>
          </w:tcPr>
          <w:p>
            <w:pPr>
              <w:spacing w:after="0"/>
              <w:rPr>
                <w:sz w:val="20"/>
                <w:szCs w:val="20"/>
                <w:color w:val="auto"/>
              </w:rPr>
            </w:pPr>
            <w:r>
              <w:rPr>
                <w:rFonts w:ascii="Arial" w:cs="Arial" w:eastAsia="Arial" w:hAnsi="Arial"/>
                <w:sz w:val="16"/>
                <w:szCs w:val="16"/>
                <w:color w:val="0000FF"/>
              </w:rPr>
              <w:t>31(a)</w:t>
            </w:r>
          </w:p>
        </w:tc>
        <w:tc>
          <w:tcPr>
            <w:tcW w:w="300" w:type="dxa"/>
            <w:vAlign w:val="bottom"/>
          </w:tcPr>
          <w:p>
            <w:pPr>
              <w:spacing w:after="0"/>
              <w:rPr>
                <w:sz w:val="20"/>
                <w:szCs w:val="20"/>
                <w:color w:val="auto"/>
              </w:rPr>
            </w:pPr>
          </w:p>
        </w:tc>
        <w:tc>
          <w:tcPr>
            <w:tcW w:w="10240" w:type="dxa"/>
            <w:vAlign w:val="bottom"/>
            <w:gridSpan w:val="3"/>
          </w:tcPr>
          <w:p>
            <w:pPr>
              <w:ind w:left="220"/>
              <w:spacing w:after="0"/>
              <w:rPr>
                <w:sz w:val="20"/>
                <w:szCs w:val="20"/>
                <w:color w:val="auto"/>
              </w:rPr>
            </w:pPr>
            <w:r>
              <w:rPr>
                <w:rFonts w:ascii="Arial" w:cs="Arial" w:eastAsia="Arial" w:hAnsi="Arial"/>
                <w:sz w:val="16"/>
                <w:szCs w:val="16"/>
                <w:color w:val="0000FF"/>
              </w:rPr>
              <w:t>Certification of Co-Chief Executive Officer pursuant to section 302(a) of the Sarbanes-Oxley Act of 2002.</w:t>
            </w:r>
          </w:p>
        </w:tc>
      </w:tr>
      <w:tr>
        <w:trPr>
          <w:trHeight w:val="216"/>
        </w:trPr>
        <w:tc>
          <w:tcPr>
            <w:tcW w:w="880" w:type="dxa"/>
            <w:vAlign w:val="bottom"/>
            <w:gridSpan w:val="2"/>
          </w:tcPr>
          <w:p>
            <w:pPr>
              <w:spacing w:after="0"/>
              <w:rPr>
                <w:sz w:val="20"/>
                <w:szCs w:val="20"/>
                <w:color w:val="auto"/>
              </w:rPr>
            </w:pPr>
            <w:r>
              <w:rPr>
                <w:rFonts w:ascii="Arial" w:cs="Arial" w:eastAsia="Arial" w:hAnsi="Arial"/>
                <w:sz w:val="16"/>
                <w:szCs w:val="16"/>
                <w:color w:val="0000FF"/>
              </w:rPr>
              <w:t>31(b)</w:t>
            </w:r>
          </w:p>
        </w:tc>
        <w:tc>
          <w:tcPr>
            <w:tcW w:w="10240" w:type="dxa"/>
            <w:vAlign w:val="bottom"/>
            <w:gridSpan w:val="3"/>
          </w:tcPr>
          <w:p>
            <w:pPr>
              <w:ind w:left="220"/>
              <w:spacing w:after="0"/>
              <w:rPr>
                <w:sz w:val="20"/>
                <w:szCs w:val="20"/>
                <w:color w:val="auto"/>
              </w:rPr>
            </w:pPr>
            <w:r>
              <w:rPr>
                <w:rFonts w:ascii="Arial" w:cs="Arial" w:eastAsia="Arial" w:hAnsi="Arial"/>
                <w:sz w:val="16"/>
                <w:szCs w:val="16"/>
                <w:color w:val="0000FF"/>
              </w:rPr>
              <w:t>Certification of Co-Chief Executive Officer pursuant to section 302(a) of the Sarbanes-Oxley Act of 2002.</w:t>
            </w:r>
          </w:p>
        </w:tc>
      </w:tr>
      <w:tr>
        <w:trPr>
          <w:trHeight w:val="216"/>
        </w:trPr>
        <w:tc>
          <w:tcPr>
            <w:tcW w:w="880" w:type="dxa"/>
            <w:vAlign w:val="bottom"/>
            <w:gridSpan w:val="2"/>
          </w:tcPr>
          <w:p>
            <w:pPr>
              <w:spacing w:after="0"/>
              <w:rPr>
                <w:sz w:val="20"/>
                <w:szCs w:val="20"/>
                <w:color w:val="auto"/>
              </w:rPr>
            </w:pPr>
            <w:r>
              <w:rPr>
                <w:rFonts w:ascii="Arial" w:cs="Arial" w:eastAsia="Arial" w:hAnsi="Arial"/>
                <w:sz w:val="16"/>
                <w:szCs w:val="16"/>
                <w:color w:val="0000FF"/>
              </w:rPr>
              <w:t>31(c)</w:t>
            </w:r>
          </w:p>
        </w:tc>
        <w:tc>
          <w:tcPr>
            <w:tcW w:w="10240" w:type="dxa"/>
            <w:vAlign w:val="bottom"/>
            <w:gridSpan w:val="3"/>
          </w:tcPr>
          <w:p>
            <w:pPr>
              <w:ind w:left="220"/>
              <w:spacing w:after="0"/>
              <w:rPr>
                <w:sz w:val="20"/>
                <w:szCs w:val="20"/>
                <w:color w:val="auto"/>
              </w:rPr>
            </w:pPr>
            <w:r>
              <w:rPr>
                <w:rFonts w:ascii="Arial" w:cs="Arial" w:eastAsia="Arial" w:hAnsi="Arial"/>
                <w:sz w:val="16"/>
                <w:szCs w:val="16"/>
                <w:color w:val="0000FF"/>
              </w:rPr>
              <w:t>Certification of Chief Financial Officer pursuant to section 302(a) of the Sarbanes-Oxley Act of 2002.</w:t>
            </w:r>
          </w:p>
        </w:tc>
      </w:tr>
      <w:tr>
        <w:trPr>
          <w:trHeight w:val="216"/>
        </w:trPr>
        <w:tc>
          <w:tcPr>
            <w:tcW w:w="580" w:type="dxa"/>
            <w:vAlign w:val="bottom"/>
          </w:tcPr>
          <w:p>
            <w:pPr>
              <w:spacing w:after="0"/>
              <w:rPr>
                <w:sz w:val="20"/>
                <w:szCs w:val="20"/>
                <w:color w:val="auto"/>
              </w:rPr>
            </w:pPr>
            <w:r>
              <w:rPr>
                <w:rFonts w:ascii="Arial" w:cs="Arial" w:eastAsia="Arial" w:hAnsi="Arial"/>
                <w:sz w:val="16"/>
                <w:szCs w:val="16"/>
                <w:color w:val="0000FF"/>
              </w:rPr>
              <w:t>32</w:t>
            </w:r>
          </w:p>
        </w:tc>
        <w:tc>
          <w:tcPr>
            <w:tcW w:w="300" w:type="dxa"/>
            <w:vAlign w:val="bottom"/>
          </w:tcPr>
          <w:p>
            <w:pPr>
              <w:spacing w:after="0"/>
              <w:rPr>
                <w:sz w:val="18"/>
                <w:szCs w:val="18"/>
                <w:color w:val="auto"/>
              </w:rPr>
            </w:pPr>
          </w:p>
        </w:tc>
        <w:tc>
          <w:tcPr>
            <w:tcW w:w="10240" w:type="dxa"/>
            <w:vAlign w:val="bottom"/>
            <w:gridSpan w:val="3"/>
          </w:tcPr>
          <w:p>
            <w:pPr>
              <w:ind w:left="220"/>
              <w:spacing w:after="0"/>
              <w:rPr>
                <w:sz w:val="20"/>
                <w:szCs w:val="20"/>
                <w:color w:val="auto"/>
              </w:rPr>
            </w:pPr>
            <w:r>
              <w:rPr>
                <w:rFonts w:ascii="Arial" w:cs="Arial" w:eastAsia="Arial" w:hAnsi="Arial"/>
                <w:sz w:val="16"/>
                <w:szCs w:val="16"/>
                <w:color w:val="0000FF"/>
              </w:rPr>
              <w:t>Certification of Co-Chief Executive Officers and Chief Financial Officer pursuant to section 906 of the Sarbanes-Oxley Act of 2002.</w:t>
            </w:r>
          </w:p>
        </w:tc>
      </w:tr>
      <w:tr>
        <w:trPr>
          <w:trHeight w:val="164"/>
        </w:trPr>
        <w:tc>
          <w:tcPr>
            <w:tcW w:w="880" w:type="dxa"/>
            <w:vAlign w:val="bottom"/>
            <w:gridSpan w:val="2"/>
          </w:tcPr>
          <w:p>
            <w:pPr>
              <w:spacing w:after="0" w:line="164" w:lineRule="exact"/>
              <w:rPr>
                <w:sz w:val="20"/>
                <w:szCs w:val="20"/>
                <w:color w:val="auto"/>
              </w:rPr>
            </w:pPr>
            <w:r>
              <w:rPr>
                <w:rFonts w:ascii="Arial" w:cs="Arial" w:eastAsia="Arial" w:hAnsi="Arial"/>
                <w:sz w:val="16"/>
                <w:szCs w:val="16"/>
                <w:color w:val="auto"/>
              </w:rPr>
              <w:t>101.INS</w:t>
            </w:r>
          </w:p>
        </w:tc>
        <w:tc>
          <w:tcPr>
            <w:tcW w:w="10240" w:type="dxa"/>
            <w:vAlign w:val="bottom"/>
            <w:gridSpan w:val="3"/>
          </w:tcPr>
          <w:p>
            <w:pPr>
              <w:ind w:left="220"/>
              <w:spacing w:after="0" w:line="164" w:lineRule="exact"/>
              <w:rPr>
                <w:sz w:val="20"/>
                <w:szCs w:val="20"/>
                <w:color w:val="auto"/>
              </w:rPr>
            </w:pPr>
            <w:r>
              <w:rPr>
                <w:rFonts w:ascii="Arial" w:cs="Arial" w:eastAsia="Arial" w:hAnsi="Arial"/>
                <w:sz w:val="16"/>
                <w:szCs w:val="16"/>
                <w:color w:val="auto"/>
              </w:rPr>
              <w:t>XBRL Instance Document - the instance document does not appear in the Interactive Data File because its XBRL tags are embedded within</w:t>
            </w:r>
          </w:p>
        </w:tc>
      </w:tr>
      <w:tr>
        <w:trPr>
          <w:trHeight w:val="215"/>
        </w:trPr>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40" w:type="dxa"/>
            <w:vAlign w:val="bottom"/>
            <w:gridSpan w:val="3"/>
          </w:tcPr>
          <w:p>
            <w:pPr>
              <w:ind w:left="220"/>
              <w:spacing w:after="0"/>
              <w:rPr>
                <w:sz w:val="20"/>
                <w:szCs w:val="20"/>
                <w:color w:val="auto"/>
              </w:rPr>
            </w:pPr>
            <w:r>
              <w:rPr>
                <w:rFonts w:ascii="Arial" w:cs="Arial" w:eastAsia="Arial" w:hAnsi="Arial"/>
                <w:sz w:val="16"/>
                <w:szCs w:val="16"/>
                <w:color w:val="auto"/>
              </w:rPr>
              <w:t>the Inline XBRL document.</w:t>
            </w:r>
          </w:p>
        </w:tc>
      </w:tr>
      <w:tr>
        <w:trPr>
          <w:trHeight w:val="215"/>
        </w:trPr>
        <w:tc>
          <w:tcPr>
            <w:tcW w:w="880" w:type="dxa"/>
            <w:vAlign w:val="bottom"/>
            <w:gridSpan w:val="2"/>
          </w:tcPr>
          <w:p>
            <w:pPr>
              <w:spacing w:after="0"/>
              <w:rPr>
                <w:sz w:val="20"/>
                <w:szCs w:val="20"/>
                <w:color w:val="auto"/>
              </w:rPr>
            </w:pPr>
            <w:r>
              <w:rPr>
                <w:rFonts w:ascii="Arial" w:cs="Arial" w:eastAsia="Arial" w:hAnsi="Arial"/>
                <w:sz w:val="16"/>
                <w:szCs w:val="16"/>
                <w:color w:val="auto"/>
              </w:rPr>
              <w:t>101.SCH</w:t>
            </w:r>
          </w:p>
        </w:tc>
        <w:tc>
          <w:tcPr>
            <w:tcW w:w="10240" w:type="dxa"/>
            <w:vAlign w:val="bottom"/>
            <w:gridSpan w:val="3"/>
          </w:tcPr>
          <w:p>
            <w:pPr>
              <w:ind w:left="220"/>
              <w:spacing w:after="0"/>
              <w:rPr>
                <w:sz w:val="20"/>
                <w:szCs w:val="20"/>
                <w:color w:val="auto"/>
              </w:rPr>
            </w:pPr>
            <w:r>
              <w:rPr>
                <w:rFonts w:ascii="Arial" w:cs="Arial" w:eastAsia="Arial" w:hAnsi="Arial"/>
                <w:sz w:val="16"/>
                <w:szCs w:val="16"/>
                <w:color w:val="auto"/>
              </w:rPr>
              <w:t>Inline XBRL Taxonomy Extension Schema Document.</w:t>
            </w:r>
          </w:p>
        </w:tc>
      </w:tr>
      <w:tr>
        <w:trPr>
          <w:trHeight w:val="216"/>
        </w:trPr>
        <w:tc>
          <w:tcPr>
            <w:tcW w:w="880" w:type="dxa"/>
            <w:vAlign w:val="bottom"/>
            <w:gridSpan w:val="2"/>
          </w:tcPr>
          <w:p>
            <w:pPr>
              <w:spacing w:after="0"/>
              <w:rPr>
                <w:sz w:val="20"/>
                <w:szCs w:val="20"/>
                <w:color w:val="auto"/>
              </w:rPr>
            </w:pPr>
            <w:r>
              <w:rPr>
                <w:rFonts w:ascii="Arial" w:cs="Arial" w:eastAsia="Arial" w:hAnsi="Arial"/>
                <w:sz w:val="16"/>
                <w:szCs w:val="16"/>
                <w:color w:val="auto"/>
              </w:rPr>
              <w:t>101.CAL</w:t>
            </w:r>
          </w:p>
        </w:tc>
        <w:tc>
          <w:tcPr>
            <w:tcW w:w="10240" w:type="dxa"/>
            <w:vAlign w:val="bottom"/>
            <w:gridSpan w:val="3"/>
          </w:tcPr>
          <w:p>
            <w:pPr>
              <w:ind w:left="220"/>
              <w:spacing w:after="0"/>
              <w:rPr>
                <w:sz w:val="20"/>
                <w:szCs w:val="20"/>
                <w:color w:val="auto"/>
              </w:rPr>
            </w:pPr>
            <w:r>
              <w:rPr>
                <w:rFonts w:ascii="Arial" w:cs="Arial" w:eastAsia="Arial" w:hAnsi="Arial"/>
                <w:sz w:val="16"/>
                <w:szCs w:val="16"/>
                <w:color w:val="auto"/>
              </w:rPr>
              <w:t>Inline XBRL Taxonomy Extension Calculation Linkbase Document.</w:t>
            </w:r>
          </w:p>
        </w:tc>
      </w:tr>
      <w:tr>
        <w:trPr>
          <w:trHeight w:val="216"/>
        </w:trPr>
        <w:tc>
          <w:tcPr>
            <w:tcW w:w="880" w:type="dxa"/>
            <w:vAlign w:val="bottom"/>
            <w:gridSpan w:val="2"/>
          </w:tcPr>
          <w:p>
            <w:pPr>
              <w:spacing w:after="0"/>
              <w:rPr>
                <w:sz w:val="20"/>
                <w:szCs w:val="20"/>
                <w:color w:val="auto"/>
              </w:rPr>
            </w:pPr>
            <w:r>
              <w:rPr>
                <w:rFonts w:ascii="Arial" w:cs="Arial" w:eastAsia="Arial" w:hAnsi="Arial"/>
                <w:sz w:val="16"/>
                <w:szCs w:val="16"/>
                <w:color w:val="auto"/>
              </w:rPr>
              <w:t>101.DEF</w:t>
            </w:r>
          </w:p>
        </w:tc>
        <w:tc>
          <w:tcPr>
            <w:tcW w:w="10240" w:type="dxa"/>
            <w:vAlign w:val="bottom"/>
            <w:gridSpan w:val="3"/>
          </w:tcPr>
          <w:p>
            <w:pPr>
              <w:ind w:left="220"/>
              <w:spacing w:after="0"/>
              <w:rPr>
                <w:sz w:val="20"/>
                <w:szCs w:val="20"/>
                <w:color w:val="auto"/>
              </w:rPr>
            </w:pPr>
            <w:r>
              <w:rPr>
                <w:rFonts w:ascii="Arial" w:cs="Arial" w:eastAsia="Arial" w:hAnsi="Arial"/>
                <w:sz w:val="16"/>
                <w:szCs w:val="16"/>
                <w:color w:val="auto"/>
              </w:rPr>
              <w:t>Inline XBRL Taxonomy Extension Definition Linkbase Document.</w:t>
            </w:r>
          </w:p>
        </w:tc>
      </w:tr>
      <w:tr>
        <w:trPr>
          <w:trHeight w:val="216"/>
        </w:trPr>
        <w:tc>
          <w:tcPr>
            <w:tcW w:w="880" w:type="dxa"/>
            <w:vAlign w:val="bottom"/>
            <w:gridSpan w:val="2"/>
          </w:tcPr>
          <w:p>
            <w:pPr>
              <w:spacing w:after="0"/>
              <w:rPr>
                <w:sz w:val="20"/>
                <w:szCs w:val="20"/>
                <w:color w:val="auto"/>
              </w:rPr>
            </w:pPr>
            <w:r>
              <w:rPr>
                <w:rFonts w:ascii="Arial" w:cs="Arial" w:eastAsia="Arial" w:hAnsi="Arial"/>
                <w:sz w:val="16"/>
                <w:szCs w:val="16"/>
                <w:color w:val="auto"/>
              </w:rPr>
              <w:t>101.LAB</w:t>
            </w:r>
          </w:p>
        </w:tc>
        <w:tc>
          <w:tcPr>
            <w:tcW w:w="10240" w:type="dxa"/>
            <w:vAlign w:val="bottom"/>
            <w:gridSpan w:val="3"/>
          </w:tcPr>
          <w:p>
            <w:pPr>
              <w:ind w:left="220"/>
              <w:spacing w:after="0"/>
              <w:rPr>
                <w:sz w:val="20"/>
                <w:szCs w:val="20"/>
                <w:color w:val="auto"/>
              </w:rPr>
            </w:pPr>
            <w:r>
              <w:rPr>
                <w:rFonts w:ascii="Arial" w:cs="Arial" w:eastAsia="Arial" w:hAnsi="Arial"/>
                <w:sz w:val="16"/>
                <w:szCs w:val="16"/>
                <w:color w:val="auto"/>
              </w:rPr>
              <w:t>Inline XBRL Taxonomy Extension Label Linkbase Document.</w:t>
            </w:r>
          </w:p>
        </w:tc>
      </w:tr>
      <w:tr>
        <w:trPr>
          <w:trHeight w:val="216"/>
        </w:trPr>
        <w:tc>
          <w:tcPr>
            <w:tcW w:w="880" w:type="dxa"/>
            <w:vAlign w:val="bottom"/>
            <w:gridSpan w:val="2"/>
          </w:tcPr>
          <w:p>
            <w:pPr>
              <w:spacing w:after="0"/>
              <w:rPr>
                <w:sz w:val="20"/>
                <w:szCs w:val="20"/>
                <w:color w:val="auto"/>
              </w:rPr>
            </w:pPr>
            <w:r>
              <w:rPr>
                <w:rFonts w:ascii="Arial" w:cs="Arial" w:eastAsia="Arial" w:hAnsi="Arial"/>
                <w:sz w:val="16"/>
                <w:szCs w:val="16"/>
                <w:color w:val="auto"/>
              </w:rPr>
              <w:t>101.PRE</w:t>
            </w:r>
          </w:p>
        </w:tc>
        <w:tc>
          <w:tcPr>
            <w:tcW w:w="10240" w:type="dxa"/>
            <w:vAlign w:val="bottom"/>
            <w:gridSpan w:val="3"/>
          </w:tcPr>
          <w:p>
            <w:pPr>
              <w:ind w:left="220"/>
              <w:spacing w:after="0"/>
              <w:rPr>
                <w:sz w:val="20"/>
                <w:szCs w:val="20"/>
                <w:color w:val="auto"/>
              </w:rPr>
            </w:pPr>
            <w:r>
              <w:rPr>
                <w:rFonts w:ascii="Arial" w:cs="Arial" w:eastAsia="Arial" w:hAnsi="Arial"/>
                <w:sz w:val="16"/>
                <w:szCs w:val="16"/>
                <w:color w:val="auto"/>
              </w:rPr>
              <w:t>Inline XBRL Taxonomy Extension Presentation Linkbase Document.</w:t>
            </w:r>
          </w:p>
        </w:tc>
      </w:tr>
      <w:tr>
        <w:trPr>
          <w:trHeight w:val="216"/>
        </w:trPr>
        <w:tc>
          <w:tcPr>
            <w:tcW w:w="580" w:type="dxa"/>
            <w:vAlign w:val="bottom"/>
          </w:tcPr>
          <w:p>
            <w:pPr>
              <w:spacing w:after="0"/>
              <w:rPr>
                <w:sz w:val="20"/>
                <w:szCs w:val="20"/>
                <w:color w:val="auto"/>
              </w:rPr>
            </w:pPr>
            <w:r>
              <w:rPr>
                <w:rFonts w:ascii="Arial" w:cs="Arial" w:eastAsia="Arial" w:hAnsi="Arial"/>
                <w:sz w:val="16"/>
                <w:szCs w:val="16"/>
                <w:color w:val="auto"/>
              </w:rPr>
              <w:t>104</w:t>
            </w:r>
          </w:p>
        </w:tc>
        <w:tc>
          <w:tcPr>
            <w:tcW w:w="300" w:type="dxa"/>
            <w:vAlign w:val="bottom"/>
          </w:tcPr>
          <w:p>
            <w:pPr>
              <w:spacing w:after="0"/>
              <w:rPr>
                <w:sz w:val="18"/>
                <w:szCs w:val="18"/>
                <w:color w:val="auto"/>
              </w:rPr>
            </w:pPr>
          </w:p>
        </w:tc>
        <w:tc>
          <w:tcPr>
            <w:tcW w:w="10240" w:type="dxa"/>
            <w:vAlign w:val="bottom"/>
            <w:gridSpan w:val="3"/>
          </w:tcPr>
          <w:p>
            <w:pPr>
              <w:ind w:left="220"/>
              <w:spacing w:after="0"/>
              <w:rPr>
                <w:sz w:val="20"/>
                <w:szCs w:val="20"/>
                <w:color w:val="auto"/>
              </w:rPr>
            </w:pPr>
            <w:r>
              <w:rPr>
                <w:rFonts w:ascii="Arial" w:cs="Arial" w:eastAsia="Arial" w:hAnsi="Arial"/>
                <w:sz w:val="16"/>
                <w:szCs w:val="16"/>
                <w:color w:val="auto"/>
              </w:rPr>
              <w:t>Cover Page Interactive Data File (formatted as Inline XBRL and contained in Exhibit 101).</w:t>
            </w:r>
          </w:p>
        </w:tc>
      </w:tr>
    </w:tbl>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u w:val="single" w:color="auto"/>
          <w:color w:val="auto"/>
        </w:rPr>
        <w:t>Signature</w:t>
      </w:r>
    </w:p>
    <w:p>
      <w:pPr>
        <w:spacing w:after="0" w:line="169" w:lineRule="exact"/>
        <w:rPr>
          <w:sz w:val="20"/>
          <w:szCs w:val="20"/>
          <w:color w:val="auto"/>
        </w:rPr>
      </w:pPr>
    </w:p>
    <w:p>
      <w:pPr>
        <w:ind w:right="360"/>
        <w:spacing w:after="0" w:line="278"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2900" w:type="dxa"/>
            <w:vAlign w:val="bottom"/>
          </w:tcPr>
          <w:p>
            <w:pPr>
              <w:spacing w:after="0"/>
              <w:rPr>
                <w:sz w:val="18"/>
                <w:szCs w:val="18"/>
                <w:color w:val="auto"/>
              </w:rPr>
            </w:pPr>
          </w:p>
        </w:tc>
        <w:tc>
          <w:tcPr>
            <w:tcW w:w="8280" w:type="dxa"/>
            <w:vAlign w:val="bottom"/>
            <w:gridSpan w:val="2"/>
          </w:tcPr>
          <w:p>
            <w:pPr>
              <w:ind w:left="2000"/>
              <w:spacing w:after="0"/>
              <w:rPr>
                <w:sz w:val="20"/>
                <w:szCs w:val="20"/>
                <w:color w:val="auto"/>
              </w:rPr>
            </w:pPr>
            <w:r>
              <w:rPr>
                <w:rFonts w:ascii="Arial" w:cs="Arial" w:eastAsia="Arial" w:hAnsi="Arial"/>
                <w:sz w:val="16"/>
                <w:szCs w:val="16"/>
                <w:color w:val="auto"/>
              </w:rPr>
              <w:t>American Financial Group, Inc.</w:t>
            </w:r>
          </w:p>
        </w:tc>
      </w:tr>
      <w:tr>
        <w:trPr>
          <w:trHeight w:val="487"/>
        </w:trPr>
        <w:tc>
          <w:tcPr>
            <w:tcW w:w="2900" w:type="dxa"/>
            <w:vAlign w:val="bottom"/>
          </w:tcPr>
          <w:p>
            <w:pPr>
              <w:spacing w:after="0"/>
              <w:rPr>
                <w:sz w:val="20"/>
                <w:szCs w:val="20"/>
                <w:color w:val="auto"/>
              </w:rPr>
            </w:pPr>
            <w:r>
              <w:rPr>
                <w:rFonts w:ascii="Arial" w:cs="Arial" w:eastAsia="Arial" w:hAnsi="Arial"/>
                <w:sz w:val="16"/>
                <w:szCs w:val="16"/>
                <w:color w:val="auto"/>
              </w:rPr>
              <w:t>May 7, 2026</w:t>
            </w:r>
          </w:p>
        </w:tc>
        <w:tc>
          <w:tcPr>
            <w:tcW w:w="2760" w:type="dxa"/>
            <w:vAlign w:val="bottom"/>
          </w:tcPr>
          <w:p>
            <w:pPr>
              <w:ind w:left="2000"/>
              <w:spacing w:after="0"/>
              <w:rPr>
                <w:sz w:val="20"/>
                <w:szCs w:val="20"/>
                <w:color w:val="auto"/>
              </w:rPr>
            </w:pPr>
            <w:r>
              <w:rPr>
                <w:rFonts w:ascii="Arial" w:cs="Arial" w:eastAsia="Arial" w:hAnsi="Arial"/>
                <w:sz w:val="16"/>
                <w:szCs w:val="16"/>
                <w:color w:val="auto"/>
              </w:rPr>
              <w:t>By:</w:t>
            </w:r>
          </w:p>
        </w:tc>
        <w:tc>
          <w:tcPr>
            <w:tcW w:w="55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Brian S. Hertzman</w:t>
            </w:r>
          </w:p>
        </w:tc>
      </w:tr>
      <w:tr>
        <w:trPr>
          <w:trHeight w:val="209"/>
        </w:trPr>
        <w:tc>
          <w:tcPr>
            <w:tcW w:w="29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5520" w:type="dxa"/>
            <w:vAlign w:val="bottom"/>
          </w:tcPr>
          <w:p>
            <w:pPr>
              <w:ind w:left="20"/>
              <w:spacing w:after="0"/>
              <w:rPr>
                <w:sz w:val="20"/>
                <w:szCs w:val="20"/>
                <w:color w:val="auto"/>
              </w:rPr>
            </w:pPr>
            <w:r>
              <w:rPr>
                <w:rFonts w:ascii="Arial" w:cs="Arial" w:eastAsia="Arial" w:hAnsi="Arial"/>
                <w:sz w:val="16"/>
                <w:szCs w:val="16"/>
                <w:color w:val="auto"/>
              </w:rPr>
              <w:t>Brian S. Hertzman</w:t>
            </w:r>
          </w:p>
        </w:tc>
      </w:tr>
      <w:tr>
        <w:trPr>
          <w:trHeight w:val="215"/>
        </w:trPr>
        <w:tc>
          <w:tcPr>
            <w:tcW w:w="29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5520" w:type="dxa"/>
            <w:vAlign w:val="bottom"/>
          </w:tcPr>
          <w:p>
            <w:pPr>
              <w:ind w:left="20"/>
              <w:spacing w:after="0"/>
              <w:rPr>
                <w:sz w:val="20"/>
                <w:szCs w:val="20"/>
                <w:color w:val="auto"/>
              </w:rPr>
            </w:pPr>
            <w:r>
              <w:rPr>
                <w:rFonts w:ascii="Arial" w:cs="Arial" w:eastAsia="Arial" w:hAnsi="Arial"/>
                <w:sz w:val="16"/>
                <w:szCs w:val="16"/>
                <w:color w:val="auto"/>
              </w:rPr>
              <w:t>Senior 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53</w:t>
      </w:r>
    </w:p>
    <w:p>
      <w:pPr>
        <w:sectPr>
          <w:pgSz w:w="11900" w:h="16838" w:orient="portrait"/>
          <w:cols w:equalWidth="0" w:num="1">
            <w:col w:w="11200"/>
          </w:cols>
          <w:pgMar w:left="320" w:top="116" w:right="379" w:bottom="1440" w:gutter="0" w:footer="0" w:header="0"/>
        </w:sectPr>
      </w:pPr>
    </w:p>
    <w:bookmarkStart w:id="54" w:name="page55"/>
    <w:bookmarkEnd w:id="54"/>
    <w:p>
      <w:pPr>
        <w:jc w:val="right"/>
        <w:spacing w:after="0"/>
        <w:rPr>
          <w:sz w:val="20"/>
          <w:szCs w:val="20"/>
          <w:color w:val="auto"/>
        </w:rPr>
      </w:pPr>
      <w:r>
        <w:rPr>
          <w:rFonts w:ascii="Arial" w:cs="Arial" w:eastAsia="Arial" w:hAnsi="Arial"/>
          <w:sz w:val="16"/>
          <w:szCs w:val="16"/>
          <w:b w:val="1"/>
          <w:bCs w:val="1"/>
          <w:color w:val="003366"/>
        </w:rPr>
        <w:t>Exhibit 31(a)</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SARBANES-OXLEY SECTION 302(a) CERTIFICATIONS</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I, Carl H. Lindner III, certify that:</w:t>
      </w:r>
    </w:p>
    <w:p>
      <w:pPr>
        <w:spacing w:after="0" w:line="248"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American Financial Group, Inc.;</w:t>
      </w:r>
    </w:p>
    <w:p>
      <w:pPr>
        <w:spacing w:after="0" w:line="248" w:lineRule="exact"/>
        <w:rPr>
          <w:rFonts w:ascii="Arial" w:cs="Arial" w:eastAsia="Arial" w:hAnsi="Arial"/>
          <w:sz w:val="16"/>
          <w:szCs w:val="16"/>
          <w:color w:val="auto"/>
        </w:rPr>
      </w:pPr>
    </w:p>
    <w:p>
      <w:pPr>
        <w:jc w:val="both"/>
        <w:ind w:left="340" w:right="440" w:hanging="332"/>
        <w:spacing w:after="0" w:line="275" w:lineRule="auto"/>
        <w:tabs>
          <w:tab w:leader="none" w:pos="3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4" w:lineRule="exact"/>
        <w:rPr>
          <w:rFonts w:ascii="Arial" w:cs="Arial" w:eastAsia="Arial" w:hAnsi="Arial"/>
          <w:sz w:val="16"/>
          <w:szCs w:val="16"/>
          <w:color w:val="auto"/>
        </w:rPr>
      </w:pPr>
    </w:p>
    <w:p>
      <w:pPr>
        <w:ind w:left="340" w:right="560" w:hanging="332"/>
        <w:spacing w:after="0" w:line="286" w:lineRule="auto"/>
        <w:tabs>
          <w:tab w:leader="none" w:pos="3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2" w:lineRule="exact"/>
        <w:rPr>
          <w:rFonts w:ascii="Arial" w:cs="Arial" w:eastAsia="Arial" w:hAnsi="Arial"/>
          <w:sz w:val="16"/>
          <w:szCs w:val="16"/>
          <w:color w:val="auto"/>
        </w:rPr>
      </w:pPr>
    </w:p>
    <w:p>
      <w:pPr>
        <w:ind w:left="340" w:right="180" w:hanging="332"/>
        <w:spacing w:after="0" w:line="275" w:lineRule="auto"/>
        <w:tabs>
          <w:tab w:leader="none" w:pos="3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1" w:lineRule="exact"/>
        <w:rPr>
          <w:rFonts w:ascii="Arial" w:cs="Arial" w:eastAsia="Arial" w:hAnsi="Arial"/>
          <w:sz w:val="16"/>
          <w:szCs w:val="16"/>
          <w:color w:val="auto"/>
        </w:rPr>
      </w:pPr>
    </w:p>
    <w:p>
      <w:pPr>
        <w:ind w:left="820" w:right="120" w:hanging="488"/>
        <w:spacing w:after="0" w:line="275" w:lineRule="auto"/>
        <w:tabs>
          <w:tab w:leader="none" w:pos="820" w:val="left"/>
        </w:tabs>
        <w:numPr>
          <w:ilvl w:val="1"/>
          <w:numId w:val="3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4" w:lineRule="exact"/>
        <w:rPr>
          <w:rFonts w:ascii="Arial" w:cs="Arial" w:eastAsia="Arial" w:hAnsi="Arial"/>
          <w:sz w:val="16"/>
          <w:szCs w:val="16"/>
          <w:color w:val="auto"/>
        </w:rPr>
      </w:pPr>
    </w:p>
    <w:p>
      <w:pPr>
        <w:ind w:left="820" w:right="20" w:hanging="488"/>
        <w:spacing w:after="0" w:line="266" w:lineRule="auto"/>
        <w:tabs>
          <w:tab w:leader="none" w:pos="820" w:val="left"/>
        </w:tabs>
        <w:numPr>
          <w:ilvl w:val="1"/>
          <w:numId w:val="3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1" w:lineRule="exact"/>
        <w:rPr>
          <w:rFonts w:ascii="Arial" w:cs="Arial" w:eastAsia="Arial" w:hAnsi="Arial"/>
          <w:sz w:val="16"/>
          <w:szCs w:val="16"/>
          <w:color w:val="auto"/>
        </w:rPr>
      </w:pPr>
    </w:p>
    <w:p>
      <w:pPr>
        <w:jc w:val="both"/>
        <w:ind w:left="820" w:right="660" w:hanging="488"/>
        <w:spacing w:after="0" w:line="286" w:lineRule="auto"/>
        <w:tabs>
          <w:tab w:leader="none" w:pos="811" w:val="left"/>
        </w:tabs>
        <w:numPr>
          <w:ilvl w:val="1"/>
          <w:numId w:val="3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6" w:lineRule="exact"/>
        <w:rPr>
          <w:rFonts w:ascii="Arial" w:cs="Arial" w:eastAsia="Arial" w:hAnsi="Arial"/>
          <w:sz w:val="16"/>
          <w:szCs w:val="16"/>
          <w:color w:val="auto"/>
        </w:rPr>
      </w:pPr>
    </w:p>
    <w:p>
      <w:pPr>
        <w:ind w:left="820" w:right="220" w:hanging="488"/>
        <w:spacing w:after="0" w:line="286" w:lineRule="auto"/>
        <w:tabs>
          <w:tab w:leader="none" w:pos="820" w:val="left"/>
        </w:tabs>
        <w:numPr>
          <w:ilvl w:val="1"/>
          <w:numId w:val="3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2" w:lineRule="exact"/>
        <w:rPr>
          <w:rFonts w:ascii="Arial" w:cs="Arial" w:eastAsia="Arial" w:hAnsi="Arial"/>
          <w:sz w:val="16"/>
          <w:szCs w:val="16"/>
          <w:color w:val="auto"/>
        </w:rPr>
      </w:pPr>
    </w:p>
    <w:p>
      <w:pPr>
        <w:ind w:left="340" w:right="420" w:hanging="332"/>
        <w:spacing w:after="0" w:line="304" w:lineRule="auto"/>
        <w:tabs>
          <w:tab w:leader="none" w:pos="3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68" w:lineRule="exact"/>
        <w:rPr>
          <w:sz w:val="20"/>
          <w:szCs w:val="20"/>
          <w:color w:val="auto"/>
        </w:rPr>
      </w:pPr>
    </w:p>
    <w:p>
      <w:pPr>
        <w:ind w:left="820" w:right="300" w:hanging="488"/>
        <w:spacing w:after="0" w:line="304" w:lineRule="auto"/>
        <w:tabs>
          <w:tab w:leader="none" w:pos="815" w:val="left"/>
        </w:tabs>
        <w:numPr>
          <w:ilvl w:val="0"/>
          <w:numId w:val="3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6"/>
          <w:szCs w:val="16"/>
          <w:color w:val="auto"/>
        </w:rPr>
      </w:pPr>
    </w:p>
    <w:p>
      <w:pPr>
        <w:ind w:left="820" w:right="240" w:hanging="488"/>
        <w:spacing w:after="0" w:line="286" w:lineRule="auto"/>
        <w:tabs>
          <w:tab w:leader="none" w:pos="815" w:val="left"/>
        </w:tabs>
        <w:numPr>
          <w:ilvl w:val="0"/>
          <w:numId w:val="34"/>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37" w:lineRule="exact"/>
        <w:rPr>
          <w:sz w:val="20"/>
          <w:szCs w:val="20"/>
          <w:color w:val="auto"/>
        </w:rPr>
      </w:pPr>
    </w:p>
    <w:p>
      <w:pPr>
        <w:ind w:left="440"/>
        <w:spacing w:after="0"/>
        <w:tabs>
          <w:tab w:leader="none" w:pos="5800" w:val="left"/>
          <w:tab w:leader="none" w:pos="6240" w:val="left"/>
        </w:tabs>
        <w:rPr>
          <w:sz w:val="20"/>
          <w:szCs w:val="20"/>
          <w:color w:val="auto"/>
        </w:rPr>
      </w:pPr>
      <w:r>
        <w:rPr>
          <w:rFonts w:ascii="Arial" w:cs="Arial" w:eastAsia="Arial" w:hAnsi="Arial"/>
          <w:sz w:val="16"/>
          <w:szCs w:val="16"/>
          <w:color w:val="auto"/>
        </w:rPr>
        <w:t>May 7, 2026</w:t>
      </w:r>
      <w:r>
        <w:rPr>
          <w:sz w:val="20"/>
          <w:szCs w:val="20"/>
          <w:color w:val="auto"/>
        </w:rPr>
        <w:tab/>
      </w:r>
      <w:r>
        <w:rPr>
          <w:rFonts w:ascii="Arial" w:cs="Arial" w:eastAsia="Arial" w:hAnsi="Arial"/>
          <w:sz w:val="16"/>
          <w:szCs w:val="16"/>
          <w:color w:val="auto"/>
        </w:rPr>
        <w:t>By:</w:t>
        <w:tab/>
        <w:t>/s/ Carl H. Lindner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20955</wp:posOffset>
            </wp:positionV>
            <wp:extent cx="282892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26" w:lineRule="exact"/>
        <w:rPr>
          <w:sz w:val="20"/>
          <w:szCs w:val="20"/>
          <w:color w:val="auto"/>
        </w:rPr>
      </w:pPr>
    </w:p>
    <w:p>
      <w:pPr>
        <w:ind w:left="6260"/>
        <w:spacing w:after="0"/>
        <w:rPr>
          <w:sz w:val="20"/>
          <w:szCs w:val="20"/>
          <w:color w:val="auto"/>
        </w:rPr>
      </w:pPr>
      <w:r>
        <w:rPr>
          <w:rFonts w:ascii="Arial" w:cs="Arial" w:eastAsia="Arial" w:hAnsi="Arial"/>
          <w:sz w:val="16"/>
          <w:szCs w:val="16"/>
          <w:color w:val="auto"/>
        </w:rPr>
        <w:t>Carl H. Lindner III</w:t>
      </w:r>
    </w:p>
    <w:p>
      <w:pPr>
        <w:spacing w:after="0" w:line="32" w:lineRule="exact"/>
        <w:rPr>
          <w:sz w:val="20"/>
          <w:szCs w:val="20"/>
          <w:color w:val="auto"/>
        </w:rPr>
      </w:pPr>
    </w:p>
    <w:p>
      <w:pPr>
        <w:ind w:left="6260"/>
        <w:spacing w:after="0"/>
        <w:rPr>
          <w:sz w:val="20"/>
          <w:szCs w:val="20"/>
          <w:color w:val="auto"/>
        </w:rPr>
      </w:pPr>
      <w:r>
        <w:rPr>
          <w:rFonts w:ascii="Arial" w:cs="Arial" w:eastAsia="Arial" w:hAnsi="Arial"/>
          <w:sz w:val="16"/>
          <w:szCs w:val="16"/>
          <w:color w:val="auto"/>
        </w:rPr>
        <w:t>Co-Chief Executive Officer</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E-1</w:t>
      </w:r>
    </w:p>
    <w:p>
      <w:pPr>
        <w:sectPr>
          <w:pgSz w:w="11900" w:h="16838" w:orient="portrait"/>
          <w:cols w:equalWidth="0" w:num="1">
            <w:col w:w="11240"/>
          </w:cols>
          <w:pgMar w:left="320" w:top="895"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16"/>
          <w:szCs w:val="16"/>
          <w:b w:val="1"/>
          <w:bCs w:val="1"/>
          <w:color w:val="003366"/>
        </w:rPr>
        <w:t>Exhibit 31(b)</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SARBANES-OXLEY SECTION 302(a) CERTIFICATIONS</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I, S. Craig Lindner, certify that:</w:t>
      </w:r>
    </w:p>
    <w:p>
      <w:pPr>
        <w:spacing w:after="0" w:line="248" w:lineRule="exact"/>
        <w:rPr>
          <w:sz w:val="20"/>
          <w:szCs w:val="20"/>
          <w:color w:val="auto"/>
        </w:rPr>
      </w:pPr>
    </w:p>
    <w:p>
      <w:pPr>
        <w:ind w:left="340" w:hanging="332"/>
        <w:spacing w:after="0"/>
        <w:tabs>
          <w:tab w:leader="none" w:pos="3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American Financial Group, Inc.;</w:t>
      </w:r>
    </w:p>
    <w:p>
      <w:pPr>
        <w:spacing w:after="0" w:line="248" w:lineRule="exact"/>
        <w:rPr>
          <w:rFonts w:ascii="Arial" w:cs="Arial" w:eastAsia="Arial" w:hAnsi="Arial"/>
          <w:sz w:val="16"/>
          <w:szCs w:val="16"/>
          <w:color w:val="auto"/>
        </w:rPr>
      </w:pPr>
    </w:p>
    <w:p>
      <w:pPr>
        <w:jc w:val="both"/>
        <w:ind w:left="340" w:right="440" w:hanging="332"/>
        <w:spacing w:after="0" w:line="275" w:lineRule="auto"/>
        <w:tabs>
          <w:tab w:leader="none" w:pos="3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4" w:lineRule="exact"/>
        <w:rPr>
          <w:rFonts w:ascii="Arial" w:cs="Arial" w:eastAsia="Arial" w:hAnsi="Arial"/>
          <w:sz w:val="16"/>
          <w:szCs w:val="16"/>
          <w:color w:val="auto"/>
        </w:rPr>
      </w:pPr>
    </w:p>
    <w:p>
      <w:pPr>
        <w:ind w:left="340" w:right="560" w:hanging="332"/>
        <w:spacing w:after="0" w:line="286" w:lineRule="auto"/>
        <w:tabs>
          <w:tab w:leader="none" w:pos="3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2" w:lineRule="exact"/>
        <w:rPr>
          <w:rFonts w:ascii="Arial" w:cs="Arial" w:eastAsia="Arial" w:hAnsi="Arial"/>
          <w:sz w:val="16"/>
          <w:szCs w:val="16"/>
          <w:color w:val="auto"/>
        </w:rPr>
      </w:pPr>
    </w:p>
    <w:p>
      <w:pPr>
        <w:ind w:left="340" w:right="180" w:hanging="332"/>
        <w:spacing w:after="0" w:line="275" w:lineRule="auto"/>
        <w:tabs>
          <w:tab w:leader="none" w:pos="3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1" w:lineRule="exact"/>
        <w:rPr>
          <w:rFonts w:ascii="Arial" w:cs="Arial" w:eastAsia="Arial" w:hAnsi="Arial"/>
          <w:sz w:val="16"/>
          <w:szCs w:val="16"/>
          <w:color w:val="auto"/>
        </w:rPr>
      </w:pPr>
    </w:p>
    <w:p>
      <w:pPr>
        <w:ind w:left="820" w:right="120" w:hanging="488"/>
        <w:spacing w:after="0" w:line="275" w:lineRule="auto"/>
        <w:tabs>
          <w:tab w:leader="none" w:pos="820" w:val="left"/>
        </w:tabs>
        <w:numPr>
          <w:ilvl w:val="1"/>
          <w:numId w:val="3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4" w:lineRule="exact"/>
        <w:rPr>
          <w:rFonts w:ascii="Arial" w:cs="Arial" w:eastAsia="Arial" w:hAnsi="Arial"/>
          <w:sz w:val="16"/>
          <w:szCs w:val="16"/>
          <w:color w:val="auto"/>
        </w:rPr>
      </w:pPr>
    </w:p>
    <w:p>
      <w:pPr>
        <w:ind w:left="820" w:right="20" w:hanging="488"/>
        <w:spacing w:after="0" w:line="266" w:lineRule="auto"/>
        <w:tabs>
          <w:tab w:leader="none" w:pos="820" w:val="left"/>
        </w:tabs>
        <w:numPr>
          <w:ilvl w:val="1"/>
          <w:numId w:val="35"/>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1" w:lineRule="exact"/>
        <w:rPr>
          <w:rFonts w:ascii="Arial" w:cs="Arial" w:eastAsia="Arial" w:hAnsi="Arial"/>
          <w:sz w:val="16"/>
          <w:szCs w:val="16"/>
          <w:color w:val="auto"/>
        </w:rPr>
      </w:pPr>
    </w:p>
    <w:p>
      <w:pPr>
        <w:jc w:val="both"/>
        <w:ind w:left="820" w:right="660" w:hanging="488"/>
        <w:spacing w:after="0" w:line="286" w:lineRule="auto"/>
        <w:tabs>
          <w:tab w:leader="none" w:pos="811" w:val="left"/>
        </w:tabs>
        <w:numPr>
          <w:ilvl w:val="1"/>
          <w:numId w:val="3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6" w:lineRule="exact"/>
        <w:rPr>
          <w:rFonts w:ascii="Arial" w:cs="Arial" w:eastAsia="Arial" w:hAnsi="Arial"/>
          <w:sz w:val="16"/>
          <w:szCs w:val="16"/>
          <w:color w:val="auto"/>
        </w:rPr>
      </w:pPr>
    </w:p>
    <w:p>
      <w:pPr>
        <w:ind w:left="820" w:right="220" w:hanging="488"/>
        <w:spacing w:after="0" w:line="286" w:lineRule="auto"/>
        <w:tabs>
          <w:tab w:leader="none" w:pos="820" w:val="left"/>
        </w:tabs>
        <w:numPr>
          <w:ilvl w:val="1"/>
          <w:numId w:val="3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2" w:lineRule="exact"/>
        <w:rPr>
          <w:rFonts w:ascii="Arial" w:cs="Arial" w:eastAsia="Arial" w:hAnsi="Arial"/>
          <w:sz w:val="16"/>
          <w:szCs w:val="16"/>
          <w:color w:val="auto"/>
        </w:rPr>
      </w:pPr>
    </w:p>
    <w:p>
      <w:pPr>
        <w:ind w:left="340" w:right="420" w:hanging="332"/>
        <w:spacing w:after="0" w:line="304" w:lineRule="auto"/>
        <w:tabs>
          <w:tab w:leader="none" w:pos="3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68" w:lineRule="exact"/>
        <w:rPr>
          <w:sz w:val="20"/>
          <w:szCs w:val="20"/>
          <w:color w:val="auto"/>
        </w:rPr>
      </w:pPr>
    </w:p>
    <w:p>
      <w:pPr>
        <w:ind w:left="820" w:right="300" w:hanging="488"/>
        <w:spacing w:after="0" w:line="304" w:lineRule="auto"/>
        <w:tabs>
          <w:tab w:leader="none" w:pos="815" w:val="left"/>
        </w:tabs>
        <w:numPr>
          <w:ilvl w:val="0"/>
          <w:numId w:val="3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6"/>
          <w:szCs w:val="16"/>
          <w:color w:val="auto"/>
        </w:rPr>
      </w:pPr>
    </w:p>
    <w:p>
      <w:pPr>
        <w:ind w:left="820" w:right="240" w:hanging="488"/>
        <w:spacing w:after="0" w:line="286" w:lineRule="auto"/>
        <w:tabs>
          <w:tab w:leader="none" w:pos="815" w:val="left"/>
        </w:tabs>
        <w:numPr>
          <w:ilvl w:val="0"/>
          <w:numId w:val="36"/>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37" w:lineRule="exact"/>
        <w:rPr>
          <w:sz w:val="20"/>
          <w:szCs w:val="20"/>
          <w:color w:val="auto"/>
        </w:rPr>
      </w:pPr>
    </w:p>
    <w:p>
      <w:pPr>
        <w:ind w:left="440"/>
        <w:spacing w:after="0"/>
        <w:tabs>
          <w:tab w:leader="none" w:pos="5800" w:val="left"/>
          <w:tab w:leader="none" w:pos="6240" w:val="left"/>
        </w:tabs>
        <w:rPr>
          <w:sz w:val="20"/>
          <w:szCs w:val="20"/>
          <w:color w:val="auto"/>
        </w:rPr>
      </w:pPr>
      <w:r>
        <w:rPr>
          <w:rFonts w:ascii="Arial" w:cs="Arial" w:eastAsia="Arial" w:hAnsi="Arial"/>
          <w:sz w:val="16"/>
          <w:szCs w:val="16"/>
          <w:color w:val="auto"/>
        </w:rPr>
        <w:t>May 7, 2026</w:t>
      </w:r>
      <w:r>
        <w:rPr>
          <w:sz w:val="20"/>
          <w:szCs w:val="20"/>
          <w:color w:val="auto"/>
        </w:rPr>
        <w:tab/>
      </w:r>
      <w:r>
        <w:rPr>
          <w:rFonts w:ascii="Arial" w:cs="Arial" w:eastAsia="Arial" w:hAnsi="Arial"/>
          <w:sz w:val="16"/>
          <w:szCs w:val="16"/>
          <w:color w:val="auto"/>
        </w:rPr>
        <w:t>By:</w:t>
        <w:tab/>
        <w:t>/s/ S. Craig Lindner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20955</wp:posOffset>
            </wp:positionV>
            <wp:extent cx="282892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26" w:lineRule="exact"/>
        <w:rPr>
          <w:sz w:val="20"/>
          <w:szCs w:val="20"/>
          <w:color w:val="auto"/>
        </w:rPr>
      </w:pPr>
    </w:p>
    <w:p>
      <w:pPr>
        <w:ind w:left="6260"/>
        <w:spacing w:after="0"/>
        <w:rPr>
          <w:sz w:val="20"/>
          <w:szCs w:val="20"/>
          <w:color w:val="auto"/>
        </w:rPr>
      </w:pPr>
      <w:r>
        <w:rPr>
          <w:rFonts w:ascii="Arial" w:cs="Arial" w:eastAsia="Arial" w:hAnsi="Arial"/>
          <w:sz w:val="16"/>
          <w:szCs w:val="16"/>
          <w:color w:val="auto"/>
        </w:rPr>
        <w:t>S. Craig Lindner</w:t>
      </w:r>
    </w:p>
    <w:p>
      <w:pPr>
        <w:spacing w:after="0" w:line="32" w:lineRule="exact"/>
        <w:rPr>
          <w:sz w:val="20"/>
          <w:szCs w:val="20"/>
          <w:color w:val="auto"/>
        </w:rPr>
      </w:pPr>
    </w:p>
    <w:p>
      <w:pPr>
        <w:ind w:left="6260"/>
        <w:spacing w:after="0"/>
        <w:rPr>
          <w:sz w:val="20"/>
          <w:szCs w:val="20"/>
          <w:color w:val="auto"/>
        </w:rPr>
      </w:pPr>
      <w:r>
        <w:rPr>
          <w:rFonts w:ascii="Arial" w:cs="Arial" w:eastAsia="Arial" w:hAnsi="Arial"/>
          <w:sz w:val="16"/>
          <w:szCs w:val="16"/>
          <w:color w:val="auto"/>
        </w:rPr>
        <w:t>Co-Chief Executive Officer</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E-2</w:t>
      </w:r>
    </w:p>
    <w:p>
      <w:pPr>
        <w:sectPr>
          <w:pgSz w:w="11900" w:h="16838" w:orient="portrait"/>
          <w:cols w:equalWidth="0" w:num="1">
            <w:col w:w="11240"/>
          </w:cols>
          <w:pgMar w:left="320" w:top="895"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16"/>
          <w:szCs w:val="16"/>
          <w:b w:val="1"/>
          <w:bCs w:val="1"/>
          <w:color w:val="003366"/>
        </w:rPr>
        <w:t>Exhibit 31(c)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SARBANES-OXLEY SECTION 302(a) CERTIFICATIONS</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I, Brian S. Hertzman, certify that:</w:t>
      </w:r>
    </w:p>
    <w:p>
      <w:pPr>
        <w:spacing w:after="0" w:line="248" w:lineRule="exact"/>
        <w:rPr>
          <w:sz w:val="20"/>
          <w:szCs w:val="20"/>
          <w:color w:val="auto"/>
        </w:rPr>
      </w:pPr>
    </w:p>
    <w:p>
      <w:pPr>
        <w:ind w:left="340" w:hanging="332"/>
        <w:spacing w:after="0"/>
        <w:tabs>
          <w:tab w:leader="none" w:pos="3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American Financial Group, Inc.;</w:t>
      </w:r>
    </w:p>
    <w:p>
      <w:pPr>
        <w:spacing w:after="0" w:line="248" w:lineRule="exact"/>
        <w:rPr>
          <w:rFonts w:ascii="Arial" w:cs="Arial" w:eastAsia="Arial" w:hAnsi="Arial"/>
          <w:sz w:val="16"/>
          <w:szCs w:val="16"/>
          <w:color w:val="auto"/>
        </w:rPr>
      </w:pPr>
    </w:p>
    <w:p>
      <w:pPr>
        <w:jc w:val="both"/>
        <w:ind w:left="340" w:right="440" w:hanging="332"/>
        <w:spacing w:after="0" w:line="275" w:lineRule="auto"/>
        <w:tabs>
          <w:tab w:leader="none" w:pos="3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4" w:lineRule="exact"/>
        <w:rPr>
          <w:rFonts w:ascii="Arial" w:cs="Arial" w:eastAsia="Arial" w:hAnsi="Arial"/>
          <w:sz w:val="16"/>
          <w:szCs w:val="16"/>
          <w:color w:val="auto"/>
        </w:rPr>
      </w:pPr>
    </w:p>
    <w:p>
      <w:pPr>
        <w:ind w:left="340" w:right="560" w:hanging="332"/>
        <w:spacing w:after="0" w:line="286" w:lineRule="auto"/>
        <w:tabs>
          <w:tab w:leader="none" w:pos="3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2" w:lineRule="exact"/>
        <w:rPr>
          <w:rFonts w:ascii="Arial" w:cs="Arial" w:eastAsia="Arial" w:hAnsi="Arial"/>
          <w:sz w:val="16"/>
          <w:szCs w:val="16"/>
          <w:color w:val="auto"/>
        </w:rPr>
      </w:pPr>
    </w:p>
    <w:p>
      <w:pPr>
        <w:ind w:left="340" w:right="180" w:hanging="332"/>
        <w:spacing w:after="0" w:line="275" w:lineRule="auto"/>
        <w:tabs>
          <w:tab w:leader="none" w:pos="3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1" w:lineRule="exact"/>
        <w:rPr>
          <w:rFonts w:ascii="Arial" w:cs="Arial" w:eastAsia="Arial" w:hAnsi="Arial"/>
          <w:sz w:val="16"/>
          <w:szCs w:val="16"/>
          <w:color w:val="auto"/>
        </w:rPr>
      </w:pPr>
    </w:p>
    <w:p>
      <w:pPr>
        <w:ind w:left="820" w:right="120" w:hanging="488"/>
        <w:spacing w:after="0" w:line="275" w:lineRule="auto"/>
        <w:tabs>
          <w:tab w:leader="none" w:pos="820" w:val="left"/>
        </w:tabs>
        <w:numPr>
          <w:ilvl w:val="1"/>
          <w:numId w:val="3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4" w:lineRule="exact"/>
        <w:rPr>
          <w:rFonts w:ascii="Arial" w:cs="Arial" w:eastAsia="Arial" w:hAnsi="Arial"/>
          <w:sz w:val="16"/>
          <w:szCs w:val="16"/>
          <w:color w:val="auto"/>
        </w:rPr>
      </w:pPr>
    </w:p>
    <w:p>
      <w:pPr>
        <w:ind w:left="820" w:right="20" w:hanging="488"/>
        <w:spacing w:after="0" w:line="266" w:lineRule="auto"/>
        <w:tabs>
          <w:tab w:leader="none" w:pos="820" w:val="left"/>
        </w:tabs>
        <w:numPr>
          <w:ilvl w:val="1"/>
          <w:numId w:val="3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1" w:lineRule="exact"/>
        <w:rPr>
          <w:rFonts w:ascii="Arial" w:cs="Arial" w:eastAsia="Arial" w:hAnsi="Arial"/>
          <w:sz w:val="16"/>
          <w:szCs w:val="16"/>
          <w:color w:val="auto"/>
        </w:rPr>
      </w:pPr>
    </w:p>
    <w:p>
      <w:pPr>
        <w:jc w:val="both"/>
        <w:ind w:left="820" w:right="660" w:hanging="488"/>
        <w:spacing w:after="0" w:line="286" w:lineRule="auto"/>
        <w:tabs>
          <w:tab w:leader="none" w:pos="811" w:val="left"/>
        </w:tabs>
        <w:numPr>
          <w:ilvl w:val="1"/>
          <w:numId w:val="3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6" w:lineRule="exact"/>
        <w:rPr>
          <w:rFonts w:ascii="Arial" w:cs="Arial" w:eastAsia="Arial" w:hAnsi="Arial"/>
          <w:sz w:val="16"/>
          <w:szCs w:val="16"/>
          <w:color w:val="auto"/>
        </w:rPr>
      </w:pPr>
    </w:p>
    <w:p>
      <w:pPr>
        <w:ind w:left="820" w:right="220" w:hanging="488"/>
        <w:spacing w:after="0" w:line="286" w:lineRule="auto"/>
        <w:tabs>
          <w:tab w:leader="none" w:pos="820" w:val="left"/>
        </w:tabs>
        <w:numPr>
          <w:ilvl w:val="1"/>
          <w:numId w:val="3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2" w:lineRule="exact"/>
        <w:rPr>
          <w:rFonts w:ascii="Arial" w:cs="Arial" w:eastAsia="Arial" w:hAnsi="Arial"/>
          <w:sz w:val="16"/>
          <w:szCs w:val="16"/>
          <w:color w:val="auto"/>
        </w:rPr>
      </w:pPr>
    </w:p>
    <w:p>
      <w:pPr>
        <w:ind w:left="340" w:right="420" w:hanging="332"/>
        <w:spacing w:after="0" w:line="304" w:lineRule="auto"/>
        <w:tabs>
          <w:tab w:leader="none" w:pos="3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68" w:lineRule="exact"/>
        <w:rPr>
          <w:sz w:val="20"/>
          <w:szCs w:val="20"/>
          <w:color w:val="auto"/>
        </w:rPr>
      </w:pPr>
    </w:p>
    <w:p>
      <w:pPr>
        <w:ind w:left="820" w:right="300" w:hanging="488"/>
        <w:spacing w:after="0" w:line="304" w:lineRule="auto"/>
        <w:tabs>
          <w:tab w:leader="none" w:pos="815" w:val="left"/>
        </w:tabs>
        <w:numPr>
          <w:ilvl w:val="0"/>
          <w:numId w:val="3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6"/>
          <w:szCs w:val="16"/>
          <w:color w:val="auto"/>
        </w:rPr>
      </w:pPr>
    </w:p>
    <w:p>
      <w:pPr>
        <w:ind w:left="820" w:right="240" w:hanging="488"/>
        <w:spacing w:after="0" w:line="286" w:lineRule="auto"/>
        <w:tabs>
          <w:tab w:leader="none" w:pos="815" w:val="left"/>
        </w:tabs>
        <w:numPr>
          <w:ilvl w:val="0"/>
          <w:numId w:val="38"/>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37" w:lineRule="exact"/>
        <w:rPr>
          <w:sz w:val="20"/>
          <w:szCs w:val="20"/>
          <w:color w:val="auto"/>
        </w:rPr>
      </w:pPr>
    </w:p>
    <w:p>
      <w:pPr>
        <w:ind w:left="440"/>
        <w:spacing w:after="0"/>
        <w:tabs>
          <w:tab w:leader="none" w:pos="5800" w:val="left"/>
          <w:tab w:leader="none" w:pos="6240" w:val="left"/>
        </w:tabs>
        <w:rPr>
          <w:sz w:val="20"/>
          <w:szCs w:val="20"/>
          <w:color w:val="auto"/>
        </w:rPr>
      </w:pPr>
      <w:r>
        <w:rPr>
          <w:rFonts w:ascii="Arial" w:cs="Arial" w:eastAsia="Arial" w:hAnsi="Arial"/>
          <w:sz w:val="16"/>
          <w:szCs w:val="16"/>
          <w:color w:val="auto"/>
        </w:rPr>
        <w:t>May 7, 2026</w:t>
      </w:r>
      <w:r>
        <w:rPr>
          <w:sz w:val="20"/>
          <w:szCs w:val="20"/>
          <w:color w:val="auto"/>
        </w:rPr>
        <w:tab/>
      </w:r>
      <w:r>
        <w:rPr>
          <w:rFonts w:ascii="Arial" w:cs="Arial" w:eastAsia="Arial" w:hAnsi="Arial"/>
          <w:sz w:val="16"/>
          <w:szCs w:val="16"/>
          <w:color w:val="auto"/>
        </w:rPr>
        <w:t>By:</w:t>
        <w:tab/>
        <w:t>/s/ Brian S. Hertzman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20955</wp:posOffset>
            </wp:positionV>
            <wp:extent cx="282892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26" w:lineRule="exact"/>
        <w:rPr>
          <w:sz w:val="20"/>
          <w:szCs w:val="20"/>
          <w:color w:val="auto"/>
        </w:rPr>
      </w:pPr>
    </w:p>
    <w:p>
      <w:pPr>
        <w:ind w:left="6260"/>
        <w:spacing w:after="0"/>
        <w:rPr>
          <w:sz w:val="20"/>
          <w:szCs w:val="20"/>
          <w:color w:val="auto"/>
        </w:rPr>
      </w:pPr>
      <w:r>
        <w:rPr>
          <w:rFonts w:ascii="Arial" w:cs="Arial" w:eastAsia="Arial" w:hAnsi="Arial"/>
          <w:sz w:val="16"/>
          <w:szCs w:val="16"/>
          <w:color w:val="auto"/>
        </w:rPr>
        <w:t>Brian S. Hertzman</w:t>
      </w:r>
    </w:p>
    <w:p>
      <w:pPr>
        <w:spacing w:after="0" w:line="32" w:lineRule="exact"/>
        <w:rPr>
          <w:sz w:val="20"/>
          <w:szCs w:val="20"/>
          <w:color w:val="auto"/>
        </w:rPr>
      </w:pPr>
    </w:p>
    <w:p>
      <w:pPr>
        <w:ind w:left="6260"/>
        <w:spacing w:after="0"/>
        <w:rPr>
          <w:sz w:val="20"/>
          <w:szCs w:val="20"/>
          <w:color w:val="auto"/>
        </w:rPr>
      </w:pPr>
      <w:r>
        <w:rPr>
          <w:rFonts w:ascii="Arial" w:cs="Arial" w:eastAsia="Arial" w:hAnsi="Arial"/>
          <w:sz w:val="16"/>
          <w:szCs w:val="16"/>
          <w:color w:val="auto"/>
        </w:rPr>
        <w:t>Senior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E-3</w:t>
      </w:r>
    </w:p>
    <w:p>
      <w:pPr>
        <w:sectPr>
          <w:pgSz w:w="11900" w:h="16838" w:orient="portrait"/>
          <w:cols w:equalWidth="0" w:num="1">
            <w:col w:w="11240"/>
          </w:cols>
          <w:pgMar w:left="320" w:top="895"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16"/>
          <w:szCs w:val="16"/>
          <w:b w:val="1"/>
          <w:bCs w:val="1"/>
          <w:color w:val="003366"/>
        </w:rPr>
        <w:t>Exhibit 32</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CERTIFICATION OF CHIEF EXECUTIVE OFFICERS AND CHIEF FINANCIAL OFFICER</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PURSUANT TO SECTION 906 OF THE SARBANES-OXLEY ACT OF 2002</w:t>
      </w:r>
    </w:p>
    <w:p>
      <w:pPr>
        <w:spacing w:after="0" w:line="200" w:lineRule="exact"/>
        <w:rPr>
          <w:sz w:val="20"/>
          <w:szCs w:val="20"/>
          <w:color w:val="auto"/>
        </w:rPr>
      </w:pPr>
    </w:p>
    <w:p>
      <w:pPr>
        <w:spacing w:after="0" w:line="275" w:lineRule="exact"/>
        <w:rPr>
          <w:sz w:val="20"/>
          <w:szCs w:val="20"/>
          <w:color w:val="auto"/>
        </w:rPr>
      </w:pPr>
    </w:p>
    <w:p>
      <w:pPr>
        <w:jc w:val="both"/>
        <w:ind w:right="240"/>
        <w:spacing w:after="0" w:line="275" w:lineRule="auto"/>
        <w:rPr>
          <w:sz w:val="20"/>
          <w:szCs w:val="20"/>
          <w:color w:val="auto"/>
        </w:rPr>
      </w:pPr>
      <w:r>
        <w:rPr>
          <w:rFonts w:ascii="Arial" w:cs="Arial" w:eastAsia="Arial" w:hAnsi="Arial"/>
          <w:sz w:val="16"/>
          <w:szCs w:val="16"/>
          <w:color w:val="auto"/>
        </w:rPr>
        <w:t>In connection with the filing with the Securities and Exchange Commission of the Quarterly Report of American Financial Group, Inc. (the “Company”) on Form 10-Q for the period ended March 31, 2026 (the “Report”), the undersigned officers of the Company, certify, pursuant to section 906 of the Sarbanes-Oxley Act of 2002, that to the best of their knowledge:</w:t>
      </w:r>
    </w:p>
    <w:p>
      <w:pPr>
        <w:spacing w:after="0" w:line="191"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Act of 1934; and</w:t>
      </w:r>
    </w:p>
    <w:p>
      <w:pPr>
        <w:spacing w:after="0" w:line="261" w:lineRule="exact"/>
        <w:rPr>
          <w:rFonts w:ascii="Arial" w:cs="Arial" w:eastAsia="Arial" w:hAnsi="Arial"/>
          <w:sz w:val="16"/>
          <w:szCs w:val="16"/>
          <w:color w:val="auto"/>
        </w:rPr>
      </w:pPr>
    </w:p>
    <w:p>
      <w:pPr>
        <w:ind w:left="660" w:hanging="328"/>
        <w:spacing w:after="0"/>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ectPr>
          <w:pgSz w:w="11900" w:h="16838" w:orient="portrait"/>
          <w:cols w:equalWidth="0" w:num="1">
            <w:col w:w="11240"/>
          </w:cols>
          <w:pgMar w:left="320" w:top="895" w:right="339" w:bottom="1440" w:gutter="0" w:footer="0" w:header="0"/>
        </w:sectPr>
      </w:pPr>
    </w:p>
    <w:p>
      <w:pPr>
        <w:spacing w:after="0" w:line="329" w:lineRule="exact"/>
        <w:rPr>
          <w:sz w:val="20"/>
          <w:szCs w:val="20"/>
          <w:color w:val="auto"/>
        </w:rPr>
      </w:pPr>
    </w:p>
    <w:p>
      <w:pPr>
        <w:ind w:left="20"/>
        <w:spacing w:after="0"/>
        <w:rPr>
          <w:sz w:val="20"/>
          <w:szCs w:val="20"/>
          <w:color w:val="auto"/>
        </w:rPr>
      </w:pPr>
      <w:r>
        <w:rPr>
          <w:rFonts w:ascii="Arial" w:cs="Arial" w:eastAsia="Arial" w:hAnsi="Arial"/>
          <w:sz w:val="16"/>
          <w:szCs w:val="16"/>
          <w:color w:val="auto"/>
        </w:rPr>
        <w:t>May 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11226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122680" cy="825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Date</w:t>
      </w:r>
    </w:p>
    <w:p>
      <w:pPr>
        <w:spacing w:after="0" w:line="200" w:lineRule="exact"/>
        <w:rPr>
          <w:sz w:val="20"/>
          <w:szCs w:val="20"/>
          <w:color w:val="auto"/>
        </w:rPr>
      </w:pPr>
    </w:p>
    <w:p>
      <w:pPr>
        <w:spacing w:after="0" w:line="318" w:lineRule="exact"/>
        <w:rPr>
          <w:sz w:val="20"/>
          <w:szCs w:val="20"/>
          <w:color w:val="auto"/>
        </w:rPr>
      </w:pPr>
    </w:p>
    <w:p>
      <w:pPr>
        <w:ind w:left="20"/>
        <w:spacing w:after="0"/>
        <w:rPr>
          <w:sz w:val="20"/>
          <w:szCs w:val="20"/>
          <w:color w:val="auto"/>
        </w:rPr>
      </w:pPr>
      <w:r>
        <w:rPr>
          <w:rFonts w:ascii="Arial" w:cs="Arial" w:eastAsia="Arial" w:hAnsi="Arial"/>
          <w:sz w:val="16"/>
          <w:szCs w:val="16"/>
          <w:color w:val="auto"/>
        </w:rPr>
        <w:t>May 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11226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122680" cy="8890"/>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Date</w:t>
      </w:r>
    </w:p>
    <w:p>
      <w:pPr>
        <w:spacing w:after="0" w:line="200" w:lineRule="exact"/>
        <w:rPr>
          <w:sz w:val="20"/>
          <w:szCs w:val="20"/>
          <w:color w:val="auto"/>
        </w:rPr>
      </w:pPr>
    </w:p>
    <w:p>
      <w:pPr>
        <w:spacing w:after="0" w:line="318" w:lineRule="exact"/>
        <w:rPr>
          <w:sz w:val="20"/>
          <w:szCs w:val="20"/>
          <w:color w:val="auto"/>
        </w:rPr>
      </w:pPr>
    </w:p>
    <w:p>
      <w:pPr>
        <w:ind w:left="20"/>
        <w:spacing w:after="0"/>
        <w:rPr>
          <w:sz w:val="20"/>
          <w:szCs w:val="20"/>
          <w:color w:val="auto"/>
        </w:rPr>
      </w:pPr>
      <w:r>
        <w:rPr>
          <w:rFonts w:ascii="Arial" w:cs="Arial" w:eastAsia="Arial" w:hAnsi="Arial"/>
          <w:sz w:val="16"/>
          <w:szCs w:val="16"/>
          <w:color w:val="auto"/>
        </w:rPr>
        <w:t>May 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11226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122680" cy="825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spacing w:after="0"/>
        <w:tabs>
          <w:tab w:leader="none" w:pos="360" w:val="left"/>
        </w:tabs>
        <w:rPr>
          <w:sz w:val="20"/>
          <w:szCs w:val="20"/>
          <w:color w:val="auto"/>
        </w:rPr>
      </w:pPr>
      <w:r>
        <w:rPr>
          <w:rFonts w:ascii="Arial" w:cs="Arial" w:eastAsia="Arial" w:hAnsi="Arial"/>
          <w:sz w:val="16"/>
          <w:szCs w:val="16"/>
          <w:color w:val="auto"/>
        </w:rPr>
        <w:t>By:</w:t>
        <w:tab/>
        <w:t>/s/ S. Craig Lindner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230505</wp:posOffset>
            </wp:positionH>
            <wp:positionV relativeFrom="paragraph">
              <wp:posOffset>20955</wp:posOffset>
            </wp:positionV>
            <wp:extent cx="319722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2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S. Craig Lindner</w:t>
      </w:r>
    </w:p>
    <w:p>
      <w:pPr>
        <w:spacing w:after="0" w:line="3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Co-Chief Executive Officer</w:t>
      </w:r>
    </w:p>
    <w:p>
      <w:pPr>
        <w:spacing w:after="0" w:line="302" w:lineRule="exact"/>
        <w:rPr>
          <w:sz w:val="20"/>
          <w:szCs w:val="20"/>
          <w:color w:val="auto"/>
        </w:rPr>
      </w:pPr>
    </w:p>
    <w:p>
      <w:pPr>
        <w:spacing w:after="0"/>
        <w:tabs>
          <w:tab w:leader="none" w:pos="360" w:val="left"/>
        </w:tabs>
        <w:rPr>
          <w:sz w:val="20"/>
          <w:szCs w:val="20"/>
          <w:color w:val="auto"/>
        </w:rPr>
      </w:pPr>
      <w:r>
        <w:rPr>
          <w:rFonts w:ascii="Arial" w:cs="Arial" w:eastAsia="Arial" w:hAnsi="Arial"/>
          <w:sz w:val="16"/>
          <w:szCs w:val="16"/>
          <w:color w:val="auto"/>
        </w:rPr>
        <w:t>By:</w:t>
        <w:tab/>
        <w:t>/s/ Carl H. Lindner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230505</wp:posOffset>
            </wp:positionH>
            <wp:positionV relativeFrom="paragraph">
              <wp:posOffset>20955</wp:posOffset>
            </wp:positionV>
            <wp:extent cx="319722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197225" cy="8890"/>
                    </a:xfrm>
                    <a:prstGeom prst="rect">
                      <a:avLst/>
                    </a:prstGeom>
                    <a:noFill/>
                  </pic:spPr>
                </pic:pic>
              </a:graphicData>
            </a:graphic>
          </wp:anchor>
        </w:drawing>
      </w:r>
    </w:p>
    <w:p>
      <w:pPr>
        <w:spacing w:after="0" w:line="2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Carl H. Lindner III</w:t>
      </w:r>
    </w:p>
    <w:p>
      <w:pPr>
        <w:spacing w:after="0" w:line="3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Co-Chief Executive Officer</w:t>
      </w:r>
    </w:p>
    <w:p>
      <w:pPr>
        <w:spacing w:after="0" w:line="302" w:lineRule="exact"/>
        <w:rPr>
          <w:sz w:val="20"/>
          <w:szCs w:val="20"/>
          <w:color w:val="auto"/>
        </w:rPr>
      </w:pPr>
    </w:p>
    <w:p>
      <w:pPr>
        <w:spacing w:after="0"/>
        <w:tabs>
          <w:tab w:leader="none" w:pos="360" w:val="left"/>
        </w:tabs>
        <w:rPr>
          <w:sz w:val="20"/>
          <w:szCs w:val="20"/>
          <w:color w:val="auto"/>
        </w:rPr>
      </w:pPr>
      <w:r>
        <w:rPr>
          <w:rFonts w:ascii="Arial" w:cs="Arial" w:eastAsia="Arial" w:hAnsi="Arial"/>
          <w:sz w:val="16"/>
          <w:szCs w:val="16"/>
          <w:color w:val="auto"/>
        </w:rPr>
        <w:t>By:</w:t>
        <w:tab/>
        <w:t>/s/ Brian S. Hertzman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230505</wp:posOffset>
            </wp:positionH>
            <wp:positionV relativeFrom="paragraph">
              <wp:posOffset>20955</wp:posOffset>
            </wp:positionV>
            <wp:extent cx="319722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2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Brian S. Hertzman</w:t>
      </w:r>
    </w:p>
    <w:p>
      <w:pPr>
        <w:spacing w:after="0" w:line="3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Senior Vice President and Chief Financial Officer</w:t>
      </w:r>
    </w:p>
    <w:p>
      <w:pPr>
        <w:spacing w:after="0" w:line="200" w:lineRule="exact"/>
        <w:rPr>
          <w:sz w:val="20"/>
          <w:szCs w:val="20"/>
          <w:color w:val="auto"/>
        </w:rPr>
      </w:pPr>
    </w:p>
    <w:p>
      <w:pPr>
        <w:sectPr>
          <w:pgSz w:w="11900" w:h="16838" w:orient="portrait"/>
          <w:cols w:equalWidth="0" w:num="2">
            <w:col w:w="4500" w:space="720"/>
            <w:col w:w="6020"/>
          </w:cols>
          <w:pgMar w:left="320" w:top="89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left="2560" w:right="2540"/>
        <w:spacing w:after="0" w:line="296" w:lineRule="auto"/>
        <w:rPr>
          <w:sz w:val="20"/>
          <w:szCs w:val="20"/>
          <w:color w:val="auto"/>
        </w:rPr>
      </w:pPr>
      <w:r>
        <w:rPr>
          <w:rFonts w:ascii="Arial" w:cs="Arial" w:eastAsia="Arial" w:hAnsi="Arial"/>
          <w:sz w:val="16"/>
          <w:szCs w:val="16"/>
          <w:b w:val="1"/>
          <w:bCs w:val="1"/>
          <w:color w:val="auto"/>
        </w:rPr>
        <w:t>A signed original of this written statement will be retained by the Registrant and furnished to the Securities and Exchange Commission or its staff upon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E-4</w:t>
      </w:r>
    </w:p>
    <w:sectPr>
      <w:pgSz w:w="11900" w:h="16838" w:orient="portrait"/>
      <w:cols w:equalWidth="0" w:num="1">
        <w:col w:w="11240"/>
      </w:cols>
      <w:pgMar w:left="320" w:top="895"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1."/>
      <w:numFmt w:val="upperLetter"/>
      <w:start w:val="7"/>
    </w:lvl>
  </w:abstractNum>
  <w:abstractNum w:abstractNumId="3">
    <w:nsid w:val="333AB105"/>
    <w:multiLevelType w:val="hybridMultilevel"/>
    <w:lvl w:ilvl="0">
      <w:lvlJc w:val="left"/>
      <w:lvlText w:val="%1."/>
      <w:numFmt w:val="upperLetter"/>
      <w:start w:val="1"/>
    </w:lvl>
  </w:abstractNum>
  <w:abstractNum w:abstractNumId="4">
    <w:nsid w:val="721DA317"/>
    <w:multiLevelType w:val="hybridMultilevel"/>
    <w:lvl w:ilvl="0">
      <w:lvlJc w:val="left"/>
      <w:lvlText w:val="(%1)"/>
      <w:numFmt w:val="lowerRoman"/>
      <w:start w:val="3"/>
    </w:lvl>
  </w:abstractNum>
  <w:abstractNum w:abstractNumId="5">
    <w:nsid w:val="2443A858"/>
    <w:multiLevelType w:val="hybridMultilevel"/>
    <w:lvl w:ilvl="0">
      <w:lvlJc w:val="left"/>
      <w:lvlText w:val="%1."/>
      <w:numFmt w:val="upperLetter"/>
      <w:start w:val="2"/>
    </w:lvl>
  </w:abstractNum>
  <w:abstractNum w:abstractNumId="6">
    <w:nsid w:val="2D1D5AE9"/>
    <w:multiLevelType w:val="hybridMultilevel"/>
    <w:lvl w:ilvl="0">
      <w:lvlJc w:val="left"/>
      <w:lvlText w:val="(*)"/>
      <w:numFmt w:val="bullet"/>
      <w:start w:val="1"/>
    </w:lvl>
  </w:abstractNum>
  <w:abstractNum w:abstractNumId="7">
    <w:nsid w:val="6763845E"/>
    <w:multiLevelType w:val="hybridMultilevel"/>
    <w:lvl w:ilvl="0">
      <w:lvlJc w:val="left"/>
      <w:lvlText w:val="(%1)"/>
      <w:numFmt w:val="lowerLetter"/>
      <w:start w:val="1"/>
    </w:lvl>
  </w:abstractNum>
  <w:abstractNum w:abstractNumId="8">
    <w:nsid w:val="75A2A8D4"/>
    <w:multiLevelType w:val="hybridMultilevel"/>
    <w:lvl w:ilvl="0">
      <w:lvlJc w:val="left"/>
      <w:lvlText w:val="%1."/>
      <w:numFmt w:val="upperLetter"/>
      <w:start w:val="3"/>
    </w:lvl>
  </w:abstractNum>
  <w:abstractNum w:abstractNumId="9">
    <w:nsid w:val="8EDBDAB"/>
    <w:multiLevelType w:val="hybridMultilevel"/>
    <w:lvl w:ilvl="0">
      <w:lvlJc w:val="left"/>
      <w:lvlText w:val="%1."/>
      <w:numFmt w:val="upperLetter"/>
      <w:start w:val="4"/>
    </w:lvl>
  </w:abstractNum>
  <w:abstractNum w:abstractNumId="10">
    <w:nsid w:val="79838CB2"/>
    <w:multiLevelType w:val="hybridMultilevel"/>
    <w:lvl w:ilvl="0">
      <w:lvlJc w:val="left"/>
      <w:lvlText w:val="(*)"/>
      <w:numFmt w:val="bullet"/>
      <w:start w:val="1"/>
    </w:lvl>
  </w:abstractNum>
  <w:abstractNum w:abstractNumId="11">
    <w:nsid w:val="4353D0CD"/>
    <w:multiLevelType w:val="hybridMultilevel"/>
    <w:lvl w:ilvl="0">
      <w:lvlJc w:val="left"/>
      <w:lvlText w:val="(*)"/>
      <w:numFmt w:val="bullet"/>
      <w:start w:val="1"/>
    </w:lvl>
  </w:abstractNum>
  <w:abstractNum w:abstractNumId="12">
    <w:nsid w:val="B03E0C6"/>
    <w:multiLevelType w:val="hybridMultilevel"/>
    <w:lvl w:ilvl="0">
      <w:lvlJc w:val="left"/>
      <w:lvlText w:val="(*)"/>
      <w:numFmt w:val="bullet"/>
      <w:start w:val="1"/>
    </w:lvl>
  </w:abstractNum>
  <w:abstractNum w:abstractNumId="13">
    <w:nsid w:val="189A769B"/>
    <w:multiLevelType w:val="hybridMultilevel"/>
    <w:lvl w:ilvl="0">
      <w:lvlJc w:val="left"/>
      <w:lvlText w:val="(*)"/>
      <w:numFmt w:val="bullet"/>
      <w:start w:val="1"/>
    </w:lvl>
  </w:abstractNum>
  <w:abstractNum w:abstractNumId="14">
    <w:nsid w:val="54E49EB4"/>
    <w:multiLevelType w:val="hybridMultilevel"/>
    <w:lvl w:ilvl="0">
      <w:lvlJc w:val="left"/>
      <w:lvlText w:val="%1."/>
      <w:numFmt w:val="upperLetter"/>
      <w:start w:val="5"/>
    </w:lvl>
  </w:abstractNum>
  <w:abstractNum w:abstractNumId="15">
    <w:nsid w:val="71F32454"/>
    <w:multiLevelType w:val="hybridMultilevel"/>
    <w:lvl w:ilvl="0">
      <w:lvlJc w:val="left"/>
      <w:lvlText w:val="%1."/>
      <w:numFmt w:val="upperLetter"/>
      <w:start w:val="6"/>
    </w:lvl>
  </w:abstractNum>
  <w:abstractNum w:abstractNumId="16">
    <w:nsid w:val="2CA88611"/>
    <w:multiLevelType w:val="hybridMultilevel"/>
    <w:lvl w:ilvl="0">
      <w:lvlJc w:val="left"/>
      <w:lvlText w:val="(*)"/>
      <w:numFmt w:val="bullet"/>
      <w:start w:val="1"/>
    </w:lvl>
  </w:abstractNum>
  <w:abstractNum w:abstractNumId="17">
    <w:nsid w:val="836C40E"/>
    <w:multiLevelType w:val="hybridMultilevel"/>
    <w:lvl w:ilvl="0">
      <w:lvlJc w:val="left"/>
      <w:lvlText w:val="%1."/>
      <w:numFmt w:val="upperLetter"/>
      <w:start w:val="7"/>
    </w:lvl>
  </w:abstractNum>
  <w:abstractNum w:abstractNumId="18">
    <w:nsid w:val="2901D82"/>
    <w:multiLevelType w:val="hybridMultilevel"/>
    <w:lvl w:ilvl="0">
      <w:lvlJc w:val="left"/>
      <w:lvlText w:val="%1."/>
      <w:numFmt w:val="upperLetter"/>
      <w:start w:val="8"/>
    </w:lvl>
  </w:abstractNum>
  <w:abstractNum w:abstractNumId="19">
    <w:nsid w:val="3A95F874"/>
    <w:multiLevelType w:val="hybridMultilevel"/>
    <w:lvl w:ilvl="0">
      <w:lvlJc w:val="left"/>
      <w:lvlText w:val="%1."/>
      <w:numFmt w:val="upperLetter"/>
      <w:start w:val="9"/>
    </w:lvl>
  </w:abstractNum>
  <w:abstractNum w:abstractNumId="20">
    <w:nsid w:val="8138641"/>
    <w:multiLevelType w:val="hybridMultilevel"/>
    <w:lvl w:ilvl="0">
      <w:lvlJc w:val="left"/>
      <w:lvlText w:val="(*)"/>
      <w:numFmt w:val="bullet"/>
      <w:start w:val="1"/>
    </w:lvl>
  </w:abstractNum>
  <w:abstractNum w:abstractNumId="21">
    <w:nsid w:val="1E7FF521"/>
    <w:multiLevelType w:val="hybridMultilevel"/>
    <w:lvl w:ilvl="0">
      <w:lvlJc w:val="left"/>
      <w:lvlText w:val="%1."/>
      <w:numFmt w:val="upperLetter"/>
      <w:start w:val="10"/>
    </w:lvl>
  </w:abstractNum>
  <w:abstractNum w:abstractNumId="22">
    <w:nsid w:val="7C3DBD3D"/>
    <w:multiLevelType w:val="hybridMultilevel"/>
    <w:lvl w:ilvl="0">
      <w:lvlJc w:val="left"/>
      <w:lvlText w:val="(*)"/>
      <w:numFmt w:val="bullet"/>
      <w:start w:val="1"/>
    </w:lvl>
  </w:abstractNum>
  <w:abstractNum w:abstractNumId="23">
    <w:nsid w:val="737B8DDC"/>
    <w:multiLevelType w:val="hybridMultilevel"/>
    <w:lvl w:ilvl="0">
      <w:lvlJc w:val="left"/>
      <w:lvlText w:val="%1."/>
      <w:numFmt w:val="upperLetter"/>
      <w:start w:val="11"/>
    </w:lvl>
  </w:abstractNum>
  <w:abstractNum w:abstractNumId="24">
    <w:nsid w:val="6CEAF087"/>
    <w:multiLevelType w:val="hybridMultilevel"/>
    <w:lvl w:ilvl="0">
      <w:lvlJc w:val="left"/>
      <w:lvlText w:val="%1."/>
      <w:numFmt w:val="upperLetter"/>
      <w:start w:val="12"/>
    </w:lvl>
  </w:abstractNum>
  <w:abstractNum w:abstractNumId="25">
    <w:nsid w:val="22221A70"/>
    <w:multiLevelType w:val="hybridMultilevel"/>
    <w:lvl w:ilvl="0">
      <w:lvlJc w:val="left"/>
      <w:lvlText w:val="%1."/>
      <w:numFmt w:val="upperLetter"/>
      <w:start w:val="13"/>
    </w:lvl>
  </w:abstractNum>
  <w:abstractNum w:abstractNumId="26">
    <w:nsid w:val="4516DDE9"/>
    <w:multiLevelType w:val="hybridMultilevel"/>
    <w:lvl w:ilvl="0">
      <w:lvlJc w:val="left"/>
      <w:lvlText w:val="•"/>
      <w:numFmt w:val="bullet"/>
      <w:start w:val="1"/>
    </w:lvl>
  </w:abstractNum>
  <w:abstractNum w:abstractNumId="27">
    <w:nsid w:val="3006C83E"/>
    <w:multiLevelType w:val="hybridMultilevel"/>
    <w:lvl w:ilvl="0">
      <w:lvlJc w:val="left"/>
      <w:lvlText w:val="•"/>
      <w:numFmt w:val="bullet"/>
      <w:start w:val="1"/>
    </w:lvl>
  </w:abstractNum>
  <w:abstractNum w:abstractNumId="28">
    <w:nsid w:val="614FD4A1"/>
    <w:multiLevelType w:val="hybridMultilevel"/>
    <w:lvl w:ilvl="0">
      <w:lvlJc w:val="left"/>
      <w:lvlText w:val="(*)"/>
      <w:numFmt w:val="bullet"/>
      <w:start w:val="1"/>
    </w:lvl>
  </w:abstractNum>
  <w:abstractNum w:abstractNumId="29">
    <w:nsid w:val="419AC241"/>
    <w:multiLevelType w:val="hybridMultilevel"/>
    <w:lvl w:ilvl="0">
      <w:lvlJc w:val="left"/>
      <w:lvlText w:val="(%1)"/>
      <w:numFmt w:val="lowerLetter"/>
      <w:start w:val="1"/>
    </w:lvl>
  </w:abstractNum>
  <w:abstractNum w:abstractNumId="30">
    <w:nsid w:val="5577F8E1"/>
    <w:multiLevelType w:val="hybridMultilevel"/>
    <w:lvl w:ilvl="0">
      <w:lvlJc w:val="left"/>
      <w:lvlText w:val="(*)"/>
      <w:numFmt w:val="bullet"/>
      <w:start w:val="1"/>
    </w:lvl>
  </w:abstractNum>
  <w:abstractNum w:abstractNumId="31">
    <w:nsid w:val="440BADFC"/>
    <w:multiLevelType w:val="hybridMultilevel"/>
    <w:lvl w:ilvl="0">
      <w:lvlJc w:val="left"/>
      <w:lvlText w:val="(*)"/>
      <w:numFmt w:val="bullet"/>
      <w:start w:val="1"/>
    </w:lvl>
  </w:abstractNum>
  <w:abstractNum w:abstractNumId="32">
    <w:nsid w:val="5072367"/>
    <w:multiLevelType w:val="hybridMultilevel"/>
    <w:lvl w:ilvl="0">
      <w:lvlJc w:val="left"/>
      <w:lvlText w:val="%1."/>
      <w:numFmt w:val="decimal"/>
      <w:start w:val="1"/>
    </w:lvl>
    <w:lvl w:ilvl="1">
      <w:lvlJc w:val="left"/>
      <w:lvlText w:val="%2."/>
      <w:numFmt w:val="lowerLetter"/>
      <w:start w:val="1"/>
    </w:lvl>
  </w:abstractNum>
  <w:abstractNum w:abstractNumId="33">
    <w:nsid w:val="3804823E"/>
    <w:multiLevelType w:val="hybridMultilevel"/>
    <w:lvl w:ilvl="0">
      <w:lvlJc w:val="left"/>
      <w:lvlText w:val="%1)"/>
      <w:numFmt w:val="lowerLetter"/>
      <w:start w:val="1"/>
    </w:lvl>
  </w:abstractNum>
  <w:abstractNum w:abstractNumId="34">
    <w:nsid w:val="77465F01"/>
    <w:multiLevelType w:val="hybridMultilevel"/>
    <w:lvl w:ilvl="0">
      <w:lvlJc w:val="left"/>
      <w:lvlText w:val="%1."/>
      <w:numFmt w:val="decimal"/>
      <w:start w:val="1"/>
    </w:lvl>
    <w:lvl w:ilvl="1">
      <w:lvlJc w:val="left"/>
      <w:lvlText w:val="%2."/>
      <w:numFmt w:val="lowerLetter"/>
      <w:start w:val="1"/>
    </w:lvl>
  </w:abstractNum>
  <w:abstractNum w:abstractNumId="35">
    <w:nsid w:val="7724C67E"/>
    <w:multiLevelType w:val="hybridMultilevel"/>
    <w:lvl w:ilvl="0">
      <w:lvlJc w:val="left"/>
      <w:lvlText w:val="%1)"/>
      <w:numFmt w:val="lowerLetter"/>
      <w:start w:val="1"/>
    </w:lvl>
  </w:abstractNum>
  <w:abstractNum w:abstractNumId="36">
    <w:nsid w:val="5C482A97"/>
    <w:multiLevelType w:val="hybridMultilevel"/>
    <w:lvl w:ilvl="0">
      <w:lvlJc w:val="left"/>
      <w:lvlText w:val="%1."/>
      <w:numFmt w:val="decimal"/>
      <w:start w:val="1"/>
    </w:lvl>
    <w:lvl w:ilvl="1">
      <w:lvlJc w:val="left"/>
      <w:lvlText w:val="%2."/>
      <w:numFmt w:val="lowerLetter"/>
      <w:start w:val="1"/>
    </w:lvl>
  </w:abstractNum>
  <w:abstractNum w:abstractNumId="37">
    <w:nsid w:val="2463B9EA"/>
    <w:multiLevelType w:val="hybridMultilevel"/>
    <w:lvl w:ilvl="0">
      <w:lvlJc w:val="left"/>
      <w:lvlText w:val="%1)"/>
      <w:numFmt w:val="lowerLetter"/>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2026-05-07T14:36:44Z</dcterms:created>
  <dcterms:modified xsi:type="dcterms:W3CDTF">2026-05-07T14:36:44Z</dcterms:modified>
</cp:coreProperties>
</file>