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 the Quarterly Period Ended September 30, 2025</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jc w:val="center"/>
        <w:ind w:left="3920" w:right="1680" w:hanging="2181"/>
        <w:spacing w:after="0" w:line="271"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172720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003366"/>
        </w:rPr>
        <w:t>AMERICAN FINANCIAL GROUP, INC.</w:t>
      </w:r>
    </w:p>
    <w:p>
      <w:pPr>
        <w:spacing w:after="0" w:line="137"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2"/>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1"/>
                <w:szCs w:val="21"/>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151" w:lineRule="exact"/>
        <w:rPr>
          <w:sz w:val="24"/>
          <w:szCs w:val="24"/>
          <w:color w:val="auto"/>
        </w:rPr>
      </w:pPr>
    </w:p>
    <w:p>
      <w:pPr>
        <w:ind w:right="100"/>
        <w:spacing w:after="0" w:line="23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100"/>
        <w:spacing w:after="0" w:line="23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182" w:right="399" w:bottom="1440" w:gutter="0" w:footer="0" w:header="0"/>
        </w:sectPr>
      </w:pPr>
    </w:p>
    <w:p>
      <w:pPr>
        <w:spacing w:after="0" w:line="63"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6">
            <w:col w:w="3420" w:space="100"/>
            <w:col w:w="640" w:space="720"/>
            <w:col w:w="1280" w:space="100"/>
            <w:col w:w="700" w:space="720"/>
            <w:col w:w="1660" w:space="100"/>
            <w:col w:w="1740"/>
          </w:cols>
          <w:pgMar w:left="320" w:top="1182" w:right="399" w:bottom="1440" w:gutter="0" w:footer="0" w:header="0"/>
          <w:type w:val="continuous"/>
        </w:sectPr>
      </w:pPr>
    </w:p>
    <w:p>
      <w:pPr>
        <w:spacing w:after="0" w:line="21"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8" w:lineRule="exact"/>
        <w:rPr>
          <w:sz w:val="24"/>
          <w:szCs w:val="24"/>
          <w:color w:val="auto"/>
        </w:rPr>
      </w:pPr>
    </w:p>
    <w:p>
      <w:pPr>
        <w:sectPr>
          <w:pgSz w:w="11900" w:h="16838" w:orient="portrait"/>
          <w:cols w:equalWidth="0" w:num="4">
            <w:col w:w="4940" w:space="100"/>
            <w:col w:w="300" w:space="720"/>
            <w:col w:w="2140" w:space="80"/>
            <w:col w:w="2900"/>
          </w:cols>
          <w:pgMar w:left="320" w:top="1182" w:right="399" w:bottom="1440" w:gutter="0" w:footer="0" w:header="0"/>
          <w:type w:val="continuous"/>
        </w:sectPr>
      </w:pPr>
    </w:p>
    <w:p>
      <w:pPr>
        <w:ind w:right="1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As of November 1, 2025, there were 83,403,572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182"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7"/>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3 —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5</w:t>
            </w:r>
          </w:p>
        </w:tc>
        <w:tc>
          <w:tcPr>
            <w:tcW w:w="9980" w:type="dxa"/>
            <w:vAlign w:val="bottom"/>
          </w:tcPr>
          <w:p>
            <w:pPr>
              <w:ind w:left="20"/>
              <w:spacing w:after="0"/>
              <w:rPr>
                <w:sz w:val="20"/>
                <w:szCs w:val="20"/>
                <w:color w:val="auto"/>
              </w:rPr>
            </w:pPr>
            <w:r>
              <w:rPr>
                <w:rFonts w:ascii="Arial" w:cs="Arial" w:eastAsia="Arial" w:hAnsi="Arial"/>
                <w:sz w:val="16"/>
                <w:szCs w:val="16"/>
                <w:color w:val="0000FF"/>
              </w:rPr>
              <w:t>— Other Information</w:t>
            </w:r>
          </w:p>
        </w:tc>
        <w:tc>
          <w:tcPr>
            <w:tcW w:w="400" w:type="dxa"/>
            <w:vAlign w:val="bottom"/>
          </w:tcPr>
          <w:p>
            <w:pPr>
              <w:jc w:val="right"/>
              <w:spacing w:after="0"/>
              <w:rPr>
                <w:sz w:val="20"/>
                <w:szCs w:val="20"/>
                <w:color w:val="auto"/>
              </w:rPr>
            </w:pPr>
            <w:r>
              <w:rPr>
                <w:rFonts w:ascii="Arial" w:cs="Arial" w:eastAsia="Arial" w:hAnsi="Arial"/>
                <w:sz w:val="16"/>
                <w:szCs w:val="16"/>
                <w:color w:val="0000FF"/>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1"/>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color w:val="auto"/>
              </w:rPr>
              <w:t>September 30,</w:t>
            </w:r>
          </w:p>
        </w:tc>
        <w:tc>
          <w:tcPr>
            <w:tcW w:w="16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Fixed maturities, available for sale at fair value (amortized cost — $10,588 and $10,687; allowance for</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10,518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15"/>
        </w:trPr>
        <w:tc>
          <w:tcPr>
            <w:tcW w:w="8400" w:type="dxa"/>
            <w:vAlign w:val="bottom"/>
          </w:tcPr>
          <w:p>
            <w:pPr>
              <w:ind w:left="1000"/>
              <w:spacing w:after="0"/>
              <w:rPr>
                <w:sz w:val="20"/>
                <w:szCs w:val="20"/>
                <w:color w:val="auto"/>
              </w:rPr>
            </w:pPr>
            <w:r>
              <w:rPr>
                <w:rFonts w:ascii="Arial" w:cs="Arial" w:eastAsia="Arial" w:hAnsi="Arial"/>
                <w:sz w:val="16"/>
                <w:szCs w:val="16"/>
                <w:color w:val="auto"/>
              </w:rPr>
              <w:t>expected credit losses of $16 and $34)</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9"/>
        </w:trPr>
        <w:tc>
          <w:tcPr>
            <w:tcW w:w="840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15,852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840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14,179</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3,584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Common Stock, no par value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980"/>
              <w:spacing w:after="0" w:line="162" w:lineRule="exact"/>
              <w:rPr>
                <w:sz w:val="20"/>
                <w:szCs w:val="20"/>
                <w:color w:val="auto"/>
              </w:rPr>
            </w:pPr>
            <w:r>
              <w:rPr>
                <w:rFonts w:ascii="Arial" w:cs="Arial" w:eastAsia="Arial" w:hAnsi="Arial"/>
                <w:sz w:val="16"/>
                <w:szCs w:val="16"/>
                <w:color w:val="auto"/>
              </w:rPr>
              <w:t>— 200,000,000 shares authorized</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8400" w:type="dxa"/>
            <w:vAlign w:val="bottom"/>
          </w:tcPr>
          <w:p>
            <w:pPr>
              <w:ind w:left="980"/>
              <w:spacing w:after="0"/>
              <w:rPr>
                <w:sz w:val="20"/>
                <w:szCs w:val="20"/>
                <w:color w:val="auto"/>
              </w:rPr>
            </w:pPr>
            <w:r>
              <w:rPr>
                <w:rFonts w:ascii="Arial" w:cs="Arial" w:eastAsia="Arial" w:hAnsi="Arial"/>
                <w:sz w:val="16"/>
                <w:szCs w:val="16"/>
                <w:color w:val="auto"/>
              </w:rPr>
              <w:t>— 83,401,430 and 83,978,258 shares outstanding</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20" w:type="dxa"/>
            <w:vAlign w:val="bottom"/>
          </w:tcPr>
          <w:p>
            <w:pPr>
              <w:spacing w:after="0"/>
              <w:rPr>
                <w:sz w:val="16"/>
                <w:szCs w:val="16"/>
                <w:color w:val="auto"/>
              </w:rPr>
            </w:pPr>
          </w:p>
        </w:tc>
        <w:tc>
          <w:tcPr>
            <w:tcW w:w="3040" w:type="dxa"/>
            <w:vAlign w:val="bottom"/>
            <w:gridSpan w:val="6"/>
          </w:tcPr>
          <w:p>
            <w:pPr>
              <w:ind w:left="32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40" w:type="dxa"/>
            <w:vAlign w:val="bottom"/>
            <w:gridSpan w:val="4"/>
          </w:tcPr>
          <w:p>
            <w:pPr>
              <w:jc w:val="right"/>
              <w:ind w:right="279"/>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2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2024</w:t>
            </w:r>
          </w:p>
        </w:tc>
      </w:tr>
      <w:tr>
        <w:trPr>
          <w:trHeight w:val="20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Net earned premiums</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2,055</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5,186</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Realized gains (losses) on:</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5220" w:type="dxa"/>
            <w:vAlign w:val="bottom"/>
          </w:tcPr>
          <w:p>
            <w:pPr>
              <w:ind w:left="680"/>
              <w:spacing w:after="0"/>
              <w:rPr>
                <w:sz w:val="20"/>
                <w:szCs w:val="20"/>
                <w:color w:val="auto"/>
              </w:rPr>
            </w:pPr>
            <w:r>
              <w:rPr>
                <w:rFonts w:ascii="Arial" w:cs="Arial" w:eastAsia="Arial" w:hAnsi="Arial"/>
                <w:sz w:val="16"/>
                <w:szCs w:val="16"/>
                <w:color w:val="auto"/>
              </w:rPr>
              <w:t>Subsidiaries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22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17"/>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0"/>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w:t>
            </w:r>
          </w:p>
        </w:tc>
      </w:tr>
      <w:tr>
        <w:trPr>
          <w:trHeight w:val="216"/>
        </w:trPr>
        <w:tc>
          <w:tcPr>
            <w:tcW w:w="5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Losses and loss adjustment expenses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3,279</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Commissions and other underwriting expenses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Interest charges on borrowed money</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5"/>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r>
      <w:tr>
        <w:trPr>
          <w:trHeight w:val="210"/>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5,371</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basic earnings</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20" w:type="dxa"/>
            <w:vAlign w:val="bottom"/>
          </w:tcPr>
          <w:p>
            <w:pPr>
              <w:ind w:left="360"/>
              <w:spacing w:after="0"/>
              <w:rPr>
                <w:sz w:val="20"/>
                <w:szCs w:val="20"/>
                <w:color w:val="auto"/>
              </w:rPr>
            </w:pPr>
            <w:r>
              <w:rPr>
                <w:rFonts w:ascii="Arial" w:cs="Arial" w:eastAsia="Arial" w:hAnsi="Arial"/>
                <w:sz w:val="16"/>
                <w:szCs w:val="16"/>
                <w:color w:val="auto"/>
              </w:rPr>
              <w:t>Total diluted earnings</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Common Shares:</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220" w:type="dxa"/>
            <w:vAlign w:val="bottom"/>
          </w:tcPr>
          <w:p>
            <w:pPr>
              <w:ind w:left="360"/>
              <w:spacing w:after="0"/>
              <w:rPr>
                <w:sz w:val="20"/>
                <w:szCs w:val="20"/>
                <w:color w:val="auto"/>
              </w:rPr>
            </w:pPr>
            <w:r>
              <w:rPr>
                <w:rFonts w:ascii="Arial" w:cs="Arial" w:eastAsia="Arial" w:hAnsi="Arial"/>
                <w:sz w:val="16"/>
                <w:szCs w:val="16"/>
                <w:color w:val="auto"/>
              </w:rPr>
              <w:t>Basic</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17"/>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gains (losses) on securities arising during</w:t>
            </w: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178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the period</w:t>
            </w:r>
          </w:p>
        </w:tc>
        <w:tc>
          <w:tcPr>
            <w:tcW w:w="10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realized (gains) losses</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included in 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securities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cash flow hedges: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gains (losses) on cash flow hedges arising</w:t>
            </w:r>
          </w:p>
        </w:tc>
        <w:tc>
          <w:tcPr>
            <w:tcW w:w="10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during the period</w:t>
            </w:r>
          </w:p>
        </w:tc>
        <w:tc>
          <w:tcPr>
            <w:tcW w:w="108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investment income included in</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cash flow hedges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comprehensive income, net of tax</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195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376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83,385,661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($0.80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22,269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83,401,430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80" w:type="dxa"/>
            <w:vAlign w:val="bottom"/>
          </w:tcPr>
          <w:p>
            <w:pPr>
              <w:jc w:val="right"/>
              <w:spacing w:after="0"/>
              <w:rPr>
                <w:sz w:val="20"/>
                <w:szCs w:val="20"/>
                <w:color w:val="auto"/>
              </w:rPr>
            </w:pPr>
            <w:r>
              <w:rPr>
                <w:rFonts w:ascii="Arial" w:cs="Arial" w:eastAsia="Arial" w:hAnsi="Arial"/>
                <w:sz w:val="16"/>
                <w:szCs w:val="16"/>
                <w:color w:val="auto"/>
              </w:rPr>
              <w:t>83,897,267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($0.71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1,842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(5,602)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83,923,446</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003366"/>
        </w:rPr>
        <w:t>CONSOLIDATED STATEMENT OF CHANGES IN EQUITY (UNAUDITED) — CONTINUED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83,978,258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($4.40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18,932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166,297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75,833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(788,134)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(43,387)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83,401,430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80" w:type="dxa"/>
            <w:vAlign w:val="bottom"/>
          </w:tcPr>
          <w:p>
            <w:pPr>
              <w:jc w:val="right"/>
              <w:spacing w:after="0"/>
              <w:rPr>
                <w:sz w:val="20"/>
                <w:szCs w:val="20"/>
                <w:color w:val="auto"/>
              </w:rPr>
            </w:pPr>
            <w:r>
              <w:rPr>
                <w:rFonts w:ascii="Arial" w:cs="Arial" w:eastAsia="Arial" w:hAnsi="Arial"/>
                <w:sz w:val="16"/>
                <w:szCs w:val="16"/>
                <w:color w:val="auto"/>
              </w:rPr>
              <w:t>83,635,807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($4.63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110,631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157,681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11,910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(53,362)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(11,295)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83,923,446</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83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2024</w:t>
            </w: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earnings</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Net sales (purchases) of trading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Reinsurance and other receivables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(2,272)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(2,470)</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Insurance claims and reserves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1,988</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Payable to reinsurers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Managed investment entities’ assets/liabilities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operating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8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Mortgage loans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property and equipment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Businesses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Maturities and redemptions of fixed maturities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1,451</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Repayments of mortgage loans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fixed maturities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equity securities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real estate, property and equipment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Cash and cash equivalents of businesses acquired</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investment entities: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Purchases of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(1,577)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(1,383)</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sales and redemptions of investments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1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investing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Additional long-term borrowings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Issuances of Common Stock</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Repurchases of Common Stock</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 on Common Stock</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Issuances of managed investment entities’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1,773</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Retirements of managed investment entities’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(2,584)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r>
      <w:tr>
        <w:trPr>
          <w:trHeight w:val="209"/>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financing activities</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4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320" w:type="dxa"/>
            <w:vAlign w:val="bottom"/>
            <w:gridSpan w:val="2"/>
          </w:tcPr>
          <w:p>
            <w:pPr>
              <w:ind w:left="90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00" w:type="dxa"/>
            <w:vAlign w:val="bottom"/>
          </w:tcPr>
          <w:p>
            <w:pPr>
              <w:spacing w:after="0"/>
              <w:rPr>
                <w:sz w:val="20"/>
                <w:szCs w:val="20"/>
                <w:color w:val="auto"/>
              </w:rPr>
            </w:pPr>
            <w:r>
              <w:rPr>
                <w:rFonts w:ascii="Arial" w:cs="Arial" w:eastAsia="Arial" w:hAnsi="Arial"/>
                <w:sz w:val="20"/>
                <w:szCs w:val="20"/>
                <w:b w:val="1"/>
                <w:bCs w:val="1"/>
                <w:color w:val="003366"/>
              </w:rPr>
              <w:t>A.</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H.</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w w:val="98"/>
              </w:rPr>
              <w:t>Goodwill and Other Intangibles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B.</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Acquisition of Business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I.</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C.</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J.</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Shareholders’ Equity</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D.</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K.</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E.</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L.</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F.</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Derivatives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M.</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bl>
    <w:p>
      <w:pPr>
        <w:spacing w:after="0" w:line="24" w:lineRule="exact"/>
        <w:rPr>
          <w:sz w:val="20"/>
          <w:szCs w:val="20"/>
          <w:color w:val="auto"/>
        </w:rPr>
      </w:pPr>
    </w:p>
    <w:p>
      <w:pPr>
        <w:ind w:left="620" w:hanging="594"/>
        <w:spacing w:after="0"/>
        <w:tabs>
          <w:tab w:leader="none" w:pos="620" w:val="left"/>
        </w:tabs>
        <w:numPr>
          <w:ilvl w:val="0"/>
          <w:numId w:val="3"/>
        </w:numPr>
        <w:rPr>
          <w:rFonts w:ascii="Arial" w:cs="Arial" w:eastAsia="Arial" w:hAnsi="Arial"/>
          <w:sz w:val="20"/>
          <w:szCs w:val="20"/>
          <w:b w:val="1"/>
          <w:bCs w:val="1"/>
          <w:color w:val="003366"/>
        </w:rPr>
      </w:pPr>
      <w:r>
        <w:rPr>
          <w:rFonts w:ascii="Arial" w:cs="Arial" w:eastAsia="Arial" w:hAnsi="Arial"/>
          <w:sz w:val="20"/>
          <w:szCs w:val="20"/>
          <w:b w:val="1"/>
          <w:bCs w:val="1"/>
          <w:color w:val="003366"/>
        </w:rPr>
        <w:t>Managed Investment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00" w:hanging="592"/>
        <w:spacing w:after="0"/>
        <w:tabs>
          <w:tab w:leader="none" w:pos="600" w:val="left"/>
        </w:tabs>
        <w:numPr>
          <w:ilvl w:val="0"/>
          <w:numId w:val="4"/>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58"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w:t>
      </w:r>
      <w:r>
        <w:rPr>
          <w:rFonts w:ascii="Arial" w:cs="Arial" w:eastAsia="Arial" w:hAnsi="Arial"/>
          <w:sz w:val="20"/>
          <w:szCs w:val="20"/>
          <w:b w:val="1"/>
          <w:bCs w:val="1"/>
          <w:color w:val="003366"/>
        </w:rPr>
        <w:t xml:space="preserve"> </w:t>
      </w:r>
      <w:r>
        <w:rPr>
          <w:rFonts w:ascii="Arial" w:cs="Arial" w:eastAsia="Arial" w:hAnsi="Arial"/>
          <w:sz w:val="17"/>
          <w:szCs w:val="17"/>
          <w:color w:val="000000"/>
        </w:rPr>
        <w:t>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19"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September 30, 2025, and prior to the filing of this Form 10-Q, have been evaluated for potential recognition or disclosure herein.</w:t>
      </w:r>
    </w:p>
    <w:p>
      <w:pPr>
        <w:spacing w:after="0" w:line="206" w:lineRule="exact"/>
        <w:rPr>
          <w:sz w:val="20"/>
          <w:szCs w:val="20"/>
          <w:color w:val="auto"/>
        </w:rPr>
      </w:pPr>
    </w:p>
    <w:p>
      <w:pPr>
        <w:jc w:val="both"/>
        <w:ind w:right="560"/>
        <w:spacing w:after="0" w:line="301"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7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Other than the purchase price allocation related to its acquisition of Radion Insurance Holdings, LLC (see </w:t>
      </w:r>
      <w:r>
        <w:rPr>
          <w:rFonts w:ascii="Arial" w:cs="Arial" w:eastAsia="Arial" w:hAnsi="Arial"/>
          <w:sz w:val="17"/>
          <w:szCs w:val="17"/>
          <w:i w:val="1"/>
          <w:iCs w:val="1"/>
          <w:color w:val="000000"/>
        </w:rPr>
        <w:t>Note B — “Acquisition of Business”</w:t>
      </w:r>
      <w:r>
        <w:rPr>
          <w:rFonts w:ascii="Arial" w:cs="Arial" w:eastAsia="Arial" w:hAnsi="Arial"/>
          <w:sz w:val="17"/>
          <w:szCs w:val="17"/>
          <w:color w:val="000000"/>
        </w:rPr>
        <w:t>), AFG did not have any significant nonrecurring fair value measurements in the first nine months of 2025.</w:t>
      </w:r>
    </w:p>
    <w:p>
      <w:pPr>
        <w:spacing w:after="0" w:line="216"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Fixed maturity securities classified as “available for sale” are reported at fair value with unrealized gains and losses included in</w:t>
      </w:r>
      <w:r>
        <w:rPr>
          <w:rFonts w:ascii="Arial" w:cs="Arial" w:eastAsia="Arial" w:hAnsi="Arial"/>
          <w:sz w:val="20"/>
          <w:szCs w:val="20"/>
          <w:b w:val="1"/>
          <w:bCs w:val="1"/>
          <w:color w:val="003366"/>
        </w:rPr>
        <w:t xml:space="preserve"> </w:t>
      </w:r>
      <w:r>
        <w:rPr>
          <w:rFonts w:ascii="Arial" w:cs="Arial" w:eastAsia="Arial" w:hAnsi="Arial"/>
          <w:sz w:val="17"/>
          <w:szCs w:val="17"/>
          <w:color w:val="000000"/>
        </w:rPr>
        <w:t>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Structured securities subject to prepayment risk are amortized over a period based on estimated future principal payments, including prepayments. Prepayment assumptions are reviewed periodically and adjusted to reflect actual prepayments and changes in expectations.</w:t>
      </w:r>
    </w:p>
    <w:p>
      <w:pPr>
        <w:spacing w:after="0" w:line="206"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Equity securities are reported at fair value with holding gains and losses generally recorded in realized gains (losses) on securities. However, AFG records holding gains and losses on certain securities classified at purchase as “fair value through net investment income” in net investment income.</w:t>
      </w:r>
    </w:p>
    <w:p>
      <w:pPr>
        <w:spacing w:after="0" w:line="171"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w:t>
      </w: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3366"/>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3366"/>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(net of any existing allowance)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of that security to fair value.</w:t>
      </w:r>
    </w:p>
    <w:p>
      <w:pPr>
        <w:spacing w:after="0" w:line="208"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mortgage-backed securities (“MBS”)) and a total return swap related to its deferred compensation obligations to employees.</w:t>
      </w:r>
    </w:p>
    <w:p>
      <w:pPr>
        <w:spacing w:after="0" w:line="229"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14"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11"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0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0"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200" w:lineRule="exact"/>
        <w:rPr>
          <w:sz w:val="20"/>
          <w:szCs w:val="20"/>
          <w:color w:val="auto"/>
        </w:rPr>
      </w:pPr>
    </w:p>
    <w:p>
      <w:pPr>
        <w:jc w:val="both"/>
        <w:ind w:right="780"/>
        <w:spacing w:after="0" w:line="266" w:lineRule="auto"/>
        <w:rPr>
          <w:sz w:val="20"/>
          <w:szCs w:val="20"/>
          <w:color w:val="auto"/>
        </w:rPr>
      </w:pPr>
      <w:r>
        <w:rPr>
          <w:rFonts w:ascii="Arial" w:cs="Arial" w:eastAsia="Arial" w:hAnsi="Arial"/>
          <w:sz w:val="17"/>
          <w:szCs w:val="17"/>
          <w:color w:val="auto"/>
        </w:rPr>
        <w:t>At September 30, 2025, assets and liabilities of managed investment entities included $49 million in assets and $41 million in liabilities of a temporary warehousing entity that was established to provide AFG the ability to form a new CLO. At closing, all warehoused assets will be transferred to the new CLO and the liabilities will be repaid.</w:t>
      </w: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liabilities stated for unpaid claims and for expenses of investigation and adjustment</w:t>
      </w:r>
      <w:r>
        <w:rPr>
          <w:rFonts w:ascii="Arial" w:cs="Arial" w:eastAsia="Arial" w:hAnsi="Arial"/>
          <w:sz w:val="20"/>
          <w:szCs w:val="20"/>
          <w:b w:val="1"/>
          <w:bCs w:val="1"/>
          <w:color w:val="003366"/>
        </w:rPr>
        <w:t xml:space="preserve"> </w:t>
      </w:r>
      <w:r>
        <w:rPr>
          <w:rFonts w:ascii="Arial" w:cs="Arial" w:eastAsia="Arial" w:hAnsi="Arial"/>
          <w:sz w:val="17"/>
          <w:szCs w:val="17"/>
          <w:color w:val="000000"/>
        </w:rPr>
        <w:t>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w:t>
      </w:r>
    </w:p>
    <w:p>
      <w:pPr>
        <w:spacing w:after="0" w:line="2" w:lineRule="exact"/>
        <w:rPr>
          <w:sz w:val="20"/>
          <w:szCs w:val="20"/>
          <w:color w:val="auto"/>
        </w:rPr>
      </w:pPr>
    </w:p>
    <w:p>
      <w:pPr>
        <w:ind w:right="20" w:firstLine="8"/>
        <w:spacing w:after="0" w:line="256"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10"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193" w:lineRule="exact"/>
        <w:rPr>
          <w:sz w:val="20"/>
          <w:szCs w:val="20"/>
          <w:color w:val="auto"/>
        </w:rPr>
      </w:pPr>
    </w:p>
    <w:p>
      <w:pPr>
        <w:jc w:val="both"/>
        <w:ind w:right="320"/>
        <w:spacing w:after="0" w:line="249"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facility are included in other assets in AFG’s Balance Sheet.</w:t>
      </w:r>
    </w:p>
    <w:p>
      <w:pPr>
        <w:spacing w:after="0" w:line="211"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At September 30, 2025, AFG has a $224 million lease liability included in other liabilities and a lease right-of-use asset of $201 million included in other assets compared to $232 million and $212 million, respectively, at December 31, 2024.</w:t>
      </w:r>
    </w:p>
    <w:p>
      <w:pPr>
        <w:spacing w:after="0" w:line="184"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28"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16"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84" w:lineRule="exact"/>
        <w:rPr>
          <w:sz w:val="20"/>
          <w:szCs w:val="20"/>
          <w:color w:val="auto"/>
        </w:rPr>
      </w:pPr>
    </w:p>
    <w:p>
      <w:pPr>
        <w:ind w:right="440"/>
        <w:spacing w:after="0" w:line="249"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13"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184" w:lineRule="exact"/>
        <w:rPr>
          <w:sz w:val="20"/>
          <w:szCs w:val="20"/>
          <w:color w:val="auto"/>
        </w:rPr>
      </w:pPr>
    </w:p>
    <w:p>
      <w:pPr>
        <w:jc w:val="both"/>
        <w:ind w:right="400"/>
        <w:spacing w:after="0" w:line="251"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 of</w:t>
      </w:r>
      <w:r>
        <w:rPr>
          <w:rFonts w:ascii="Arial" w:cs="Arial" w:eastAsia="Arial" w:hAnsi="Arial"/>
          <w:sz w:val="20"/>
          <w:szCs w:val="20"/>
          <w:b w:val="1"/>
          <w:bCs w:val="1"/>
          <w:color w:val="003366"/>
        </w:rPr>
        <w:t xml:space="preserve"> </w:t>
      </w:r>
      <w:r>
        <w:rPr>
          <w:rFonts w:ascii="Arial" w:cs="Arial" w:eastAsia="Arial" w:hAnsi="Arial"/>
          <w:sz w:val="17"/>
          <w:szCs w:val="17"/>
          <w:color w:val="000000"/>
        </w:rPr>
        <w:t>diluted earnings per share includes the following adjustments to weighted average common shares related to stock-based compensation plans: third quarter of both 2025 and 2024 — none; first nine months of 2025 — less than 0.1 million and 2024 — 0.1 million.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third quarter or the first nine months of 2025 or 2024.</w:t>
      </w:r>
    </w:p>
    <w:p>
      <w:pPr>
        <w:spacing w:after="0" w:line="249"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4" w:lineRule="exact"/>
        <w:rPr>
          <w:sz w:val="20"/>
          <w:szCs w:val="20"/>
          <w:color w:val="auto"/>
        </w:rPr>
      </w:pPr>
    </w:p>
    <w:p>
      <w:pPr>
        <w:ind w:left="600" w:hanging="592"/>
        <w:spacing w:after="0"/>
        <w:tabs>
          <w:tab w:leader="none" w:pos="600" w:val="left"/>
        </w:tabs>
        <w:numPr>
          <w:ilvl w:val="0"/>
          <w:numId w:val="6"/>
        </w:numPr>
        <w:rPr>
          <w:rFonts w:ascii="Arial" w:cs="Arial" w:eastAsia="Arial" w:hAnsi="Arial"/>
          <w:sz w:val="29"/>
          <w:szCs w:val="29"/>
          <w:b w:val="1"/>
          <w:bCs w:val="1"/>
          <w:color w:val="003366"/>
        </w:rPr>
      </w:pPr>
      <w:r>
        <w:rPr>
          <w:rFonts w:ascii="Arial" w:cs="Arial" w:eastAsia="Arial" w:hAnsi="Arial"/>
          <w:sz w:val="29"/>
          <w:szCs w:val="29"/>
          <w:b w:val="1"/>
          <w:bCs w:val="1"/>
          <w:color w:val="003366"/>
        </w:rPr>
        <w:t>Acquisition of Business</w:t>
      </w:r>
    </w:p>
    <w:p>
      <w:pPr>
        <w:spacing w:after="0" w:line="27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 xml:space="preserve">In the third quarter of 2025, AFG acquired the 52% of Radion Insurance Holdings, LLC (“Radion”) that it did not previously own for $7 million in cash, making Radion a wholly-owned subsidiary. Radion, a managing general underwriter, specializes in healthcare coverage for small and midsize businesses. At acquisition, in accordance with accounting guidance, the existing investment in Radion (previously accounted for using the equity method of accounting) was remeasured to fair value resulting in a $3 million realized gain. The acquisition also resulted in the recognition of $5 million of amortizing intangible assets related to technology and $22 million in goodwill (see </w:t>
      </w:r>
      <w:r>
        <w:rPr>
          <w:rFonts w:ascii="Arial" w:cs="Arial" w:eastAsia="Arial" w:hAnsi="Arial"/>
          <w:sz w:val="17"/>
          <w:szCs w:val="17"/>
          <w:i w:val="1"/>
          <w:iCs w:val="1"/>
          <w:color w:val="auto"/>
        </w:rPr>
        <w:t>Note H — “Goodwill and Other Intangibles”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AFG manages its business as two segments: Property and casualty insurance and Other, which includes holding company assets and costs.</w:t>
      </w:r>
    </w:p>
    <w:p>
      <w:pPr>
        <w:spacing w:after="0" w:line="250"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AFG’s reportable segments and their components were determined based primarily upon similar economic characteristics, products and services. Historically, AFG reported the results of its internal reinsurance facility (that assumes business from several of AFG’s Specialty property and casualty businesses) in an Other Specialty sub-segment. Beginning in 2025, to be consistent with how the Chief Operating Decision Makers (“CODMs”) currently view and evaluate AFG’s Property and casualty sub-segments, the internal reinsurance results are included within the same sub-segments as the ceding businesses. The CODMs believe this presentation better reflects the performance of the underlying operating businesses and enhances the financial reporting. Information from prior periods has been recast for consistent presentation. The impacts of all intercompany transactions between segments have been eliminated.</w:t>
      </w:r>
    </w:p>
    <w:p>
      <w:pPr>
        <w:spacing w:after="0" w:line="213"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AFG’s CODMs are its Co-CEOs. The CODMs evaluate the performance of the Property and casualty insurance segment based on return on equity and underwriting profit. The CODMs use this measure to allocate resources and make capital decisions.</w:t>
      </w:r>
    </w:p>
    <w:p>
      <w:pPr>
        <w:spacing w:after="0" w:line="199"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Sales of property and casualty insurance outside of the United States represented 4% and 3% of AFG’s revenues in the third quarter of 2025 and 2024, respectively, and 4% in both the first nine months of 2025 and 2024.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assets, revenues and earnings before income taxes by segment and sub-segment.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5"/>
                <w:szCs w:val="15"/>
                <w:color w:val="auto"/>
              </w:rPr>
              <w:t>September 30,</w:t>
            </w:r>
          </w:p>
        </w:tc>
        <w:tc>
          <w:tcPr>
            <w:tcW w:w="20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Arial" w:cs="Arial" w:eastAsia="Arial" w:hAnsi="Arial"/>
                <w:sz w:val="15"/>
                <w:szCs w:val="15"/>
                <w:color w:val="auto"/>
              </w:rPr>
              <w:t>December 31,</w:t>
            </w:r>
          </w:p>
        </w:tc>
      </w:tr>
      <w:tr>
        <w:trPr>
          <w:trHeight w:val="210"/>
        </w:trPr>
        <w:tc>
          <w:tcPr>
            <w:tcW w:w="8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2024</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28,810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25,913</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4,923</w:t>
            </w: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30,836</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 allocable to sub-segments.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220" w:type="dxa"/>
            <w:vAlign w:val="bottom"/>
            <w:gridSpan w:val="6"/>
          </w:tcPr>
          <w:p>
            <w:pPr>
              <w:ind w:left="340"/>
              <w:spacing w:after="0"/>
              <w:rPr>
                <w:sz w:val="20"/>
                <w:szCs w:val="20"/>
                <w:color w:val="auto"/>
              </w:rPr>
            </w:pPr>
            <w:r>
              <w:rPr>
                <w:rFonts w:ascii="Arial" w:cs="Arial" w:eastAsia="Arial" w:hAnsi="Arial"/>
                <w:sz w:val="15"/>
                <w:szCs w:val="15"/>
                <w:color w:val="auto"/>
              </w:rPr>
              <w:t>Three months ended September 30,</w:t>
            </w:r>
          </w:p>
        </w:tc>
        <w:tc>
          <w:tcPr>
            <w:tcW w:w="260" w:type="dxa"/>
            <w:vAlign w:val="bottom"/>
          </w:tcPr>
          <w:p>
            <w:pPr>
              <w:spacing w:after="0"/>
              <w:rPr>
                <w:sz w:val="17"/>
                <w:szCs w:val="17"/>
                <w:color w:val="auto"/>
              </w:rPr>
            </w:pPr>
          </w:p>
        </w:tc>
        <w:tc>
          <w:tcPr>
            <w:tcW w:w="2900" w:type="dxa"/>
            <w:vAlign w:val="bottom"/>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48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earned premiums: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32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15"/>
        </w:trPr>
        <w:tc>
          <w:tcPr>
            <w:tcW w:w="4860" w:type="dxa"/>
            <w:vAlign w:val="bottom"/>
          </w:tcPr>
          <w:p>
            <w:pPr>
              <w:ind w:left="54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Specialty financial</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09"/>
        </w:trPr>
        <w:tc>
          <w:tcPr>
            <w:tcW w:w="4860" w:type="dxa"/>
            <w:vAlign w:val="bottom"/>
          </w:tcPr>
          <w:p>
            <w:pPr>
              <w:ind w:left="760"/>
              <w:spacing w:after="0"/>
              <w:rPr>
                <w:sz w:val="20"/>
                <w:szCs w:val="20"/>
                <w:color w:val="auto"/>
              </w:rPr>
            </w:pPr>
            <w:r>
              <w:rPr>
                <w:rFonts w:ascii="Arial" w:cs="Arial" w:eastAsia="Arial" w:hAnsi="Arial"/>
                <w:sz w:val="16"/>
                <w:szCs w:val="16"/>
                <w:color w:val="auto"/>
              </w:rPr>
              <w:t>Total net earned premiums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5,186</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investment income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revenues before realized gains (losses)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 on subsidiaries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6,175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40"/>
              <w:spacing w:after="0"/>
              <w:rPr>
                <w:sz w:val="20"/>
                <w:szCs w:val="20"/>
                <w:color w:val="auto"/>
              </w:rPr>
            </w:pPr>
            <w:r>
              <w:rPr>
                <w:rFonts w:ascii="Arial" w:cs="Arial" w:eastAsia="Arial" w:hAnsi="Arial"/>
                <w:sz w:val="16"/>
                <w:szCs w:val="16"/>
                <w:color w:val="auto"/>
              </w:rPr>
              <w:t>Underwriting:</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Specialty</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540"/>
              <w:spacing w:after="0"/>
              <w:rPr>
                <w:sz w:val="20"/>
                <w:szCs w:val="20"/>
                <w:color w:val="auto"/>
              </w:rPr>
            </w:pPr>
            <w:r>
              <w:rPr>
                <w:rFonts w:ascii="Arial" w:cs="Arial" w:eastAsia="Arial" w:hAnsi="Arial"/>
                <w:sz w:val="16"/>
                <w:szCs w:val="16"/>
                <w:color w:val="auto"/>
              </w:rPr>
              <w:t>Property and transportation</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Specialty casualty</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5"/>
        </w:trPr>
        <w:tc>
          <w:tcPr>
            <w:tcW w:w="4860" w:type="dxa"/>
            <w:vAlign w:val="bottom"/>
          </w:tcPr>
          <w:p>
            <w:pPr>
              <w:ind w:left="540"/>
              <w:spacing w:after="0"/>
              <w:rPr>
                <w:sz w:val="20"/>
                <w:szCs w:val="20"/>
                <w:color w:val="auto"/>
              </w:rPr>
            </w:pPr>
            <w:r>
              <w:rPr>
                <w:rFonts w:ascii="Arial" w:cs="Arial" w:eastAsia="Arial" w:hAnsi="Arial"/>
                <w:sz w:val="16"/>
                <w:szCs w:val="16"/>
                <w:color w:val="auto"/>
              </w:rPr>
              <w:t>Specialty financial</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lines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4860" w:type="dxa"/>
            <w:vAlign w:val="bottom"/>
          </w:tcPr>
          <w:p>
            <w:pPr>
              <w:ind w:left="680"/>
              <w:spacing w:after="0"/>
              <w:rPr>
                <w:sz w:val="20"/>
                <w:szCs w:val="20"/>
                <w:color w:val="auto"/>
              </w:rPr>
            </w:pPr>
            <w:r>
              <w:rPr>
                <w:rFonts w:ascii="Arial" w:cs="Arial" w:eastAsia="Arial" w:hAnsi="Arial"/>
                <w:sz w:val="16"/>
                <w:szCs w:val="16"/>
                <w:color w:val="auto"/>
              </w:rPr>
              <w:t>Total underwriting (a)</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 and other income, net</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09"/>
        </w:trPr>
        <w:tc>
          <w:tcPr>
            <w:tcW w:w="4860" w:type="dxa"/>
            <w:vAlign w:val="bottom"/>
          </w:tcPr>
          <w:p>
            <w:pPr>
              <w:ind w:left="46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(b)</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42"/>
        </w:trPr>
        <w:tc>
          <w:tcPr>
            <w:tcW w:w="4860" w:type="dxa"/>
            <w:vAlign w:val="bottom"/>
          </w:tcPr>
          <w:p>
            <w:pPr>
              <w:ind w:left="460"/>
              <w:spacing w:after="0" w:line="142" w:lineRule="exact"/>
              <w:rPr>
                <w:sz w:val="20"/>
                <w:szCs w:val="20"/>
                <w:color w:val="auto"/>
              </w:rPr>
            </w:pPr>
            <w:r>
              <w:rPr>
                <w:rFonts w:ascii="Arial" w:cs="Arial" w:eastAsia="Arial" w:hAnsi="Arial"/>
                <w:sz w:val="16"/>
                <w:szCs w:val="16"/>
                <w:color w:val="auto"/>
              </w:rPr>
              <w:t>Total earnings before realized gains (losses) and income</w:t>
            </w:r>
          </w:p>
        </w:tc>
        <w:tc>
          <w:tcPr>
            <w:tcW w:w="9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5"/>
        </w:trPr>
        <w:tc>
          <w:tcPr>
            <w:tcW w:w="4860" w:type="dxa"/>
            <w:vAlign w:val="bottom"/>
          </w:tcPr>
          <w:p>
            <w:pPr>
              <w:ind w:left="620"/>
              <w:spacing w:after="0"/>
              <w:rPr>
                <w:sz w:val="20"/>
                <w:szCs w:val="20"/>
                <w:color w:val="auto"/>
              </w:rPr>
            </w:pPr>
            <w:r>
              <w:rPr>
                <w:rFonts w:ascii="Arial" w:cs="Arial" w:eastAsia="Arial" w:hAnsi="Arial"/>
                <w:sz w:val="16"/>
                <w:szCs w:val="16"/>
                <w:color w:val="auto"/>
              </w:rPr>
              <w:t>taxes</w:t>
            </w:r>
          </w:p>
        </w:tc>
        <w:tc>
          <w:tcPr>
            <w:tcW w:w="9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Realized gain on subsidiaries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earnings before income taxes</w:t>
            </w: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80" w:hanging="412"/>
        <w:spacing w:after="0" w:line="284" w:lineRule="auto"/>
        <w:tabs>
          <w:tab w:leader="none" w:pos="413"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Significant segment expenses, which are losses and loss adjustment expenses and commissions and other underwriting expenses, are shown in the table below by sub-segment.</w:t>
      </w:r>
    </w:p>
    <w:p>
      <w:pPr>
        <w:spacing w:after="0" w:line="9" w:lineRule="exact"/>
        <w:rPr>
          <w:rFonts w:ascii="Arial" w:cs="Arial" w:eastAsia="Arial" w:hAnsi="Arial"/>
          <w:sz w:val="17"/>
          <w:szCs w:val="17"/>
          <w:color w:val="auto"/>
        </w:rPr>
      </w:pPr>
    </w:p>
    <w:p>
      <w:pPr>
        <w:ind w:left="420" w:right="280" w:hanging="412"/>
        <w:spacing w:after="0" w:line="274" w:lineRule="auto"/>
        <w:tabs>
          <w:tab w:leader="none" w:pos="413"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interest charges on borrowed money and other holding company expenses. Holding company expenses include special charges of $25 million and $14 million in the third quarter of 2025 and 2024, respectively, to increase asbestos and environmental liabilities related to AFG’s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92"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The following table shows the components of underwriting profit, including significant segment expenses, for the Property and casualty insurance segment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3240" w:type="dxa"/>
            <w:vAlign w:val="bottom"/>
            <w:gridSpan w:val="6"/>
          </w:tcPr>
          <w:p>
            <w:pPr>
              <w:ind w:left="340"/>
              <w:spacing w:after="0"/>
              <w:rPr>
                <w:sz w:val="20"/>
                <w:szCs w:val="20"/>
                <w:color w:val="auto"/>
              </w:rPr>
            </w:pPr>
            <w:r>
              <w:rPr>
                <w:rFonts w:ascii="Arial" w:cs="Arial" w:eastAsia="Arial" w:hAnsi="Arial"/>
                <w:sz w:val="15"/>
                <w:szCs w:val="15"/>
                <w:color w:val="auto"/>
              </w:rPr>
              <w:t>Three months ended September 30,</w:t>
            </w:r>
          </w:p>
        </w:tc>
        <w:tc>
          <w:tcPr>
            <w:tcW w:w="260" w:type="dxa"/>
            <w:vAlign w:val="bottom"/>
          </w:tcPr>
          <w:p>
            <w:pPr>
              <w:spacing w:after="0"/>
              <w:rPr>
                <w:sz w:val="17"/>
                <w:szCs w:val="17"/>
                <w:color w:val="auto"/>
              </w:rPr>
            </w:pPr>
          </w:p>
        </w:tc>
        <w:tc>
          <w:tcPr>
            <w:tcW w:w="2900" w:type="dxa"/>
            <w:vAlign w:val="bottom"/>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48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5"/>
                <w:szCs w:val="15"/>
                <w:color w:val="auto"/>
              </w:rPr>
              <w:t>2024</w:t>
            </w: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casualty insurance:</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Specialty:</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2,061</w:t>
            </w: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w:t>
            </w: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casualty:</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2,371</w:t>
            </w: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financial:</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754</w:t>
            </w: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lines: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Underwriting profit (loss)</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property and casualty insurance segment:</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5,240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5,186</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r>
      <w:tr>
        <w:trPr>
          <w:trHeight w:val="215"/>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w:t>
            </w:r>
          </w:p>
        </w:tc>
      </w:tr>
      <w:tr>
        <w:trPr>
          <w:trHeight w:val="235"/>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consist primarily of fixed maturity securities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group includes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1</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September 30, 2025</w:t>
            </w:r>
          </w:p>
        </w:tc>
        <w:tc>
          <w:tcPr>
            <w:tcW w:w="46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3,428</w:t>
            </w: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10,518</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3,972</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15,374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Assets:</w:t>
            </w:r>
          </w:p>
        </w:tc>
        <w:tc>
          <w:tcPr>
            <w:tcW w:w="46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10,398</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4,140</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Approximately 7% of the total assets carried at fair value at September 30, 2025, were Level 3 assets. 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86% ($867 million) of the total fair value of Level 3 assets at September 30, 2025. Approximately 67% ($584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model suggests a higher price, management caps the fair value at par value. The remainder of the internally developed Level 3 investments</w:t>
      </w:r>
    </w:p>
    <w:p>
      <w:pPr>
        <w:spacing w:after="0" w:line="23" w:lineRule="exact"/>
        <w:rPr>
          <w:sz w:val="20"/>
          <w:szCs w:val="20"/>
          <w:color w:val="auto"/>
        </w:rPr>
      </w:pPr>
    </w:p>
    <w:p>
      <w:pPr>
        <w:jc w:val="both"/>
        <w:ind w:right="160"/>
        <w:spacing w:after="0" w:line="265" w:lineRule="auto"/>
        <w:rPr>
          <w:sz w:val="20"/>
          <w:szCs w:val="20"/>
          <w:color w:val="auto"/>
        </w:rPr>
      </w:pPr>
      <w:r>
        <w:rPr>
          <w:rFonts w:ascii="Arial" w:cs="Arial" w:eastAsia="Arial" w:hAnsi="Arial"/>
          <w:sz w:val="17"/>
          <w:szCs w:val="17"/>
          <w:color w:val="auto"/>
        </w:rPr>
        <w:t>($283 million) are priced using internal models or inputs from third parties that are not market observable. Management believes that any justifiable changes in unobservable inputs used to determine internally developed fair values would not have resulted in a material change in AFG’s financial position.</w:t>
      </w:r>
    </w:p>
    <w:p>
      <w:pPr>
        <w:spacing w:after="0" w:line="20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Approximately 12% ($120 million) of the Level 3 assets were investments whose prices were determined based on financial information provided by third party asset managers. Approximately 2% ($17 million) of Level 3 assets were priced using non-binding broker quotes or pricing services, for which there is a lack of transparency as to the inputs used to determine fair value.</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Changes in balances of Level 3 financial assets and liabilities carried at fair value during the third quarter and first nine months of 2025 and 2024 are presented below (in millions). The transfers into and out of Level 3 were due to changes in the availability of market observable inputs. All transfers are reflected in the table at fair value as of the end of the reporting period.</w:t>
      </w:r>
    </w:p>
    <w:p>
      <w:pPr>
        <w:spacing w:after="0" w:line="34"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0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20320</wp:posOffset>
            </wp:positionV>
            <wp:extent cx="1285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June</w:t>
            </w: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Net</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2"/>
              </w:rPr>
              <w:t>and</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into</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out of</w:t>
            </w:r>
          </w:p>
        </w:tc>
        <w:tc>
          <w:tcPr>
            <w:tcW w:w="140" w:type="dxa"/>
            <w:vAlign w:val="bottom"/>
          </w:tcPr>
          <w:p>
            <w:pPr>
              <w:spacing w:after="0"/>
              <w:rPr>
                <w:sz w:val="10"/>
                <w:szCs w:val="10"/>
                <w:color w:val="auto"/>
              </w:rPr>
            </w:pPr>
          </w:p>
        </w:tc>
        <w:tc>
          <w:tcPr>
            <w:tcW w:w="1020" w:type="dxa"/>
            <w:vAlign w:val="bottom"/>
          </w:tcPr>
          <w:p>
            <w:pPr>
              <w:jc w:val="center"/>
              <w:ind w:right="7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09"/>
              <w:spacing w:after="0"/>
              <w:rPr>
                <w:sz w:val="20"/>
                <w:szCs w:val="20"/>
                <w:color w:val="auto"/>
              </w:rPr>
            </w:pPr>
            <w:r>
              <w:rPr>
                <w:rFonts w:ascii="Arial" w:cs="Arial" w:eastAsia="Arial" w:hAnsi="Arial"/>
                <w:sz w:val="13"/>
                <w:szCs w:val="13"/>
                <w:color w:val="auto"/>
                <w:w w:val="98"/>
              </w:rPr>
              <w:t>30, 2025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(loss)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settlements</w:t>
            </w:r>
          </w:p>
        </w:tc>
        <w:tc>
          <w:tcPr>
            <w:tcW w:w="12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2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40" w:type="dxa"/>
            <w:vAlign w:val="bottom"/>
          </w:tcPr>
          <w:p>
            <w:pPr>
              <w:spacing w:after="0"/>
              <w:rPr>
                <w:sz w:val="15"/>
                <w:szCs w:val="15"/>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6"/>
              </w:rPr>
              <w:t>2025</w:t>
            </w: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center"/>
              <w:ind w:left="25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0"/>
        </w:trPr>
        <w:tc>
          <w:tcPr>
            <w:tcW w:w="31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center"/>
              <w:ind w:left="250"/>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center"/>
              <w:ind w:left="29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3"/>
                <w:szCs w:val="13"/>
                <w:color w:val="auto"/>
                <w:w w:val="96"/>
              </w:rPr>
              <w:t>Total realized/unrealized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gains (losses) included in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June</w:t>
            </w: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2" w:lineRule="exact"/>
              <w:rPr>
                <w:sz w:val="20"/>
                <w:szCs w:val="20"/>
                <w:color w:val="auto"/>
              </w:rPr>
            </w:pPr>
            <w:r>
              <w:rPr>
                <w:rFonts w:ascii="Arial" w:cs="Arial" w:eastAsia="Arial" w:hAnsi="Arial"/>
                <w:sz w:val="13"/>
                <w:szCs w:val="13"/>
                <w:color w:val="auto"/>
                <w:w w:val="98"/>
              </w:rPr>
              <w:t>Net</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color w:val="auto"/>
                <w:w w:val="94"/>
              </w:rPr>
              <w:t>Transfer</w:t>
            </w:r>
          </w:p>
        </w:tc>
        <w:tc>
          <w:tcPr>
            <w:tcW w:w="140" w:type="dxa"/>
            <w:vAlign w:val="bottom"/>
          </w:tcPr>
          <w:p>
            <w:pPr>
              <w:spacing w:after="0"/>
              <w:rPr>
                <w:sz w:val="12"/>
                <w:szCs w:val="12"/>
                <w:color w:val="auto"/>
              </w:rPr>
            </w:pPr>
          </w:p>
        </w:tc>
        <w:tc>
          <w:tcPr>
            <w:tcW w:w="1020" w:type="dxa"/>
            <w:vAlign w:val="bottom"/>
          </w:tcPr>
          <w:p>
            <w:pPr>
              <w:jc w:val="center"/>
              <w:ind w:right="70"/>
              <w:spacing w:after="0" w:line="142" w:lineRule="exact"/>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2"/>
              </w:rPr>
              <w:t>and</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into</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out of</w:t>
            </w:r>
          </w:p>
        </w:tc>
        <w:tc>
          <w:tcPr>
            <w:tcW w:w="140" w:type="dxa"/>
            <w:vAlign w:val="bottom"/>
          </w:tcPr>
          <w:p>
            <w:pPr>
              <w:spacing w:after="0"/>
              <w:rPr>
                <w:sz w:val="10"/>
                <w:szCs w:val="10"/>
                <w:color w:val="auto"/>
              </w:rPr>
            </w:pPr>
          </w:p>
        </w:tc>
        <w:tc>
          <w:tcPr>
            <w:tcW w:w="1020" w:type="dxa"/>
            <w:vAlign w:val="bottom"/>
          </w:tcPr>
          <w:p>
            <w:pPr>
              <w:jc w:val="center"/>
              <w:ind w:right="7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66"/>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09"/>
              <w:spacing w:after="0"/>
              <w:rPr>
                <w:sz w:val="20"/>
                <w:szCs w:val="20"/>
                <w:color w:val="auto"/>
              </w:rPr>
            </w:pPr>
            <w:r>
              <w:rPr>
                <w:rFonts w:ascii="Arial" w:cs="Arial" w:eastAsia="Arial" w:hAnsi="Arial"/>
                <w:sz w:val="13"/>
                <w:szCs w:val="13"/>
                <w:color w:val="auto"/>
                <w:w w:val="98"/>
              </w:rPr>
              <w:t>30, 2024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(loss)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6"/>
              </w:rPr>
              <w:t>2024</w:t>
            </w:r>
          </w:p>
        </w:tc>
        <w:tc>
          <w:tcPr>
            <w:tcW w:w="0" w:type="dxa"/>
            <w:vAlign w:val="bottom"/>
          </w:tcPr>
          <w:p>
            <w:pPr>
              <w:spacing w:after="0"/>
              <w:rPr>
                <w:sz w:val="1"/>
                <w:szCs w:val="1"/>
                <w:color w:val="auto"/>
              </w:rPr>
            </w:pPr>
          </w:p>
        </w:tc>
      </w:tr>
      <w:tr>
        <w:trPr>
          <w:trHeight w:val="23"/>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290"/>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0"/>
        </w:trPr>
        <w:tc>
          <w:tcPr>
            <w:tcW w:w="3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290"/>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0"/>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left="190"/>
              <w:spacing w:after="0"/>
              <w:rPr>
                <w:sz w:val="20"/>
                <w:szCs w:val="20"/>
                <w:color w:val="auto"/>
              </w:rPr>
            </w:pPr>
            <w:r>
              <w:rPr>
                <w:rFonts w:ascii="Arial" w:cs="Arial" w:eastAsia="Arial" w:hAnsi="Arial"/>
                <w:sz w:val="14"/>
                <w:szCs w:val="14"/>
                <w:color w:val="auto"/>
                <w:w w:val="99"/>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1"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800" w:type="dxa"/>
            <w:vAlign w:val="bottom"/>
            <w:gridSpan w:val="4"/>
          </w:tcPr>
          <w:p>
            <w:pPr>
              <w:jc w:val="center"/>
              <w:ind w:right="1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20"/>
              <w:spacing w:after="0" w:line="122" w:lineRule="exact"/>
              <w:rPr>
                <w:sz w:val="20"/>
                <w:szCs w:val="20"/>
                <w:color w:val="auto"/>
              </w:rPr>
            </w:pPr>
            <w:r>
              <w:rPr>
                <w:rFonts w:ascii="Arial" w:cs="Arial" w:eastAsia="Arial" w:hAnsi="Arial"/>
                <w:sz w:val="13"/>
                <w:szCs w:val="13"/>
                <w:color w:val="auto"/>
                <w:w w:val="95"/>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8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color w:val="auto"/>
                <w:w w:val="96"/>
              </w:rPr>
              <w:t>2024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w w:val="96"/>
              </w:rPr>
              <w:t>settlements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3"/>
                <w:szCs w:val="13"/>
                <w:color w:val="auto"/>
                <w:w w:val="95"/>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90"/>
              <w:spacing w:after="0"/>
              <w:rPr>
                <w:sz w:val="20"/>
                <w:szCs w:val="20"/>
                <w:color w:val="auto"/>
              </w:rPr>
            </w:pPr>
            <w:r>
              <w:rPr>
                <w:rFonts w:ascii="Arial" w:cs="Arial" w:eastAsia="Arial" w:hAnsi="Arial"/>
                <w:sz w:val="13"/>
                <w:szCs w:val="13"/>
                <w:color w:val="auto"/>
                <w:w w:val="96"/>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State and municipal</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Level 3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Total Level 3 liabilities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8"/>
          </w:tcPr>
          <w:p>
            <w:pPr>
              <w:jc w:val="center"/>
              <w:ind w:right="180"/>
              <w:spacing w:after="0"/>
              <w:rPr>
                <w:sz w:val="20"/>
                <w:szCs w:val="20"/>
                <w:color w:val="auto"/>
              </w:rPr>
            </w:pPr>
            <w:r>
              <w:rPr>
                <w:rFonts w:ascii="Arial" w:cs="Arial" w:eastAsia="Arial" w:hAnsi="Arial"/>
                <w:sz w:val="13"/>
                <w:szCs w:val="13"/>
                <w:color w:val="auto"/>
                <w:w w:val="96"/>
              </w:rPr>
              <w:t>Total realized/unrealized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jc w:val="center"/>
              <w:ind w:right="160"/>
              <w:spacing w:after="0"/>
              <w:rPr>
                <w:sz w:val="20"/>
                <w:szCs w:val="20"/>
                <w:color w:val="auto"/>
              </w:rPr>
            </w:pPr>
            <w:r>
              <w:rPr>
                <w:rFonts w:ascii="Arial" w:cs="Arial" w:eastAsia="Arial" w:hAnsi="Arial"/>
                <w:sz w:val="13"/>
                <w:szCs w:val="13"/>
                <w:color w:val="auto"/>
                <w:w w:val="97"/>
              </w:rPr>
              <w:t>gains (losses) included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40"/>
              <w:spacing w:after="0" w:line="122" w:lineRule="exact"/>
              <w:rPr>
                <w:sz w:val="20"/>
                <w:szCs w:val="20"/>
                <w:color w:val="auto"/>
              </w:rPr>
            </w:pPr>
            <w:r>
              <w:rPr>
                <w:rFonts w:ascii="Arial" w:cs="Arial" w:eastAsia="Arial" w:hAnsi="Arial"/>
                <w:sz w:val="13"/>
                <w:szCs w:val="13"/>
                <w:color w:val="auto"/>
                <w:w w:val="95"/>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12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96"/>
              </w:rPr>
              <w:t>September 30,</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settlements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3"/>
                <w:szCs w:val="13"/>
                <w:color w:val="auto"/>
                <w:w w:val="95"/>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0"/>
              <w:spacing w:after="0"/>
              <w:rPr>
                <w:sz w:val="20"/>
                <w:szCs w:val="20"/>
                <w:color w:val="auto"/>
              </w:rPr>
            </w:pPr>
            <w:r>
              <w:rPr>
                <w:rFonts w:ascii="Arial" w:cs="Arial" w:eastAsia="Arial" w:hAnsi="Arial"/>
                <w:sz w:val="13"/>
                <w:szCs w:val="13"/>
                <w:color w:val="auto"/>
                <w:w w:val="96"/>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State and municipal</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w:t>
            </w: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6"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color w:val="auto"/>
              </w:rPr>
              <w:t>Carrying 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September 30, 2025</w:t>
            </w:r>
          </w:p>
        </w:tc>
        <w:tc>
          <w:tcPr>
            <w:tcW w:w="4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Mortgage loans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September 30, 2025 and December 31, 2024,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September 30, 2025</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Fixed maturities: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 and December 31, 2024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September 30, 2025</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color w:val="auto"/>
              </w:rPr>
              <w:t>December 31, 2024</w:t>
            </w:r>
          </w:p>
        </w:tc>
        <w:tc>
          <w:tcPr>
            <w:tcW w:w="840" w:type="dxa"/>
            <w:vAlign w:val="bottom"/>
            <w:tcBorders>
              <w:bottom w:val="single" w:sz="8" w:color="auto"/>
            </w:tcBorders>
          </w:tcPr>
          <w:p>
            <w:pPr>
              <w:spacing w:after="0"/>
              <w:rPr>
                <w:sz w:val="17"/>
                <w:szCs w:val="17"/>
                <w:color w:val="auto"/>
              </w:rPr>
            </w:pPr>
          </w:p>
        </w:tc>
      </w:tr>
      <w:tr>
        <w:trPr>
          <w:trHeight w:val="145"/>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5"/>
                <w:szCs w:val="15"/>
                <w:color w:val="auto"/>
              </w:rPr>
              <w:t>Fair Value Over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spacing w:after="0" w:line="145" w:lineRule="exact"/>
              <w:rPr>
                <w:sz w:val="20"/>
                <w:szCs w:val="20"/>
                <w:color w:val="auto"/>
              </w:rPr>
            </w:pPr>
            <w:r>
              <w:rPr>
                <w:rFonts w:ascii="Arial" w:cs="Arial" w:eastAsia="Arial" w:hAnsi="Arial"/>
                <w:sz w:val="15"/>
                <w:szCs w:val="15"/>
                <w:color w:val="auto"/>
              </w:rPr>
              <w:t>Fair Value Over</w:t>
            </w:r>
          </w:p>
        </w:tc>
      </w:tr>
      <w:tr>
        <w:trPr>
          <w:trHeight w:val="213"/>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80" w:type="dxa"/>
            <w:vAlign w:val="bottom"/>
          </w:tcPr>
          <w:p>
            <w:pPr>
              <w:spacing w:after="0"/>
              <w:rPr>
                <w:sz w:val="18"/>
                <w:szCs w:val="18"/>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5"/>
                <w:szCs w:val="15"/>
                <w:color w:val="auto"/>
              </w:rPr>
              <w:t>Cost</w:t>
            </w:r>
          </w:p>
        </w:tc>
        <w:tc>
          <w:tcPr>
            <w:tcW w:w="16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5"/>
                <w:szCs w:val="15"/>
                <w:color w:val="auto"/>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60" w:type="dxa"/>
            <w:vAlign w:val="bottom"/>
          </w:tcPr>
          <w:p>
            <w:pPr>
              <w:spacing w:after="0"/>
              <w:rPr>
                <w:sz w:val="18"/>
                <w:szCs w:val="18"/>
                <w:color w:val="auto"/>
              </w:rPr>
            </w:pPr>
          </w:p>
        </w:tc>
        <w:tc>
          <w:tcPr>
            <w:tcW w:w="840" w:type="dxa"/>
            <w:vAlign w:val="bottom"/>
          </w:tcPr>
          <w:p>
            <w:pPr>
              <w:jc w:val="right"/>
              <w:ind w:right="360"/>
              <w:spacing w:after="0"/>
              <w:rPr>
                <w:sz w:val="20"/>
                <w:szCs w:val="20"/>
                <w:color w:val="auto"/>
              </w:rPr>
            </w:pPr>
            <w:r>
              <w:rPr>
                <w:rFonts w:ascii="Arial" w:cs="Arial" w:eastAsia="Arial" w:hAnsi="Arial"/>
                <w:sz w:val="15"/>
                <w:szCs w:val="15"/>
                <w:color w:val="auto"/>
              </w:rPr>
              <w:t>Cost</w:t>
            </w:r>
          </w:p>
        </w:tc>
      </w:tr>
      <w:tr>
        <w:trPr>
          <w:trHeight w:val="21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35"/>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investments accounted for using the equity method, by strategy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ind w:left="220"/>
              <w:spacing w:after="0"/>
              <w:rPr>
                <w:sz w:val="20"/>
                <w:szCs w:val="20"/>
                <w:color w:val="auto"/>
              </w:rPr>
            </w:pPr>
            <w:r>
              <w:rPr>
                <w:rFonts w:ascii="Arial" w:cs="Arial" w:eastAsia="Arial" w:hAnsi="Arial"/>
                <w:sz w:val="15"/>
                <w:szCs w:val="15"/>
                <w:color w:val="auto"/>
              </w:rPr>
              <w:t>Net Investment Income</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45"/>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right"/>
              <w:spacing w:after="0" w:line="145" w:lineRule="exact"/>
              <w:rPr>
                <w:sz w:val="20"/>
                <w:szCs w:val="20"/>
                <w:color w:val="auto"/>
              </w:rPr>
            </w:pPr>
            <w:r>
              <w:rPr>
                <w:rFonts w:ascii="Arial" w:cs="Arial" w:eastAsia="Arial" w:hAnsi="Arial"/>
                <w:sz w:val="15"/>
                <w:szCs w:val="15"/>
                <w:color w:val="auto"/>
              </w:rPr>
              <w:t>Three months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right"/>
              <w:ind w:right="280"/>
              <w:spacing w:after="0" w:line="145" w:lineRule="exact"/>
              <w:rPr>
                <w:sz w:val="20"/>
                <w:szCs w:val="20"/>
                <w:color w:val="auto"/>
              </w:rPr>
            </w:pPr>
            <w:r>
              <w:rPr>
                <w:rFonts w:ascii="Arial" w:cs="Arial" w:eastAsia="Arial" w:hAnsi="Arial"/>
                <w:sz w:val="15"/>
                <w:szCs w:val="15"/>
                <w:color w:val="auto"/>
              </w:rPr>
              <w:t>Nine months ended</w:t>
            </w:r>
          </w:p>
        </w:tc>
      </w:tr>
      <w:tr>
        <w:trPr>
          <w:trHeight w:val="213"/>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ind w:left="720"/>
              <w:spacing w:after="0"/>
              <w:rPr>
                <w:sz w:val="20"/>
                <w:szCs w:val="20"/>
                <w:color w:val="auto"/>
              </w:rPr>
            </w:pPr>
            <w:r>
              <w:rPr>
                <w:rFonts w:ascii="Arial" w:cs="Arial" w:eastAsia="Arial" w:hAnsi="Arial"/>
                <w:sz w:val="15"/>
                <w:szCs w:val="15"/>
                <w:color w:val="auto"/>
              </w:rPr>
              <w:t>Carrying Value</w:t>
            </w:r>
          </w:p>
        </w:tc>
        <w:tc>
          <w:tcPr>
            <w:tcW w:w="220" w:type="dxa"/>
            <w:vAlign w:val="bottom"/>
          </w:tcPr>
          <w:p>
            <w:pPr>
              <w:spacing w:after="0"/>
              <w:rPr>
                <w:sz w:val="18"/>
                <w:szCs w:val="18"/>
                <w:color w:val="auto"/>
              </w:rPr>
            </w:pPr>
          </w:p>
        </w:tc>
        <w:tc>
          <w:tcPr>
            <w:tcW w:w="1540" w:type="dxa"/>
            <w:vAlign w:val="bottom"/>
            <w:gridSpan w:val="3"/>
          </w:tcPr>
          <w:p>
            <w:pPr>
              <w:jc w:val="right"/>
              <w:ind w:right="161"/>
              <w:spacing w:after="0"/>
              <w:rPr>
                <w:sz w:val="20"/>
                <w:szCs w:val="20"/>
                <w:color w:val="auto"/>
              </w:rPr>
            </w:pPr>
            <w:r>
              <w:rPr>
                <w:rFonts w:ascii="Arial" w:cs="Arial" w:eastAsia="Arial" w:hAnsi="Arial"/>
                <w:sz w:val="15"/>
                <w:szCs w:val="15"/>
                <w:color w:val="auto"/>
              </w:rPr>
              <w:t>September 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4"/>
          </w:tcPr>
          <w:p>
            <w:pPr>
              <w:jc w:val="right"/>
              <w:ind w:right="440"/>
              <w:spacing w:after="0"/>
              <w:rPr>
                <w:sz w:val="20"/>
                <w:szCs w:val="20"/>
                <w:color w:val="auto"/>
              </w:rPr>
            </w:pPr>
            <w:r>
              <w:rPr>
                <w:rFonts w:ascii="Arial" w:cs="Arial" w:eastAsia="Arial" w:hAnsi="Arial"/>
                <w:sz w:val="15"/>
                <w:szCs w:val="15"/>
                <w:color w:val="auto"/>
              </w:rPr>
              <w:t>September 30,</w:t>
            </w:r>
          </w:p>
        </w:tc>
      </w:tr>
      <w:tr>
        <w:trPr>
          <w:trHeight w:val="145"/>
        </w:trPr>
        <w:tc>
          <w:tcPr>
            <w:tcW w:w="4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20"/>
              <w:spacing w:after="0" w:line="145" w:lineRule="exact"/>
              <w:rPr>
                <w:sz w:val="20"/>
                <w:szCs w:val="20"/>
                <w:color w:val="auto"/>
              </w:rPr>
            </w:pPr>
            <w:r>
              <w:rPr>
                <w:rFonts w:ascii="Arial" w:cs="Arial" w:eastAsia="Arial" w:hAnsi="Arial"/>
                <w:sz w:val="15"/>
                <w:szCs w:val="15"/>
                <w:color w:val="auto"/>
              </w:rPr>
              <w:t>September 30,</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01"/>
              <w:spacing w:after="0" w:line="145" w:lineRule="exact"/>
              <w:rPr>
                <w:sz w:val="20"/>
                <w:szCs w:val="20"/>
                <w:color w:val="auto"/>
              </w:rPr>
            </w:pPr>
            <w:r>
              <w:rPr>
                <w:rFonts w:ascii="Arial" w:cs="Arial" w:eastAsia="Arial" w:hAnsi="Arial"/>
                <w:sz w:val="15"/>
                <w:szCs w:val="15"/>
                <w:color w:val="auto"/>
              </w:rPr>
              <w:t>December 31,</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13"/>
        </w:trPr>
        <w:tc>
          <w:tcPr>
            <w:tcW w:w="4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5"/>
                <w:szCs w:val="15"/>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color w:val="auto"/>
              </w:rPr>
              <w:t>2024</w:t>
            </w: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4280" w:type="dxa"/>
            <w:vAlign w:val="bottom"/>
          </w:tcPr>
          <w:p>
            <w:pPr>
              <w:ind w:left="180"/>
              <w:spacing w:after="0"/>
              <w:rPr>
                <w:sz w:val="20"/>
                <w:szCs w:val="20"/>
                <w:color w:val="auto"/>
              </w:rPr>
            </w:pPr>
            <w:r>
              <w:rPr>
                <w:rFonts w:ascii="Arial" w:cs="Arial" w:eastAsia="Arial" w:hAnsi="Arial"/>
                <w:sz w:val="16"/>
                <w:szCs w:val="16"/>
                <w:color w:val="auto"/>
              </w:rPr>
              <w:t>Total investments accounted for using the equity method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88% of the carrying value relates to underlying investments in multi-family properties as of September 30, 2025 and December 31, 2024.</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With respect to partnerships and similar investments, AFG had unfunded commitments of $474 million and $457 million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71"/>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Fair Value as</w:t>
            </w:r>
          </w:p>
        </w:tc>
      </w:tr>
      <w:tr>
        <w:trPr>
          <w:trHeight w:val="166"/>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21"/>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September 30, 2025</w:t>
            </w:r>
          </w:p>
        </w:tc>
        <w:tc>
          <w:tcPr>
            <w:tcW w:w="3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89%</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161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0"/>
        </w:trPr>
        <w:tc>
          <w:tcPr>
            <w:tcW w:w="2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2024</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Fixed maturities: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95%</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September 30, 2025, the gross unrealized losses on fixed maturities of $221 million relate to approximately 900 securities. Investment grade securities (as determined by nationally recognized rating agencies) represented approximately 96% of the gross unrealized loss and 96% of the fair value of securities with unrealized losses.</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communications with industry specialists and discussions with issuer management.</w:t>
      </w:r>
    </w:p>
    <w:p>
      <w:pPr>
        <w:spacing w:after="0" w:line="195"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color w:val="auto"/>
        </w:rPr>
        <w:t>AFG analyzes its residential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September 30, 2025.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the allowance for expected credit losses on available for sale fixed maturity securities is shown below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residential MBS, CLOs and other asset-backed securities (“ABS”).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first nine months of 2025 and 2024, AFG did not purchase any securities with expected credit losses.</w:t>
      </w:r>
    </w:p>
    <w:p>
      <w:pPr>
        <w:spacing w:after="0" w:line="25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September 30, 2025 (dollars in millions). Securities with sinking funds are reported at average maturity. Actual maturities may differ from contractual maturities because certain securities may be called or prepaid by the issuers.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CLOs and other ABS (average life of approximately 3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Residential MBS (average life of approximately 6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6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September 30, 2025 or December 31, 2024.</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investment income earned and investment expenses incurred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48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2024</w:t>
            </w: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 and amortization</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Change in fair value (*)</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Dividends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Equity in earnings of partnerships and similar investments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4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10"/>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Gross investment income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expenses</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4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investment income</w:t>
            </w: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84" w:lineRule="auto"/>
        <w:tabs>
          <w:tab w:leader="none" w:pos="41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spacing w:after="0" w:line="199"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Realized gains (losses) and changes in unrealized appreciation (depreciation) included in AOCI related to fixed maturity securities are summarized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9"/>
          </w:tcPr>
          <w:p>
            <w:pPr>
              <w:jc w:val="center"/>
              <w:ind w:left="587"/>
              <w:spacing w:after="0"/>
              <w:rPr>
                <w:sz w:val="20"/>
                <w:szCs w:val="20"/>
                <w:color w:val="auto"/>
              </w:rPr>
            </w:pPr>
            <w:r>
              <w:rPr>
                <w:rFonts w:ascii="Arial" w:cs="Arial" w:eastAsia="Arial" w:hAnsi="Arial"/>
                <w:sz w:val="13"/>
                <w:szCs w:val="13"/>
                <w:color w:val="auto"/>
              </w:rPr>
              <w:t>Three months ended September 30, 2025</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9"/>
          </w:tcPr>
          <w:p>
            <w:pPr>
              <w:ind w:left="700"/>
              <w:spacing w:after="0"/>
              <w:rPr>
                <w:sz w:val="20"/>
                <w:szCs w:val="20"/>
                <w:color w:val="auto"/>
              </w:rPr>
            </w:pPr>
            <w:r>
              <w:rPr>
                <w:rFonts w:ascii="Arial" w:cs="Arial" w:eastAsia="Arial" w:hAnsi="Arial"/>
                <w:sz w:val="13"/>
                <w:szCs w:val="13"/>
                <w:color w:val="auto"/>
              </w:rPr>
              <w:t>Three months ended September 30, 2024</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1"/>
                <w:szCs w:val="11"/>
                <w:color w:val="auto"/>
              </w:rPr>
            </w:pPr>
          </w:p>
        </w:tc>
        <w:tc>
          <w:tcPr>
            <w:tcW w:w="900" w:type="dxa"/>
            <w:vAlign w:val="bottom"/>
            <w:gridSpan w:val="2"/>
          </w:tcPr>
          <w:p>
            <w:pPr>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5"/>
                <w:szCs w:val="15"/>
                <w:color w:val="auto"/>
                <w:w w:val="97"/>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jc w:val="center"/>
              <w:ind w:left="607"/>
              <w:spacing w:after="0"/>
              <w:rPr>
                <w:sz w:val="20"/>
                <w:szCs w:val="20"/>
                <w:color w:val="auto"/>
              </w:rPr>
            </w:pPr>
            <w:r>
              <w:rPr>
                <w:rFonts w:ascii="Arial" w:cs="Arial" w:eastAsia="Arial" w:hAnsi="Arial"/>
                <w:sz w:val="13"/>
                <w:szCs w:val="13"/>
                <w:color w:val="auto"/>
              </w:rPr>
              <w:t>Nine months ended September 30, 2025</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740"/>
              <w:spacing w:after="0"/>
              <w:rPr>
                <w:sz w:val="20"/>
                <w:szCs w:val="20"/>
                <w:color w:val="auto"/>
              </w:rPr>
            </w:pPr>
            <w:r>
              <w:rPr>
                <w:rFonts w:ascii="Arial" w:cs="Arial" w:eastAsia="Arial" w:hAnsi="Arial"/>
                <w:sz w:val="13"/>
                <w:szCs w:val="13"/>
                <w:color w:val="auto"/>
              </w:rPr>
              <w:t>Nine months ended September 30, 2024</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1"/>
                <w:szCs w:val="11"/>
                <w:color w:val="auto"/>
              </w:rPr>
            </w:pPr>
          </w:p>
        </w:tc>
        <w:tc>
          <w:tcPr>
            <w:tcW w:w="900" w:type="dxa"/>
            <w:vAlign w:val="bottom"/>
            <w:gridSpan w:val="2"/>
          </w:tcPr>
          <w:p>
            <w:pPr>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w w:val="97"/>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(8)</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5"/>
                <w:szCs w:val="15"/>
                <w:color w:val="auto"/>
                <w:w w:val="97"/>
              </w:rPr>
              <w:t>(6)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(6)</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All equity securities are carried at fair value through net earnings. AFG recorded net holding gains (losses) on equity securities during the third quarter and first nine months of 2025 and 2024 on securities that were still owned at September 30, 2025 and September 30, 2024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48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2024</w:t>
            </w: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1"/>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34"/>
        </w:trPr>
        <w:tc>
          <w:tcPr>
            <w:tcW w:w="48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5"/>
                <w:szCs w:val="15"/>
                <w:color w:val="auto"/>
              </w:rPr>
              <w:t>Nine months ended September 30,</w:t>
            </w:r>
          </w:p>
        </w:tc>
        <w:tc>
          <w:tcPr>
            <w:tcW w:w="30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color w:val="auto"/>
              </w:rPr>
              <w:t>2024</w:t>
            </w:r>
          </w:p>
        </w:tc>
        <w:tc>
          <w:tcPr>
            <w:tcW w:w="30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305"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29"/>
          <w:szCs w:val="29"/>
          <w:b w:val="1"/>
          <w:bCs w:val="1"/>
          <w:color w:val="003366"/>
        </w:rPr>
      </w:pPr>
      <w:r>
        <w:rPr>
          <w:rFonts w:ascii="Arial" w:cs="Arial" w:eastAsia="Arial" w:hAnsi="Arial"/>
          <w:sz w:val="29"/>
          <w:szCs w:val="29"/>
          <w:b w:val="1"/>
          <w:bCs w:val="1"/>
          <w:color w:val="003366"/>
        </w:rPr>
        <w:t>Derivatives</w:t>
      </w:r>
    </w:p>
    <w:p>
      <w:pPr>
        <w:spacing w:after="0" w:line="27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September 30, 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2024</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w:t>
            </w:r>
          </w:p>
        </w:tc>
      </w:tr>
      <w:tr>
        <w:trPr>
          <w:trHeight w:val="217"/>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w:t>
            </w:r>
          </w:p>
        </w:tc>
      </w:tr>
      <w:tr>
        <w:trPr>
          <w:trHeight w:val="234"/>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The notional amounts of the interest rate swaps generally decline over each swap’s respective life (the swaps expire between October 2025 and October 2034) in anticipation of the expected decline in AFG’s portfolio of fixed maturity securities with floating interest rates based on SOFR. The total outstanding notional amount of AFG’s interest rate swaps was $637 million at September 30, 2025 compared to $1.05 billion at December 31, 2024, reflecting scheduled amortization, partially offset by one new swap entered into in the first nine months of 2025 ($12 million notional amount at issuance). Amounts reclassified from AOCI to net investment income were losses of $3 million and $6 million in the third quarter of 2025 and 2024 and losses of $8 million and $20 million in the first nine months of 2025 and 2024, respectively. Based on forward interest rate curves at September 30, 2025, management estimates that it will reclassify approximately $4 million of pre-tax net losses on interest rate swaps in AOCI to net investment income over the next twelve months. The actual amount will vary based on changes in SOFR. A collateral receivable supporting these swaps of $12 million and $27 million at September 30, 2025 and December 31, 2024, respectively, is included in other assets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214"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 obligations to certain employees. To mitigate this risk, AFG entered into a total return swap. AFG’s Balance Sheet includes a $2 million liability to return collateral related to the swap (included in other liabilities) and a $4 million receivable for collateral posted related to the swap (included in other assets) at September 30, 2025 and December 31, 2024,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tcPr>
          <w:p>
            <w:pPr>
              <w:ind w:left="80"/>
              <w:spacing w:after="0"/>
              <w:rPr>
                <w:sz w:val="20"/>
                <w:szCs w:val="20"/>
                <w:color w:val="auto"/>
              </w:rPr>
            </w:pPr>
            <w:r>
              <w:rPr>
                <w:rFonts w:ascii="Arial" w:cs="Arial" w:eastAsia="Arial" w:hAnsi="Arial"/>
                <w:sz w:val="14"/>
                <w:szCs w:val="14"/>
                <w:color w:val="auto"/>
              </w:rPr>
              <w:t>Three months ended September 30,</w:t>
            </w:r>
          </w:p>
        </w:tc>
        <w:tc>
          <w:tcPr>
            <w:tcW w:w="120" w:type="dxa"/>
            <w:vAlign w:val="bottom"/>
          </w:tcPr>
          <w:p>
            <w:pPr>
              <w:spacing w:after="0"/>
              <w:rPr>
                <w:sz w:val="16"/>
                <w:szCs w:val="16"/>
                <w:color w:val="auto"/>
              </w:rPr>
            </w:pPr>
          </w:p>
        </w:tc>
        <w:tc>
          <w:tcPr>
            <w:tcW w:w="2360" w:type="dxa"/>
            <w:vAlign w:val="bottom"/>
            <w:gridSpan w:val="4"/>
          </w:tcPr>
          <w:p>
            <w:pPr>
              <w:jc w:val="right"/>
              <w:ind w:right="4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9"/>
        </w:trPr>
        <w:tc>
          <w:tcPr>
            <w:tcW w:w="3740" w:type="dxa"/>
            <w:vAlign w:val="bottom"/>
          </w:tcPr>
          <w:p>
            <w:pPr>
              <w:spacing w:after="0"/>
              <w:rPr>
                <w:sz w:val="17"/>
                <w:szCs w:val="17"/>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2025</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61"/>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Qualifying cash flow hedges:</w:t>
            </w: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46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Non-designated hedges: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4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4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Realized gains (losses) on</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740" w:type="dxa"/>
            <w:vAlign w:val="bottom"/>
            <w:vMerge w:val="continue"/>
            <w:shd w:val="clear" w:color="auto" w:fill="CCEEFF"/>
          </w:tcPr>
          <w:p>
            <w:pPr>
              <w:spacing w:after="0"/>
              <w:rPr>
                <w:sz w:val="18"/>
                <w:szCs w:val="18"/>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46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Earnings (losses) on non-designated hedges</w:t>
            </w:r>
          </w:p>
        </w:tc>
        <w:tc>
          <w:tcPr>
            <w:tcW w:w="2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5"/>
        </w:trPr>
        <w:tc>
          <w:tcPr>
            <w:tcW w:w="3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earnings (losses) on derivatives</w:t>
            </w:r>
          </w:p>
        </w:tc>
        <w:tc>
          <w:tcPr>
            <w:tcW w:w="2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AFG is the investment manager and it has investments ranging from 5.4% to 100% of the most subordinate debt tranche of twelve active CLOs, which are considered variable interest entities. AFG also owns portions of the senior debt tranches of certain of these CLOs. Upon formation,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0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$138 million (including $116 million invested in the most subordinate tranches and $8 million invested in a temporary warehousing entity) at September 30, 2025.</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 the first nine months of 2025, AFG formed two new CLOs, which issued $813 million face amount of liabilities (including $80 million face amount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purchased by AFG). In the first nine months of 2024, AFG formed two new CLOs, which issued $813 million face amount of liabilities (including</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$73 million face amount purchased by AFG). In the first nine months of 2025, three CLOs were substantially liquidated in accordance with the CLO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and temporary warehousing entities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3080" w:type="dxa"/>
            <w:vAlign w:val="bottom"/>
            <w:gridSpan w:val="6"/>
          </w:tcPr>
          <w:p>
            <w:pPr>
              <w:ind w:left="34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40" w:type="dxa"/>
            <w:vAlign w:val="bottom"/>
            <w:gridSpan w:val="4"/>
          </w:tcPr>
          <w:p>
            <w:pPr>
              <w:jc w:val="right"/>
              <w:ind w:right="300"/>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2024</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attributable to AFG</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2024</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40"/>
              <w:spacing w:after="0"/>
              <w:rPr>
                <w:sz w:val="20"/>
                <w:szCs w:val="20"/>
                <w:color w:val="auto"/>
              </w:rPr>
            </w:pPr>
            <w:r>
              <w:rPr>
                <w:rFonts w:ascii="Arial" w:cs="Arial" w:eastAsia="Arial" w:hAnsi="Arial"/>
                <w:sz w:val="16"/>
                <w:szCs w:val="16"/>
                <w:color w:val="auto"/>
              </w:rPr>
              <w:t>Assets</w:t>
            </w:r>
          </w:p>
        </w:tc>
        <w:tc>
          <w:tcPr>
            <w:tcW w:w="1040" w:type="dxa"/>
            <w:vAlign w:val="bottom"/>
          </w:tcPr>
          <w:p>
            <w:pPr>
              <w:jc w:val="right"/>
              <w:ind w:right="865"/>
              <w:spacing w:after="0"/>
              <w:rPr>
                <w:sz w:val="20"/>
                <w:szCs w:val="20"/>
                <w:color w:val="auto"/>
              </w:rPr>
            </w:pPr>
            <w:r>
              <w:rPr>
                <w:rFonts w:ascii="Arial" w:cs="Arial" w:eastAsia="Arial" w:hAnsi="Arial"/>
                <w:sz w:val="16"/>
                <w:szCs w:val="16"/>
                <w:color w:val="auto"/>
                <w:w w:val="89"/>
              </w:rPr>
              <w:t>$</w:t>
            </w:r>
          </w:p>
        </w:tc>
        <w:tc>
          <w:tcPr>
            <w:tcW w:w="400" w:type="dxa"/>
            <w:vAlign w:val="bottom"/>
          </w:tcPr>
          <w:p>
            <w:pPr>
              <w:jc w:val="center"/>
              <w:ind w:lef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60" w:type="dxa"/>
            <w:vAlign w:val="bottom"/>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5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40" w:type="dxa"/>
            <w:vAlign w:val="bottom"/>
          </w:tcPr>
          <w:p>
            <w:pPr>
              <w:spacing w:after="0"/>
              <w:rPr>
                <w:sz w:val="18"/>
                <w:szCs w:val="18"/>
                <w:color w:val="auto"/>
              </w:rPr>
            </w:pPr>
          </w:p>
        </w:tc>
        <w:tc>
          <w:tcPr>
            <w:tcW w:w="400" w:type="dxa"/>
            <w:vAlign w:val="bottom"/>
          </w:tcPr>
          <w:p>
            <w:pPr>
              <w:jc w:val="center"/>
              <w:ind w:lef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attributable to AFG</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r>
    </w:tbl>
    <w:p>
      <w:pPr>
        <w:spacing w:after="0" w:line="140"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$73 million and</w:t>
      </w:r>
    </w:p>
    <w:p>
      <w:pPr>
        <w:spacing w:after="0" w:line="23"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$66 million at September 30, 2025 and December 31, 2024, respectively. The aggregate unpaid principal balance of the CLOs’ debt exceeded its carrying value by $218 million and $172 million at those dates, respectively. At September 30, 2025, the CLOs assets did not include any loans in default for which the CLOs are not accruing interest compared to an aggregate fair value of $3 million of loans in default (with an aggregate unpaid principal balance of $5 million) at December 31, 2024.</w:t>
      </w:r>
    </w:p>
    <w:p>
      <w:pPr>
        <w:spacing w:after="0" w:line="207" w:lineRule="exact"/>
        <w:rPr>
          <w:sz w:val="20"/>
          <w:szCs w:val="20"/>
          <w:color w:val="auto"/>
        </w:rPr>
      </w:pPr>
    </w:p>
    <w:p>
      <w:pPr>
        <w:jc w:val="both"/>
        <w:ind w:right="340"/>
        <w:spacing w:after="0" w:line="274"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$1.10 billion at September 30, 2025 and $1.24 billion December 31, 2024.</w:t>
      </w:r>
    </w:p>
    <w:p>
      <w:pPr>
        <w:spacing w:after="0" w:line="183"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59"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 xml:space="preserve">The carrying value of goodwill was $327 million at September 30, 2025 and $305 million at December 31, 2024, an increase of $22 million due to the July 2025 acquisition of Radion (see </w:t>
      </w:r>
      <w:r>
        <w:rPr>
          <w:rFonts w:ascii="Arial" w:cs="Arial" w:eastAsia="Arial" w:hAnsi="Arial"/>
          <w:sz w:val="17"/>
          <w:szCs w:val="17"/>
          <w:i w:val="1"/>
          <w:iCs w:val="1"/>
          <w:color w:val="auto"/>
        </w:rPr>
        <w:t>Note B — “Acquisition of Business”</w:t>
      </w:r>
      <w:r>
        <w:rPr>
          <w:rFonts w:ascii="Arial" w:cs="Arial" w:eastAsia="Arial" w:hAnsi="Arial"/>
          <w:sz w:val="17"/>
          <w:szCs w:val="17"/>
          <w:color w:val="auto"/>
        </w:rPr>
        <w:t>).</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Included in other assets in AFG’s Balance Sheet is $192 million at September 30, 2025 and $203 million at December 31, 2024 of amortizable intangible assets related to acquisitions. These amounts are net of accumulated amortization of $69 million and $59 million, respectively. Amortization of intangibles was $5 million in both the third quarter of 2025 and 2024 and $15 million and $14 million in the first nine months of 2025 and 2024, respectively. In the third quarter of 2025, AFG wrote off $2 million of amortizable intangible assets that became obsolete in connection with certain changes in AFG’s business. This write-off is included in realized gains (losses) on subsidiaries in AFG’s Statement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200" w:type="dxa"/>
            <w:vAlign w:val="bottom"/>
          </w:tcPr>
          <w:p>
            <w:pPr>
              <w:spacing w:after="0"/>
              <w:rPr>
                <w:sz w:val="20"/>
                <w:szCs w:val="20"/>
                <w:color w:val="auto"/>
              </w:rPr>
            </w:pPr>
            <w:r>
              <w:rPr>
                <w:rFonts w:ascii="Arial" w:cs="Arial" w:eastAsia="Arial" w:hAnsi="Arial"/>
                <w:sz w:val="29"/>
                <w:szCs w:val="29"/>
                <w:b w:val="1"/>
                <w:bCs w:val="1"/>
                <w:color w:val="003366"/>
              </w:rPr>
              <w:t>I.</w:t>
            </w:r>
          </w:p>
        </w:tc>
        <w:tc>
          <w:tcPr>
            <w:tcW w:w="5160" w:type="dxa"/>
            <w:vAlign w:val="bottom"/>
          </w:tcPr>
          <w:p>
            <w:pPr>
              <w:ind w:left="280"/>
              <w:spacing w:after="0"/>
              <w:rPr>
                <w:sz w:val="20"/>
                <w:szCs w:val="20"/>
                <w:color w:val="auto"/>
              </w:rPr>
            </w:pPr>
            <w:r>
              <w:rPr>
                <w:rFonts w:ascii="Arial" w:cs="Arial" w:eastAsia="Arial" w:hAnsi="Arial"/>
                <w:sz w:val="29"/>
                <w:szCs w:val="29"/>
                <w:b w:val="1"/>
                <w:bCs w:val="1"/>
                <w:color w:val="003366"/>
              </w:rPr>
              <w:t>Long-Term Debt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(in millions):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September 30, 2025</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2024</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8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16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0"/>
              <w:spacing w:after="0" w:line="151"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740" w:type="dxa"/>
            <w:vAlign w:val="bottom"/>
          </w:tcPr>
          <w:p>
            <w:pPr>
              <w:jc w:val="right"/>
              <w:ind w:right="1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567</w:t>
            </w:r>
          </w:p>
        </w:tc>
        <w:tc>
          <w:tcPr>
            <w:tcW w:w="520" w:type="dxa"/>
            <w:vAlign w:val="bottom"/>
            <w:gridSpan w:val="3"/>
          </w:tcPr>
          <w:p>
            <w:pPr>
              <w:jc w:val="right"/>
              <w:ind w:right="18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5.00% Senior Notes due September 2035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97"/>
        </w:trPr>
        <w:tc>
          <w:tcPr>
            <w:tcW w:w="20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20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Scheduled principal payments on debt for the balance of 2025, the subsequent five years and thereafter are as follows: 2025 — none; 2026 — none; 2027 — none; 2028 — none; 2029 — none; 2030 — $253 million and thereafter — $1.60 billion.</w:t>
      </w:r>
    </w:p>
    <w:p>
      <w:pPr>
        <w:spacing w:after="0" w:line="185"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In September 2025, AFG issued $350 million in 5.00% Senior Notes due in 2035. The net proceeds of this offering will be used for general corporate purposes, which may include repurchases of outstanding common shares.</w:t>
      </w:r>
    </w:p>
    <w:p>
      <w:pPr>
        <w:spacing w:after="0" w:line="171"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AFG can borrow up to $450 million under its revolving credit facility, which expires in June 2028. Amounts borrowed under this agreement bear interest at rates ranging from 1.00% to 1.75% (currently 1.25%) over a SOFR-based floating rate. No amounts were borrowed under this facility at September 30, 2025 or December 31, 2024.</w:t>
      </w:r>
    </w:p>
    <w:p>
      <w:pPr>
        <w:spacing w:after="0" w:line="189"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7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84"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3366"/>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is as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Quarter ended September 30, 2025</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auto"/>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Quarter ended September 30, 2024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9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Nine months ended September 30, 2025</w:t>
            </w:r>
          </w:p>
        </w:tc>
        <w:tc>
          <w:tcPr>
            <w:tcW w:w="29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167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Nine months ended September 30, 2024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187</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ectPr>
          <w:pgSz w:w="11900" w:h="16838" w:orient="portrait"/>
          <w:cols w:equalWidth="0" w:num="1">
            <w:col w:w="11240"/>
          </w:cols>
          <w:pgMar w:left="320" w:top="115" w:right="339" w:bottom="1440" w:gutter="0" w:footer="0" w:header="0"/>
        </w:sectPr>
      </w:pPr>
    </w:p>
    <w:p>
      <w:pPr>
        <w:spacing w:after="0" w:line="5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OCI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21590</wp:posOffset>
            </wp:positionV>
            <wp:extent cx="30257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520" w:right="160"/>
        <w:spacing w:after="0" w:line="321" w:lineRule="auto"/>
        <w:rPr>
          <w:sz w:val="20"/>
          <w:szCs w:val="20"/>
          <w:color w:val="auto"/>
        </w:rPr>
      </w:pPr>
      <w:r>
        <w:rPr>
          <w:rFonts w:ascii="Arial" w:cs="Arial" w:eastAsia="Arial" w:hAnsi="Arial"/>
          <w:sz w:val="15"/>
          <w:szCs w:val="15"/>
          <w:color w:val="auto"/>
        </w:rPr>
        <w:t>Pretax - Net unrealized gains (losses) on securities Pretax - Net unrealized gains (losses) on cash flow hedges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Affected line in the statement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3265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Realized gains (losses) on securities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0" w:lineRule="exact"/>
        <w:rPr>
          <w:sz w:val="20"/>
          <w:szCs w:val="20"/>
          <w:color w:val="auto"/>
        </w:rPr>
      </w:pPr>
    </w:p>
    <w:p>
      <w:pPr>
        <w:sectPr>
          <w:pgSz w:w="11900" w:h="16838" w:orient="portrait"/>
          <w:cols w:equalWidth="0" w:num="2">
            <w:col w:w="4660" w:space="720"/>
            <w:col w:w="5860"/>
          </w:cols>
          <w:pgMar w:left="320" w:top="115" w:right="339" w:bottom="1440" w:gutter="0" w:footer="0" w:header="0"/>
          <w:type w:val="continuous"/>
        </w:sectPr>
      </w:pPr>
    </w:p>
    <w:p>
      <w:pPr>
        <w:spacing w:after="0" w:line="175"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b w:val="1"/>
          <w:bCs w:val="1"/>
          <w:color w:val="003366"/>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form of stock options, stock appreciation rights, restricted stock awards, restricted stock units and stock awards. In the first nine months of 2025, AFG issued 166,297 shares of restricted Common Stock (fair value of $121.89 per share) under the stock incentive plans.</w:t>
      </w:r>
    </w:p>
    <w:p>
      <w:pPr>
        <w:spacing w:after="0" w:line="212"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color w:val="auto"/>
        </w:rPr>
        <w:t>Total compensation expense related to stock incentive plans of AFG and its subsidiaries was $4 million in both the third quarter of 2025 and 2024 and $13 million in both the first nine months of 2025 and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at the statutory rate of 21% to the provision for income taxes as shown in AFG’s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Earnings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11"/>
          </w:tcPr>
          <w:p>
            <w:pPr>
              <w:ind w:left="560"/>
              <w:spacing w:after="0"/>
              <w:rPr>
                <w:sz w:val="20"/>
                <w:szCs w:val="20"/>
                <w:color w:val="auto"/>
              </w:rPr>
            </w:pPr>
            <w:r>
              <w:rPr>
                <w:rFonts w:ascii="Arial" w:cs="Arial" w:eastAsia="Arial" w:hAnsi="Arial"/>
                <w:sz w:val="15"/>
                <w:szCs w:val="15"/>
                <w:color w:val="auto"/>
              </w:rPr>
              <w:t>Three months ended September 30,</w:t>
            </w:r>
          </w:p>
        </w:tc>
        <w:tc>
          <w:tcPr>
            <w:tcW w:w="140" w:type="dxa"/>
            <w:vAlign w:val="bottom"/>
          </w:tcPr>
          <w:p>
            <w:pPr>
              <w:spacing w:after="0"/>
              <w:rPr>
                <w:sz w:val="17"/>
                <w:szCs w:val="17"/>
                <w:color w:val="auto"/>
              </w:rPr>
            </w:pPr>
          </w:p>
        </w:tc>
        <w:tc>
          <w:tcPr>
            <w:tcW w:w="3820" w:type="dxa"/>
            <w:vAlign w:val="bottom"/>
            <w:gridSpan w:val="8"/>
          </w:tcPr>
          <w:p>
            <w:pPr>
              <w:jc w:val="right"/>
              <w:ind w:right="71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5"/>
                <w:szCs w:val="15"/>
                <w:color w:val="auto"/>
                <w:w w:val="95"/>
              </w:rPr>
              <w:t>2025</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660"/>
              <w:spacing w:after="0"/>
              <w:rPr>
                <w:sz w:val="20"/>
                <w:szCs w:val="20"/>
                <w:color w:val="auto"/>
              </w:rPr>
            </w:pPr>
            <w:r>
              <w:rPr>
                <w:rFonts w:ascii="Arial" w:cs="Arial" w:eastAsia="Arial" w:hAnsi="Arial"/>
                <w:sz w:val="15"/>
                <w:szCs w:val="15"/>
                <w:color w:val="auto"/>
                <w:w w:val="95"/>
              </w:rPr>
              <w:t>2024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2025</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5"/>
                <w:szCs w:val="15"/>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5"/>
                <w:szCs w:val="15"/>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Amount</w:t>
            </w:r>
          </w:p>
        </w:tc>
        <w:tc>
          <w:tcPr>
            <w:tcW w:w="100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Amount</w:t>
            </w:r>
          </w:p>
        </w:tc>
        <w:tc>
          <w:tcPr>
            <w:tcW w:w="100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0" w:type="dxa"/>
            <w:vAlign w:val="bottom"/>
          </w:tcPr>
          <w:p>
            <w:pPr>
              <w:spacing w:after="0"/>
              <w:rPr>
                <w:sz w:val="1"/>
                <w:szCs w:val="1"/>
                <w:color w:val="auto"/>
              </w:rPr>
            </w:pPr>
          </w:p>
        </w:tc>
      </w:tr>
      <w:tr>
        <w:trPr>
          <w:trHeight w:val="236"/>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valuation allowance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80" w:type="dxa"/>
            <w:vAlign w:val="bottom"/>
          </w:tcPr>
          <w:p>
            <w:pPr>
              <w:ind w:left="220"/>
              <w:spacing w:after="0"/>
              <w:rPr>
                <w:sz w:val="20"/>
                <w:szCs w:val="20"/>
                <w:color w:val="auto"/>
              </w:rPr>
            </w:pPr>
            <w:r>
              <w:rPr>
                <w:rFonts w:ascii="Arial" w:cs="Arial" w:eastAsia="Arial" w:hAnsi="Arial"/>
                <w:sz w:val="16"/>
                <w:szCs w:val="16"/>
                <w:color w:val="auto"/>
              </w:rPr>
              <w:t>Adjustment to prior year taxes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exempt interest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2"/>
        </w:trPr>
        <w:tc>
          <w:tcPr>
            <w:tcW w:w="3380" w:type="dxa"/>
            <w:vAlign w:val="bottom"/>
          </w:tcPr>
          <w:p>
            <w:pPr>
              <w:ind w:left="220"/>
              <w:spacing w:after="0" w:line="162" w:lineRule="exact"/>
              <w:rPr>
                <w:sz w:val="20"/>
                <w:szCs w:val="20"/>
                <w:color w:val="auto"/>
              </w:rPr>
            </w:pPr>
            <w:r>
              <w:rPr>
                <w:rFonts w:ascii="Arial" w:cs="Arial" w:eastAsia="Arial" w:hAnsi="Arial"/>
                <w:sz w:val="16"/>
                <w:szCs w:val="16"/>
                <w:color w:val="auto"/>
              </w:rPr>
              <w:t>Employee stock ownership plan dividend</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380" w:type="dxa"/>
            <w:vAlign w:val="bottom"/>
          </w:tcPr>
          <w:p>
            <w:pPr>
              <w:ind w:left="400"/>
              <w:spacing w:after="0"/>
              <w:rPr>
                <w:sz w:val="20"/>
                <w:szCs w:val="20"/>
                <w:color w:val="auto"/>
              </w:rPr>
            </w:pPr>
            <w:r>
              <w:rPr>
                <w:rFonts w:ascii="Arial" w:cs="Arial" w:eastAsia="Arial" w:hAnsi="Arial"/>
                <w:sz w:val="16"/>
                <w:szCs w:val="16"/>
                <w:color w:val="auto"/>
              </w:rPr>
              <w:t>paid deduction</w:t>
            </w: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received deduction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Nondeductible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380" w:type="dxa"/>
            <w:vAlign w:val="bottom"/>
          </w:tcPr>
          <w:p>
            <w:pPr>
              <w:ind w:left="220"/>
              <w:spacing w:after="0"/>
              <w:rPr>
                <w:sz w:val="20"/>
                <w:szCs w:val="20"/>
                <w:color w:val="auto"/>
              </w:rPr>
            </w:pPr>
            <w:r>
              <w:rPr>
                <w:rFonts w:ascii="Arial" w:cs="Arial" w:eastAsia="Arial" w:hAnsi="Arial"/>
                <w:sz w:val="16"/>
                <w:szCs w:val="16"/>
                <w:color w:val="auto"/>
              </w:rPr>
              <w:t>Adjustment related to sale of subsidiary</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operations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33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Provision for income taxes as shown in the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1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statement of earnings</w:t>
            </w: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the second quarter of 2025, AFG recorded $7 million in net tax expense related to a pending state income tax examination regarding the sale of a subsidiary in a prior year. In the second quarter of 2024, AFG recorded $4 million in net tax expense related to a pending IRS settlement regarding the sale of a different subsidiary in a prior year.</w:t>
      </w:r>
    </w:p>
    <w:p>
      <w:pPr>
        <w:spacing w:after="0" w:line="17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The One Big Beautiful Bill Act (enacted on July 4, 2025), among other things, extends many of the federal tax provisions of the 2017 Tax Cuts and Jobs Act and contains provisions that will accelerate the timing of certain tax deductions beginning in 2025 with an offsetting impact to deferred taxes and no impact on total income tax expense. Management is still evaluating the full impact of the bill, but does not expect the tax provisions of the bill to be material to AFG’s results of operations in future periods.</w:t>
      </w:r>
    </w:p>
    <w:p>
      <w:pPr>
        <w:spacing w:after="0" w:line="194"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7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M — “Contingencies”</w:t>
      </w:r>
      <w:r>
        <w:rPr>
          <w:rFonts w:ascii="Arial" w:cs="Arial" w:eastAsia="Arial" w:hAnsi="Arial"/>
          <w:sz w:val="17"/>
          <w:szCs w:val="17"/>
          <w:color w:val="auto"/>
        </w:rPr>
        <w:t xml:space="preserve"> of AFG’s 2024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1"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003366"/>
        </w:rPr>
        <w:t xml:space="preserve">Insurance Reserves </w:t>
      </w:r>
      <w:r>
        <w:rPr>
          <w:rFonts w:ascii="Arial" w:cs="Arial" w:eastAsia="Arial" w:hAnsi="Arial"/>
          <w:sz w:val="17"/>
          <w:szCs w:val="17"/>
          <w:color w:val="000000"/>
        </w:rPr>
        <w:t>The following table provides an analysis of changes in the liability for losses and loss adjustment expenses during the first</w:t>
      </w:r>
      <w:r>
        <w:rPr>
          <w:rFonts w:ascii="Arial" w:cs="Arial" w:eastAsia="Arial" w:hAnsi="Arial"/>
          <w:sz w:val="20"/>
          <w:szCs w:val="20"/>
          <w:b w:val="1"/>
          <w:bCs w:val="1"/>
          <w:color w:val="003366"/>
        </w:rPr>
        <w:t xml:space="preserve"> </w:t>
      </w:r>
      <w:r>
        <w:rPr>
          <w:rFonts w:ascii="Arial" w:cs="Arial" w:eastAsia="Arial" w:hAnsi="Arial"/>
          <w:sz w:val="17"/>
          <w:szCs w:val="17"/>
          <w:color w:val="000000"/>
        </w:rPr>
        <w:t>nine months of 2025 and 2024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2024</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14,179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w:t>
            </w:r>
          </w:p>
        </w:tc>
      </w:tr>
      <w:tr>
        <w:trPr>
          <w:trHeight w:val="21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3,379</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3,279</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17"/>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(2,855)</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9,221</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15,079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14,206</w:t>
            </w:r>
          </w:p>
        </w:tc>
      </w:tr>
      <w:tr>
        <w:trPr>
          <w:trHeight w:val="21"/>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net decrease in the provision for claims of prior years during the first nine months of 2025 reflects (i) lower than anticipated losses in the crop business, lower than anticipated claim severity in the aviation business and lower than expected claim frequency and severity in the property and inland marine business (within the Property and transportation sub-segment), (ii) lower than anticipated claim severity in the workers’ compensation and executive liability businesses (within the Specialty casualty sub-segment) and (iii) lower than anticipated claim frequency in the financial institutions business and lower than expected claim severity in the surety, fidelity and trade credit businesses (within the Specialty financial sub-segment). This favorable development was partially offset by higher than expected claim severity in the excess and surplus, social services, excess liability, public sector and general liability businesses (within the Specialty casualty sub-segment).</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net decrease in the provision for claims of prior years during the first nine months of 2024 reflects (i) lower than anticipated losses in the crop business, lower than expected claim severity in the property and inland marine and aviation businesses and lower than anticipated claim severity and frequency in the ocean marine business (within the Property and transportation sub-segment), (ii) lower than anticipated claim severity in the workers’ compensation businesses and lower than expected claim frequency and severity in the executive liability business (within the Specialty casualty sub-segment) and (iii) lower than anticipated claim frequency and severity in the fidelity and financial institutions businesses and lower than expected claim frequency in the trade credit business (within the Specialty financial sub-segment). This favorable development was partially offset by</w:t>
      </w:r>
    </w:p>
    <w:p>
      <w:pPr>
        <w:spacing w:after="0" w:line="3" w:lineRule="exact"/>
        <w:rPr>
          <w:sz w:val="20"/>
          <w:szCs w:val="20"/>
          <w:color w:val="auto"/>
        </w:rPr>
      </w:pPr>
    </w:p>
    <w:p>
      <w:pPr>
        <w:ind w:right="360" w:firstLine="8"/>
        <w:spacing w:after="0" w:line="265" w:lineRule="auto"/>
        <w:tabs>
          <w:tab w:leader="none" w:pos="1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higher than anticipated claim severity in the umbrella and excess liability businesses, public sector and general liability businesses and higher than expected claim frequency and severity in the social services business (within the Specialty casualty sub-segment) and (ii) higher than anticipated claim severity in the innovative markets and surety businesses (within the Specialty financial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2025 and 2024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are shown below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color w:val="auto"/>
              </w:rPr>
              <w:t>Recoverables from Reinsurers</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3"/>
                <w:szCs w:val="13"/>
                <w:color w:val="auto"/>
              </w:rPr>
              <w:t>Premiums Receivable</w:t>
            </w:r>
          </w:p>
        </w:tc>
      </w:tr>
      <w:tr>
        <w:trPr>
          <w:trHeight w:val="201"/>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2024</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Balance at September 30</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Balance at December 31</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96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w:t>
            </w:r>
          </w:p>
        </w:tc>
        <w:tc>
          <w:tcPr>
            <w:tcW w:w="96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97"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Page</w:t>
            </w:r>
          </w:p>
        </w:tc>
        <w:tc>
          <w:tcPr>
            <w:tcW w:w="5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r>
      <w:tr>
        <w:trPr>
          <w:trHeight w:val="23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20"/>
                <w:szCs w:val="20"/>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General</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Third Quarter</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46</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46</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47</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56</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36</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First Nine Months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59</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37</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59</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40</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60</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Managed Investment Entities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41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68</w:t>
            </w:r>
          </w:p>
        </w:tc>
        <w:tc>
          <w:tcPr>
            <w:tcW w:w="20" w:type="dxa"/>
            <w:vAlign w:val="bottom"/>
          </w:tcPr>
          <w:p>
            <w:pPr>
              <w:spacing w:after="0"/>
              <w:rPr>
                <w:sz w:val="18"/>
                <w:szCs w:val="18"/>
                <w:color w:val="auto"/>
              </w:rPr>
            </w:pPr>
          </w:p>
        </w:tc>
      </w:tr>
      <w:tr>
        <w:trPr>
          <w:trHeight w:val="223"/>
        </w:trPr>
        <w:tc>
          <w:tcPr>
            <w:tcW w:w="5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Recent Accounting Standards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70</w:t>
            </w:r>
          </w:p>
        </w:tc>
        <w:tc>
          <w:tcPr>
            <w:tcW w:w="20" w:type="dxa"/>
            <w:vAlign w:val="bottom"/>
          </w:tcPr>
          <w:p>
            <w:pPr>
              <w:spacing w:after="0"/>
              <w:rPr>
                <w:sz w:val="19"/>
                <w:szCs w:val="19"/>
                <w:color w:val="auto"/>
              </w:rPr>
            </w:pPr>
          </w:p>
        </w:tc>
      </w:tr>
      <w:tr>
        <w:trPr>
          <w:trHeight w:val="88"/>
        </w:trPr>
        <w:tc>
          <w:tcPr>
            <w:tcW w:w="5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its most recent Annual Report on Form 10-K, as updated by its other reports filed with the Securities and Exchange Commission.</w:t>
      </w:r>
    </w:p>
    <w:p>
      <w:pPr>
        <w:spacing w:after="0" w:line="2" w:lineRule="exact"/>
        <w:rPr>
          <w:sz w:val="20"/>
          <w:szCs w:val="20"/>
          <w:color w:val="auto"/>
        </w:rPr>
      </w:pPr>
    </w:p>
    <w:p>
      <w:pPr>
        <w:ind w:left="580" w:right="40" w:hanging="329"/>
        <w:spacing w:after="0" w:line="248"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and impacts from tariffs or other trade actions, currency fluctuations and extended economic recessions or expansions in the U.S. and/or abroad;</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13" w:lineRule="exact"/>
        <w:rPr>
          <w:rFonts w:ascii="Arial" w:cs="Arial" w:eastAsia="Arial" w:hAnsi="Arial"/>
          <w:sz w:val="17"/>
          <w:szCs w:val="17"/>
          <w:color w:val="auto"/>
        </w:rPr>
      </w:pPr>
    </w:p>
    <w:p>
      <w:pPr>
        <w:ind w:left="580" w:right="800" w:hanging="329"/>
        <w:spacing w:after="0" w:line="253"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13" w:lineRule="exact"/>
        <w:rPr>
          <w:rFonts w:ascii="Arial" w:cs="Arial" w:eastAsia="Arial" w:hAnsi="Arial"/>
          <w:sz w:val="17"/>
          <w:szCs w:val="17"/>
          <w:color w:val="auto"/>
        </w:rPr>
      </w:pPr>
    </w:p>
    <w:p>
      <w:pPr>
        <w:ind w:left="580" w:right="500" w:hanging="329"/>
        <w:spacing w:after="0" w:line="253"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ind w:left="580" w:right="340" w:hanging="329"/>
        <w:spacing w:after="0" w:line="248"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or reputation and/or expose AFG to litigation;</w:t>
      </w:r>
    </w:p>
    <w:p>
      <w:pPr>
        <w:spacing w:after="0" w:line="1" w:lineRule="exact"/>
        <w:rPr>
          <w:rFonts w:ascii="Arial" w:cs="Arial" w:eastAsia="Arial" w:hAnsi="Arial"/>
          <w:sz w:val="17"/>
          <w:szCs w:val="17"/>
          <w:color w:val="auto"/>
        </w:rPr>
      </w:pPr>
    </w:p>
    <w:p>
      <w:pPr>
        <w:ind w:left="580" w:right="180" w:hanging="329"/>
        <w:spacing w:after="0" w:line="256" w:lineRule="auto"/>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 and</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28"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w:t>
      </w:r>
    </w:p>
    <w:p>
      <w:pPr>
        <w:spacing w:after="0" w:line="21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AFG reported net earnings of $215 million ($2.58 per share, diluted) for the third quarter of 2025 compared to $181 million ($2.16 per share, diluted) for the third quarter of 2024. The increase in the 2025 period reflects higher underwriting profit, higher net investment income and net realized gains on securities in the 2025 quarter compared to net realized losses on securities in the 2024 quarter, partially offset by higher special A&amp;E charges.</w:t>
      </w:r>
    </w:p>
    <w:p>
      <w:pPr>
        <w:spacing w:after="0" w:line="20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AFG reported net earnings of $543 million ($6.50 per share, diluted) for the first nine months of 2025 compared to $632 million ($7.54 per share, diluted) for the first nine months of 2024. The decline in the 2025 period reflects lower underwriting profit, lower net investment income from AFG’s alternative investment portfolio and higher special A&amp;E charges, partially offset by the favorable impact on net investment income of higher average balances of investments and higher yields on fixed maturity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28"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Management expects premium growth in many of AFG’s business units and continued strong underwriting results in the ongoing generally favorable property and casualty insurance market. In addition, management anticipates the elevated interest rate environment (since early 2022) will continue to have a positive impact on investment income on fixed maturity investments into 2026.</w:t>
      </w:r>
    </w:p>
    <w:p>
      <w:pPr>
        <w:spacing w:after="0" w:line="20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supply chain disruption and other economic conditions may impact premium levels, loss cost trends and investment returns.</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Management believes that AFG’s strong financial position and current liquidity and capital at its subsidiaries will give AFG the flexibility to continue to effectively address and respond to anticipated and unanticipated challenges. AFG’s insurance subsidiaries continue to have capital at or in excess of the levels required by ratings agencies in order to maintain their current ratings, and the parent company does not have any debt maturities until 2030.</w:t>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72" w:lineRule="exact"/>
        <w:rPr>
          <w:sz w:val="20"/>
          <w:szCs w:val="20"/>
          <w:color w:val="auto"/>
        </w:rPr>
      </w:pPr>
    </w:p>
    <w:p>
      <w:pPr>
        <w:ind w:right="580"/>
        <w:spacing w:after="0" w:line="266"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these estimates and assumptions change and, thus, impact amounts reported in the future. The areas where management believes the degree of judgment required to determine amounts recorded in the financial statements is most significant are as follows:</w:t>
      </w:r>
    </w:p>
    <w:p>
      <w:pPr>
        <w:spacing w:after="0" w:line="1" w:lineRule="exact"/>
        <w:rPr>
          <w:sz w:val="20"/>
          <w:szCs w:val="20"/>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2024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40" w:type="dxa"/>
            <w:vAlign w:val="bottom"/>
            <w:tcBorders>
              <w:bottom w:val="single" w:sz="8" w:color="auto"/>
            </w:tcBorders>
          </w:tcPr>
          <w:p>
            <w:pPr>
              <w:spacing w:after="0"/>
              <w:rPr>
                <w:sz w:val="17"/>
                <w:szCs w:val="17"/>
                <w:color w:val="auto"/>
              </w:rPr>
            </w:pPr>
          </w:p>
        </w:tc>
      </w:tr>
      <w:tr>
        <w:trPr>
          <w:trHeight w:val="201"/>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5"/>
                <w:szCs w:val="15"/>
                <w:color w:val="auto"/>
              </w:rPr>
              <w:t>September 30, 2025</w:t>
            </w:r>
          </w:p>
        </w:tc>
        <w:tc>
          <w:tcPr>
            <w:tcW w:w="320" w:type="dxa"/>
            <w:vAlign w:val="bottom"/>
          </w:tcPr>
          <w:p>
            <w:pPr>
              <w:spacing w:after="0"/>
              <w:rPr>
                <w:sz w:val="17"/>
                <w:szCs w:val="17"/>
                <w:color w:val="auto"/>
              </w:rPr>
            </w:pPr>
          </w:p>
        </w:tc>
        <w:tc>
          <w:tcPr>
            <w:tcW w:w="1080" w:type="dxa"/>
            <w:vAlign w:val="bottom"/>
          </w:tcPr>
          <w:p>
            <w:pPr>
              <w:jc w:val="right"/>
              <w:ind w:right="461"/>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60"/>
              <w:spacing w:after="0"/>
              <w:rPr>
                <w:sz w:val="20"/>
                <w:szCs w:val="20"/>
                <w:color w:val="auto"/>
              </w:rPr>
            </w:pPr>
            <w:r>
              <w:rPr>
                <w:rFonts w:ascii="Arial" w:cs="Arial" w:eastAsia="Arial" w:hAnsi="Arial"/>
                <w:sz w:val="15"/>
                <w:szCs w:val="15"/>
                <w:color w:val="auto"/>
              </w:rPr>
              <w:t>2023</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1,848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1,498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1,498</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180" w:type="dxa"/>
            <w:vAlign w:val="bottom"/>
          </w:tcPr>
          <w:p>
            <w:pPr>
              <w:spacing w:after="0"/>
              <w:rPr>
                <w:sz w:val="18"/>
                <w:szCs w:val="18"/>
                <w:color w:val="auto"/>
              </w:rPr>
            </w:pPr>
          </w:p>
        </w:tc>
        <w:tc>
          <w:tcPr>
            <w:tcW w:w="1720" w:type="dxa"/>
            <w:vAlign w:val="bottom"/>
          </w:tcPr>
          <w:p>
            <w:pPr>
              <w:jc w:val="right"/>
              <w:ind w:right="140"/>
              <w:spacing w:after="0"/>
              <w:rPr>
                <w:sz w:val="20"/>
                <w:szCs w:val="20"/>
                <w:color w:val="auto"/>
              </w:rPr>
            </w:pPr>
            <w:r>
              <w:rPr>
                <w:rFonts w:ascii="Arial" w:cs="Arial" w:eastAsia="Arial" w:hAnsi="Arial"/>
                <w:sz w:val="16"/>
                <w:szCs w:val="16"/>
                <w:color w:val="auto"/>
              </w:rPr>
              <w:t>6,651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6,204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6,075</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bl>
    <w:p>
      <w:pPr>
        <w:spacing w:after="0" w:line="31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5"/>
                <w:szCs w:val="15"/>
                <w:color w:val="auto"/>
              </w:rPr>
              <w:t>Nine months ended September 30,</w:t>
            </w:r>
          </w:p>
        </w:tc>
      </w:tr>
      <w:tr>
        <w:trPr>
          <w:trHeight w:val="198"/>
        </w:trPr>
        <w:tc>
          <w:tcPr>
            <w:tcW w:w="8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2025</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2024</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1"/>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cash flows as premiums collected and investment income exceed policy acquisition costs, claims payments and operating expenses. AFG’s net cash provided by operating activities is impacted by the level and timing of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$104 million during the first nine months of 2025 and reduced cash flows from operating activities by $67 million in the first nine months of 2024, accounting for a $171 million increase in cash flows from operating activities in the 2025 period compared to the 2024 period. As discussed in </w:t>
      </w:r>
      <w:r>
        <w:rPr>
          <w:rFonts w:ascii="Arial" w:cs="Arial" w:eastAsia="Arial" w:hAnsi="Arial"/>
          <w:sz w:val="17"/>
          <w:szCs w:val="17"/>
          <w:i w:val="1"/>
          <w:iCs w:val="1"/>
          <w:color w:val="000000"/>
        </w:rPr>
        <w:t>Note A — “Accounting Policies — Managed Investment Entities”</w:t>
      </w:r>
      <w:r>
        <w:rPr>
          <w:rFonts w:ascii="Arial" w:cs="Arial" w:eastAsia="Arial" w:hAnsi="Arial"/>
          <w:sz w:val="17"/>
          <w:szCs w:val="17"/>
          <w:color w:val="000000"/>
        </w:rPr>
        <w:t xml:space="preserve"> to the financial statements, AFG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has no right to use the CLO assets and no obligation to pay the CLO liabilities and such assets and liabilities are shown separately in AFG’s Balance Sheet. Excluding the impact of the managed investment entities, net cash provided by operating activities was $645 million and $545 million in the first nine months of 2025 and 2024, respectively.</w:t>
      </w:r>
    </w:p>
    <w:p>
      <w:pPr>
        <w:spacing w:after="0" w:line="213"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003366"/>
        </w:rPr>
        <w:t xml:space="preserve">Net Cash Provided by (Used in) Investing Activities </w:t>
      </w:r>
      <w:r>
        <w:rPr>
          <w:rFonts w:ascii="Arial" w:cs="Arial" w:eastAsia="Arial" w:hAnsi="Arial"/>
          <w:sz w:val="17"/>
          <w:szCs w:val="17"/>
          <w:color w:val="000000"/>
        </w:rPr>
        <w:t>AFG’s investing activities consist primarily of the investment of funds provided by</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its property and casualty businesses. Investing activities also include the purchase and disposal of managed investment entity investments, which are presented separately in AFG’s Balance Sheet. Net investment activity in the managed investment entities was a $63 million source of cash in the first nine months of 2025 compared to $204 million in the first nine months of 2024, accounting for a $141 million decrease in net cash provided by investing activities in the first nine months of 2025 compared to the 2024 period. See </w:t>
      </w:r>
      <w:r>
        <w:rPr>
          <w:rFonts w:ascii="Arial" w:cs="Arial" w:eastAsia="Arial" w:hAnsi="Arial"/>
          <w:sz w:val="17"/>
          <w:szCs w:val="17"/>
          <w:i w:val="1"/>
          <w:iCs w:val="1"/>
          <w:color w:val="000000"/>
        </w:rPr>
        <w:t>Note A — “Accounting Policies — Managed Investment</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G — “Managed Investment Entities” </w:t>
      </w:r>
      <w:r>
        <w:rPr>
          <w:rFonts w:ascii="Arial" w:cs="Arial" w:eastAsia="Arial" w:hAnsi="Arial"/>
          <w:sz w:val="17"/>
          <w:szCs w:val="17"/>
          <w:color w:val="000000"/>
        </w:rPr>
        <w:t>to the financial statements. Investing activities for the first nine months of 2025 include the</w:t>
      </w:r>
      <w:r>
        <w:rPr>
          <w:rFonts w:ascii="Arial" w:cs="Arial" w:eastAsia="Arial" w:hAnsi="Arial"/>
          <w:sz w:val="17"/>
          <w:szCs w:val="17"/>
          <w:i w:val="1"/>
          <w:iCs w:val="1"/>
          <w:color w:val="000000"/>
        </w:rPr>
        <w:t xml:space="preserve"> </w:t>
      </w:r>
      <w:r>
        <w:rPr>
          <w:rFonts w:ascii="Arial" w:cs="Arial" w:eastAsia="Arial" w:hAnsi="Arial"/>
          <w:sz w:val="17"/>
          <w:szCs w:val="17"/>
          <w:color w:val="000000"/>
        </w:rPr>
        <w:t>July acquisition of Radion Insurance Holdings, LLC (“Radion”) for $7 million in cash. Excluding the acquisition of Radion and the activity of the managed investment entities, investing activities were a $127 million use of cash in the first nine months of 2025 compared to $88 million in the first nine months of 2024.</w:t>
      </w:r>
    </w:p>
    <w:p>
      <w:pPr>
        <w:spacing w:after="0" w:line="22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issuances and repurchases of common stock and dividend payments. Net cash used in financing activities was $242 million for the first nine months of 2025 compared to $497 million in the first nine months of 2024, a decrease of $255 million. The net proceeds from AFG’s issuance of $350 million in 5.00% Senior Notes in September 2025 was a $344 million source of cash in the first nine months of 2025. AFG paid cash dividends totaling $367 million in the first nine months of 2025 compared to $385 million in the first nine months of 2024, accounting for a decrease in cash used in financing activities of $18 million. During the first nine months of 2025, AFG repurchased $98 million of its Common Stock compared to no repurchases in the comparable 2024 period. Financing activities also include issuances and retirements of managed investment entity liabilities, which are nonrecourse to AFG and presented separately in AFG’s Balance Sheet. Retirements of managed investment entity liabilities exceeded issuances by $130 million in the first nine months of 2025 compared to $125 million in the first nine months of 2024, accounting for a $5 million increase in net cash used in financing activities in the 2025 period compared to the 2024 period. See </w:t>
      </w:r>
      <w:r>
        <w:rPr>
          <w:rFonts w:ascii="Arial" w:cs="Arial" w:eastAsia="Arial" w:hAnsi="Arial"/>
          <w:sz w:val="17"/>
          <w:szCs w:val="17"/>
          <w:i w:val="1"/>
          <w:iCs w:val="1"/>
          <w:color w:val="000000"/>
        </w:rPr>
        <w:t>Note A — “Accounting Policies — Managed</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Investment 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G — “Managed Investment Entities” </w:t>
      </w:r>
      <w:r>
        <w:rPr>
          <w:rFonts w:ascii="Arial" w:cs="Arial" w:eastAsia="Arial" w:hAnsi="Arial"/>
          <w:sz w:val="17"/>
          <w:szCs w:val="17"/>
          <w:color w:val="000000"/>
        </w:rPr>
        <w:t>to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6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33"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206"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In September 2025, AFG issued $350 million in 5.00% Senior Notes due in September 2035. The net proceeds of this offering will be used for general corporate purposes, which may include repurchases of AFG’s outstanding common shares.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first nine months of 2025, AFG repurchased 788,134 shares of its Common Stock for $98 million and paid a special cash dividend totaling $167 million ($2.00 per share) in March. On November 4, 2025, AFG declared a special cash dividend of $2.00 per share, payable on November 26, 2025. The aggregate amount of this special dividend will be approximately $167 million.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During 2024, AFG paid special cash dividends totaling $545 million ($2.50 per share in February and $4.00 per share in November).</w:t>
      </w:r>
    </w:p>
    <w:p>
      <w:pPr>
        <w:spacing w:after="0" w:line="26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At September 30, 2025, AFG (parent) held approximately $625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facility, or under any other parent company short-term borrowing arrangements, during 2024 or the first nine months of 2025.</w:t>
      </w:r>
    </w:p>
    <w:p>
      <w:pPr>
        <w:spacing w:after="0" w:line="20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84"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216"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reserve deficiencies, inadequate premium rates or reinsurer insolvencies. Management believes that the capital levels in AFG’s insurance subsidiaries are adequate to maintain its business and rating agency ratings. Nonetheless, changes in statutory accounting rules, changes in rating agency measures, significant declines in the fair value of the insurance subsidiaries’ investment portfolios or significant ratings downgrades on these investments, could create a need for additional capital.</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4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AFG’s investment portfolio at September 30, 2025, contained $10.52 billion in fixed maturity securities classified as available for sale and carried at fair value with unrealized gains and losses included in accumulated other comprehensive income (loss) and $80 million in fixed maturities classified as trading with holding gains and losses included in net investment income. In addition, AFG’s investment portfolio includes $550 million in equity securities carried at fair value with holding gains and losses included in realized gains (losses) on securities and $250 million in equity securities carried at fair value with holding gains and losses included in net investment income. AFG’s investment portfolio also includes $2.38 billion in investments accounted for using the equity method (limited partnerships and similar investments).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included in net investment income and is generally recorded on a quarter lag due to the timing of the receipt of the investee’s financial statements.</w:t>
      </w:r>
    </w:p>
    <w:p>
      <w:pPr>
        <w:spacing w:after="0" w:line="21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 xml:space="preserve">Fair values for AFG’s portfolio are determined by AFG’s internal investment professionals using data from nationally recognized pricing services, non-binding broker quotes and other market information. Fair values of equity securities are determined by published closing prices when available. For AFG’s fixed maturity portfolio, approximately 88% was priced using pricing services at September 30, 2025 and 3% was priced using non-binding broker quotes. The remaining 9% are priced internally using a variety of inputs including credit spreads, trade information, prices of comparable securities, estimates of cash flow and other security specific features. When prices obtained for the same security vary, AFG’s internal investment professionals select the price they believe is most indicative of an exit price. For additional information on determination of fair value, see </w:t>
      </w:r>
      <w:r>
        <w:rPr>
          <w:rFonts w:ascii="Arial" w:cs="Arial" w:eastAsia="Arial" w:hAnsi="Arial"/>
          <w:sz w:val="17"/>
          <w:szCs w:val="17"/>
          <w:i w:val="1"/>
          <w:iCs w:val="1"/>
          <w:color w:val="auto"/>
        </w:rPr>
        <w:t xml:space="preserve">Note D — “Fair Value Measurements” </w:t>
      </w:r>
      <w:r>
        <w:rPr>
          <w:rFonts w:ascii="Arial" w:cs="Arial" w:eastAsia="Arial" w:hAnsi="Arial"/>
          <w:sz w:val="17"/>
          <w:szCs w:val="17"/>
          <w:color w:val="auto"/>
        </w:rPr>
        <w:t>to the financial statements.</w:t>
      </w: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structured securities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0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pricing services regarding the methods and assumptions used in pricing, including verifying, on a test basis, the inputs used by the services to value specific securities.</w:t>
      </w:r>
    </w:p>
    <w:p>
      <w:pPr>
        <w:spacing w:after="0" w:line="18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September 30, 2025 (dollars in millions). Effects of increases or decreases from the 100 basis points illustrated would be approximately proportional.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10,598</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(318)</w:t>
            </w:r>
          </w:p>
        </w:tc>
      </w:tr>
    </w:tbl>
    <w:p>
      <w:pPr>
        <w:spacing w:after="0" w:line="23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Approximately 96% of the fixed maturities held by AFG at September 30, 2025, were rated “investment grade” (credit rating of AAA to BBB) by nationally recognized rating agencies, 2% were rated “non-investment grade” and 2%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138"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AFG has approximately $80 million of direct exposure to office commercial real estate through property ownership, mortgages or equity method investments. AFG’s fixed maturity portfolio includes securities (the majority of which are AAA-rated) with a carrying value of approximately $320 million that have minimal exposure to office commercial real estate.</w:t>
      </w:r>
    </w:p>
    <w:p>
      <w:pPr>
        <w:spacing w:after="0" w:line="20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Summarized information for the unrealized gains and losses recorded in AFG’s Balance Sheet at September 30, 2025, is shown in the following table (dollars in millions). There were $507 million of available for sale fixed maturity securities with no unrealized gains or losses at September 30,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52"/>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3"/>
                <w:szCs w:val="13"/>
                <w:color w:val="auto"/>
              </w:rPr>
            </w:pPr>
          </w:p>
        </w:tc>
        <w:tc>
          <w:tcPr>
            <w:tcW w:w="1140" w:type="dxa"/>
            <w:vAlign w:val="bottom"/>
          </w:tcPr>
          <w:p>
            <w:pPr>
              <w:jc w:val="center"/>
              <w:ind w:right="117"/>
              <w:spacing w:after="0" w:line="153" w:lineRule="exact"/>
              <w:rPr>
                <w:sz w:val="20"/>
                <w:szCs w:val="20"/>
                <w:color w:val="auto"/>
              </w:rPr>
            </w:pPr>
            <w:r>
              <w:rPr>
                <w:rFonts w:ascii="Arial" w:cs="Arial" w:eastAsia="Arial" w:hAnsi="Arial"/>
                <w:sz w:val="15"/>
                <w:szCs w:val="15"/>
                <w:color w:val="auto"/>
                <w:w w:val="99"/>
              </w:rPr>
              <w:t>With</w:t>
            </w: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rPr>
              <w:t>Unrealized</w:t>
            </w:r>
          </w:p>
        </w:tc>
      </w:tr>
      <w:tr>
        <w:trPr>
          <w:trHeight w:val="201"/>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6,044</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3,967</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5,877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4,188</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167</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(221)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1,070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895</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28</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Residential 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(113)</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(44)</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Banking</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Asset managers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(5)</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(32)</w:t>
            </w:r>
          </w:p>
        </w:tc>
      </w:tr>
      <w:tr>
        <w:trPr>
          <w:trHeight w:val="225"/>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September 30, 2025, based on their fair values. Securities with sinking funds are reported at average maturity. Actual maturities may differ from contractual maturities because certain securities may be called or prepaid by the issuers.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With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rPr>
              <w:t>Unrealized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7"/>
                <w:szCs w:val="17"/>
                <w:color w:val="auto"/>
                <w:w w:val="99"/>
              </w:rPr>
              <w:t>Maturity</w:t>
            </w:r>
          </w:p>
        </w:tc>
        <w:tc>
          <w:tcPr>
            <w:tcW w:w="66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One year or less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After five years through ten years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CLOs and other asset-backed securities (average life of approximately 3 years)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Residential mortgage-backed securities (average life of approximately 6 years)</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9900" w:type="dxa"/>
            <w:vAlign w:val="bottom"/>
            <w:gridSpan w:val="11"/>
          </w:tcPr>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Aggregate</w:t>
            </w: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5"/>
                <w:szCs w:val="15"/>
                <w:color w:val="auto"/>
              </w:rPr>
              <w:t>Fair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8"/>
              <w:spacing w:after="0"/>
              <w:rPr>
                <w:sz w:val="20"/>
                <w:szCs w:val="20"/>
                <w:color w:val="auto"/>
              </w:rPr>
            </w:pPr>
            <w:r>
              <w:rPr>
                <w:rFonts w:ascii="Arial" w:cs="Arial" w:eastAsia="Arial" w:hAnsi="Arial"/>
                <w:sz w:val="15"/>
                <w:szCs w:val="15"/>
                <w:color w:val="auto"/>
                <w:w w:val="98"/>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Gain (Loss)</w:t>
            </w: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0" w:type="dxa"/>
            <w:vAlign w:val="bottom"/>
            <w:tcBorders>
              <w:top w:val="single" w:sz="8" w:color="CCEEFF"/>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7"/>
                <w:szCs w:val="17"/>
                <w:color w:val="auto"/>
              </w:rPr>
              <w:t>Fixed Maturities at September 30, 2025</w:t>
            </w:r>
          </w:p>
        </w:tc>
        <w:tc>
          <w:tcPr>
            <w:tcW w:w="4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(66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(1,004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(94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(801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5"/>
                <w:szCs w:val="15"/>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3"/>
                <w:szCs w:val="13"/>
                <w:color w:val="auto"/>
              </w:rPr>
            </w:pPr>
          </w:p>
        </w:tc>
        <w:tc>
          <w:tcPr>
            <w:tcW w:w="1020" w:type="dxa"/>
            <w:vAlign w:val="bottom"/>
          </w:tcPr>
          <w:p>
            <w:pPr>
              <w:jc w:val="center"/>
              <w:ind w:right="98"/>
              <w:spacing w:after="0" w:line="153"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7"/>
                <w:szCs w:val="17"/>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728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Securities with Unrealized Losses at September 30, 2025</w:t>
            </w: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3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(81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(701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(25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(88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2024 Form 10-K under </w:t>
      </w:r>
      <w:r>
        <w:rPr>
          <w:rFonts w:ascii="Arial" w:cs="Arial" w:eastAsia="Arial" w:hAnsi="Arial"/>
          <w:sz w:val="17"/>
          <w:szCs w:val="17"/>
          <w:i w:val="1"/>
          <w:iCs w:val="1"/>
          <w:color w:val="auto"/>
        </w:rPr>
        <w:t>Management’s Discussion and Analysis — “Investments.”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September 30, 2025.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28"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Management’s Discussion and Analysis — “Uncertainties — 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Environmental-related (“A&amp;E”) Insurance Reserves</w:t>
      </w:r>
      <w:r>
        <w:rPr>
          <w:rFonts w:ascii="Arial" w:cs="Arial" w:eastAsia="Arial" w:hAnsi="Arial"/>
          <w:sz w:val="17"/>
          <w:szCs w:val="17"/>
          <w:color w:val="auto"/>
        </w:rPr>
        <w:t>” in AFG’s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September 30, 2025</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Assets:</w:t>
            </w:r>
          </w:p>
        </w:tc>
        <w:tc>
          <w:tcPr>
            <w:tcW w:w="43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33,834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19,529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19,529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25,270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2024</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16,026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10,844</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680" w:type="dxa"/>
            <w:vAlign w:val="bottom"/>
            <w:tcBorders>
              <w:top w:val="single" w:sz="8" w:color="CCEEFF"/>
              <w:bottom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26,370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3"/>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7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68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Three months ended September 30, 2025</w:t>
            </w:r>
          </w:p>
        </w:tc>
        <w:tc>
          <w:tcPr>
            <w:tcW w:w="35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Subsidiaries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2,270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September 30, 2024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180" w:hanging="412"/>
        <w:spacing w:after="0" w:line="26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income of $6 million in the third quarter of 2025 and $2 million in the third quarter of 2024, representing the change in fair value of AFG’s CLO investments and $3 million of income in both the third quarter of 2025 and 2024, in CLO management fees earned.</w:t>
      </w:r>
    </w:p>
    <w:p>
      <w:pPr>
        <w:spacing w:after="0" w:line="1" w:lineRule="exact"/>
        <w:rPr>
          <w:rFonts w:ascii="Arial" w:cs="Arial" w:eastAsia="Arial" w:hAnsi="Arial"/>
          <w:sz w:val="14"/>
          <w:szCs w:val="14"/>
          <w:color w:val="auto"/>
        </w:rPr>
      </w:pPr>
    </w:p>
    <w:p>
      <w:pPr>
        <w:ind w:left="420" w:right="640" w:hanging="412"/>
        <w:spacing w:after="0" w:line="26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$8 million and $7 million in the third quarter of 2025 and 2024, respectively, in distributions recorded as interest expense by the CLOs.</w:t>
      </w: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Nine months ended September 30, 2025</w:t>
            </w:r>
          </w:p>
        </w:tc>
        <w:tc>
          <w:tcPr>
            <w:tcW w:w="35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Subsidiaries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Nine months ended September 30, 2024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5,186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5,186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5,104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5,371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56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income of $10 million in the first nine months of 2025 and $25 million in the first nine months of 2024, representing the change in fair value of AFG’s CLO investments and $8 million and $9 million of income in the first nine months of 2025 and 2024, respectively, in CLO management fees earned.</w:t>
      </w:r>
    </w:p>
    <w:p>
      <w:pPr>
        <w:spacing w:after="0" w:line="1" w:lineRule="exact"/>
        <w:rPr>
          <w:rFonts w:ascii="Arial" w:cs="Arial" w:eastAsia="Arial" w:hAnsi="Arial"/>
          <w:sz w:val="14"/>
          <w:szCs w:val="14"/>
          <w:color w:val="auto"/>
        </w:rPr>
      </w:pPr>
    </w:p>
    <w:p>
      <w:pPr>
        <w:ind w:left="420" w:right="20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$22 million and $25 million in the first nine months of 2025 and 2024, respectively, in distributions recorded as interest expense by the CLOs.</w:t>
      </w: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2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3080" w:type="dxa"/>
            <w:vAlign w:val="bottom"/>
            <w:gridSpan w:val="6"/>
          </w:tcPr>
          <w:p>
            <w:pPr>
              <w:ind w:left="34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40" w:type="dxa"/>
            <w:vAlign w:val="bottom"/>
            <w:gridSpan w:val="4"/>
          </w:tcPr>
          <w:p>
            <w:pPr>
              <w:jc w:val="right"/>
              <w:ind w:right="299"/>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2024</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Realized gain on subsidiaries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Special A&amp;E charges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Earnings before income taxes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Provision for income taxes: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Core operating earnings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Non-core items: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180" w:type="dxa"/>
            <w:vAlign w:val="bottom"/>
          </w:tcPr>
          <w:p>
            <w:pPr>
              <w:ind w:left="680"/>
              <w:spacing w:after="0"/>
              <w:rPr>
                <w:sz w:val="20"/>
                <w:szCs w:val="20"/>
                <w:color w:val="auto"/>
              </w:rPr>
            </w:pPr>
            <w:r>
              <w:rPr>
                <w:rFonts w:ascii="Arial" w:cs="Arial" w:eastAsia="Arial" w:hAnsi="Arial"/>
                <w:sz w:val="16"/>
                <w:szCs w:val="16"/>
                <w:color w:val="auto"/>
              </w:rPr>
              <w:t>Realized gain on subsidiaries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Special A&amp;E charges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180" w:type="dxa"/>
            <w:vAlign w:val="bottom"/>
          </w:tcPr>
          <w:p>
            <w:pPr>
              <w:ind w:left="680"/>
              <w:spacing w:after="0"/>
              <w:rPr>
                <w:sz w:val="20"/>
                <w:szCs w:val="20"/>
                <w:color w:val="auto"/>
              </w:rPr>
            </w:pPr>
            <w:r>
              <w:rPr>
                <w:rFonts w:ascii="Arial" w:cs="Arial" w:eastAsia="Arial" w:hAnsi="Arial"/>
                <w:sz w:val="16"/>
                <w:szCs w:val="16"/>
                <w:color w:val="auto"/>
              </w:rPr>
              <w:t>Other (*)</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518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Total provision for income taxes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Core net operating earnings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 on subsidiaries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Special A&amp;E charges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Diluted per share amounts: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Core net operating earnings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Realized gain on subsidiaries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Special A&amp;E charges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Adjustments to income tax expense related to sales of subsidiaries in prior years.</w:t>
      </w:r>
    </w:p>
    <w:p>
      <w:pPr>
        <w:spacing w:after="0" w:line="26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Net earnings were $215 million in the third quarter of 2025 compared to $181 million in the third quarter of 2024 reflecting higher core net operating earnings and net realized gains on securities in the 2025 quarter compared to net realized losses on securities in the 2024 quarter, partially offset by higher special A&amp;E charges in the 2025 quarter compared to the 2024 quarter. Core net operating earnings in the third quarter of 2025 increased $30 million compared to the third</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quarter of 2024 reflecting higher underwriting profit and higher net investment income. Net realized gains on securities in the third quarter of 2025 and net realized losses in the third quarter of 2024 include after-tax gains of $6 million and $8 million, respectively, resulting from the change in fair value of equity securities that were still held at the balance sheet date.</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Net earnings were $543 million in the first nine months of 2025 compared to $632 million in the first nine months of 2024 reflecting lower core net operating earnings. Core net operating earnings decreased $85 million compared to the first nine months of 2024 reflecting lower underwriting profit and lower net investment income from AFG’s alternative investment portfolio (partnerships and similar investments and AFG-managed CLOs), partially offset by higher investment income outside of alternative investments. Net realized gains on securities in the first nine months of 2025 and 2024 include after-tax gains of $19 million and $20 million, respectively, resulting from the change in fair value of equity securities that were still held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ind w:right="560"/>
        <w:spacing w:after="0" w:line="298" w:lineRule="auto"/>
        <w:rPr>
          <w:sz w:val="20"/>
          <w:szCs w:val="20"/>
          <w:color w:val="auto"/>
        </w:rPr>
      </w:pPr>
      <w:r>
        <w:rPr>
          <w:rFonts w:ascii="Arial" w:cs="Arial" w:eastAsia="Arial" w:hAnsi="Arial"/>
          <w:sz w:val="29"/>
          <w:szCs w:val="29"/>
          <w:b w:val="1"/>
          <w:bCs w:val="1"/>
          <w:color w:val="003366"/>
        </w:rPr>
        <w:t>RESULTS OF OPERATIONS — THREE MONTHS ENDED SEPTEMBER 30,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September 30, 2025 and 2024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Consol.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MIEs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September 30, 2025</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80"/>
              <w:spacing w:after="0"/>
              <w:rPr>
                <w:sz w:val="20"/>
                <w:szCs w:val="20"/>
                <w:color w:val="auto"/>
              </w:rPr>
            </w:pPr>
            <w:r>
              <w:rPr>
                <w:rFonts w:ascii="Arial" w:cs="Arial" w:eastAsia="Arial" w:hAnsi="Arial"/>
                <w:sz w:val="14"/>
                <w:szCs w:val="14"/>
                <w:color w:val="auto"/>
              </w:rPr>
              <w:t>Realized gain on subsidiaries, net of tax</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September 30, 2024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AFG’s property and casualty insurance operations contributed $328 million in pretax earnings in the third quarter of 2025 compared to $291 million in the third quarter of 2024, an increase of $37 million (13%), reflecting higher underwriting profit and higher net investment income.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 and 2024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5"/>
                <w:szCs w:val="15"/>
                <w:color w:val="auto"/>
              </w:rPr>
              <w:t>Three months ended September 30,</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(1,395)</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1%</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1,430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510</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115</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20%</w:t>
            </w:r>
          </w:p>
        </w:tc>
      </w:tr>
      <w:tr>
        <w:trPr>
          <w:trHeight w:val="216"/>
        </w:trPr>
        <w:tc>
          <w:tcPr>
            <w:tcW w:w="6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195</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5%</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Earnings before income taxes</w:t>
            </w:r>
          </w:p>
        </w:tc>
        <w:tc>
          <w:tcPr>
            <w:tcW w:w="2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328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291</w:t>
            </w:r>
          </w:p>
        </w:tc>
        <w:tc>
          <w:tcPr>
            <w:tcW w:w="1320" w:type="dxa"/>
            <w:vAlign w:val="bottom"/>
            <w:gridSpan w:val="2"/>
          </w:tcPr>
          <w:p>
            <w:pPr>
              <w:jc w:val="right"/>
              <w:ind w:right="1"/>
              <w:spacing w:after="0" w:line="183" w:lineRule="exact"/>
              <w:rPr>
                <w:sz w:val="20"/>
                <w:szCs w:val="20"/>
                <w:color w:val="auto"/>
              </w:rPr>
            </w:pPr>
            <w:r>
              <w:rPr>
                <w:rFonts w:ascii="Arial" w:cs="Arial" w:eastAsia="Arial" w:hAnsi="Arial"/>
                <w:sz w:val="16"/>
                <w:szCs w:val="16"/>
                <w:color w:val="auto"/>
              </w:rPr>
              <w:t>13%</w:t>
            </w:r>
          </w:p>
        </w:tc>
      </w:tr>
      <w:tr>
        <w:trPr>
          <w:trHeight w:val="21"/>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5"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21590</wp:posOffset>
            </wp:positionV>
            <wp:extent cx="21170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640"/>
        <w:spacing w:after="0"/>
        <w:tabs>
          <w:tab w:leader="none" w:pos="2340" w:val="left"/>
          <w:tab w:leader="none" w:pos="3760" w:val="left"/>
        </w:tabs>
        <w:rPr>
          <w:sz w:val="20"/>
          <w:szCs w:val="20"/>
          <w:color w:val="auto"/>
        </w:rPr>
      </w:pPr>
      <w:r>
        <w:rPr>
          <w:rFonts w:ascii="Arial" w:cs="Arial" w:eastAsia="Arial" w:hAnsi="Arial"/>
          <w:sz w:val="15"/>
          <w:szCs w:val="15"/>
          <w:color w:val="auto"/>
        </w:rPr>
        <w:t>2025</w:t>
      </w:r>
      <w:r>
        <w:rPr>
          <w:sz w:val="20"/>
          <w:szCs w:val="20"/>
          <w:color w:val="auto"/>
        </w:rPr>
        <w:tab/>
      </w:r>
      <w:r>
        <w:rPr>
          <w:rFonts w:ascii="Arial" w:cs="Arial" w:eastAsia="Arial" w:hAnsi="Arial"/>
          <w:sz w:val="15"/>
          <w:szCs w:val="15"/>
          <w:color w:val="auto"/>
        </w:rPr>
        <w:t>2024</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21590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69.5%</w:t>
            </w: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1"/>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13"/>
        </w:trPr>
        <w:tc>
          <w:tcPr>
            <w:tcW w:w="162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69.6%</w:t>
            </w: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-1165225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-890905</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-591185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20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Gross written premiums (“GWP”) for AFG’s property and casualty insurance segment were $3.67 billion for the third quarter of 2025 compared to $3.75 billion for the third quarter of 2024, a decrease of $83 million (2%). Detail of gross written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2025</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6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1,975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1,337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3%</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w:t>
            </w:r>
          </w:p>
        </w:tc>
      </w:tr>
      <w:tr>
        <w:trPr>
          <w:trHeight w:val="209"/>
        </w:trPr>
        <w:tc>
          <w:tcPr>
            <w:tcW w:w="53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3,665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39% of gross written premiums for the third quarter of 2025 compared to 37% for the third quarter of 2024, an increase of 2 percentage points. Detail of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color w:val="auto"/>
              </w:rPr>
              <w:t>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2025</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color w:val="auto"/>
              </w:rPr>
              <w:t>Change in</w:t>
            </w:r>
          </w:p>
        </w:tc>
      </w:tr>
      <w:tr>
        <w:trPr>
          <w:trHeight w:val="198"/>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080" w:type="dxa"/>
            <w:vAlign w:val="bottom"/>
          </w:tcPr>
          <w:p>
            <w:pPr>
              <w:jc w:val="right"/>
              <w:ind w:right="122"/>
              <w:spacing w:after="0"/>
              <w:rPr>
                <w:sz w:val="20"/>
                <w:szCs w:val="20"/>
                <w:color w:val="auto"/>
              </w:rPr>
            </w:pPr>
            <w:r>
              <w:rPr>
                <w:rFonts w:ascii="Arial" w:cs="Arial" w:eastAsia="Arial" w:hAnsi="Arial"/>
                <w:sz w:val="14"/>
                <w:szCs w:val="14"/>
                <w:color w:val="auto"/>
              </w:rPr>
              <w:t>% of GWP</w:t>
            </w:r>
          </w:p>
        </w:tc>
      </w:tr>
      <w:tr>
        <w:trPr>
          <w:trHeight w:val="21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5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17" w:lineRule="exact"/>
        <w:rPr>
          <w:sz w:val="20"/>
          <w:szCs w:val="20"/>
          <w:color w:val="auto"/>
        </w:rPr>
      </w:pPr>
    </w:p>
    <w:p>
      <w:pPr>
        <w:ind w:right="520"/>
        <w:spacing w:after="0" w:line="281" w:lineRule="auto"/>
        <w:rPr>
          <w:sz w:val="20"/>
          <w:szCs w:val="20"/>
          <w:color w:val="auto"/>
        </w:rPr>
      </w:pPr>
      <w:r>
        <w:rPr>
          <w:rFonts w:ascii="Arial" w:cs="Arial" w:eastAsia="Arial" w:hAnsi="Arial"/>
          <w:sz w:val="17"/>
          <w:szCs w:val="17"/>
          <w:color w:val="auto"/>
        </w:rPr>
        <w:t>Net written premiums (“NWP”) for AFG’s property and casualty insurance segment were $2.25 billion for the third quarter of 2025 compared to $2.35 billion for the third quarter of 2024, a decrease of $101 million (4%). Detail of net written premiums is shown below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9"/>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Change</w:t>
            </w:r>
          </w:p>
        </w:tc>
      </w:tr>
      <w:tr>
        <w:trPr>
          <w:trHeight w:val="21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w:t>
            </w:r>
          </w:p>
        </w:tc>
      </w:tr>
      <w:tr>
        <w:trPr>
          <w:trHeight w:val="210"/>
        </w:trPr>
        <w:tc>
          <w:tcPr>
            <w:tcW w:w="532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color w:val="auto"/>
        </w:rPr>
        <w:t>Net earned premiums (“NEP”) for AFG’s property and casualty insurance segment were $2.01 billion for the third quarter of 2025 compared to $2.06 billion for the third quarter of 2024, a decrease of $42 million (2%). Detail of net earned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8"/>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 Change</w:t>
            </w:r>
          </w:p>
        </w:tc>
      </w:tr>
      <w:tr>
        <w:trPr>
          <w:trHeight w:val="21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1300" w:type="dxa"/>
            <w:vAlign w:val="bottom"/>
            <w:gridSpan w:val="2"/>
          </w:tcPr>
          <w:p>
            <w:pPr>
              <w:jc w:val="right"/>
              <w:ind w:right="2"/>
              <w:spacing w:after="0"/>
              <w:rPr>
                <w:sz w:val="20"/>
                <w:szCs w:val="20"/>
                <w:color w:val="auto"/>
              </w:rPr>
            </w:pPr>
            <w:r>
              <w:rPr>
                <w:rFonts w:ascii="Arial" w:cs="Arial" w:eastAsia="Arial" w:hAnsi="Arial"/>
                <w:sz w:val="16"/>
                <w:szCs w:val="16"/>
                <w:color w:val="auto"/>
              </w:rPr>
              <w:t>2%</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10"/>
        </w:trPr>
        <w:tc>
          <w:tcPr>
            <w:tcW w:w="524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Gross written premiums for the third quarter of 2025 decreased $83 million (2%) compared to the third quarter of 2024. Earlier reporting of 2025 crop acreage by insureds impacted the timing of the recording of crop premiums and contributed to the year-over-year third quarter decrease, particularly when compared to later reporting of acreage in 2024. Excluding</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both"/>
        <w:ind w:right="280"/>
        <w:spacing w:after="0" w:line="266" w:lineRule="auto"/>
        <w:rPr>
          <w:sz w:val="20"/>
          <w:szCs w:val="20"/>
          <w:color w:val="auto"/>
        </w:rPr>
      </w:pPr>
      <w:r>
        <w:rPr>
          <w:rFonts w:ascii="Arial" w:cs="Arial" w:eastAsia="Arial" w:hAnsi="Arial"/>
          <w:sz w:val="17"/>
          <w:szCs w:val="17"/>
          <w:color w:val="auto"/>
        </w:rPr>
        <w:t>the crop business, gross written premiums increased 3% compared to the third quarter of 2024 as a result of premium growth from new business opportunities, increased exposures and a good renewal rate environment. Overall average renewal rates increased approximately 5% in the third quarter of 2025, both including and excluding the workers’ compensation businesses.</w:t>
      </w:r>
    </w:p>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decreased $132 million (6%) in the third quarter of 2025 compared to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2024. This decrease was primarily the result of earlier reporting of 2025 crop acreage, which shifted the timing of reporting of some crop premium from the third quarter to the second quarter. Excluding the crop business, gross written premiums for this group increased 2% compared to the third quarter of 2024, reflecting new business opportunities, a favorable rate environment and increased exposures in the transportation businesses. Average renewal rates increased approximately 6% for this group in the third quarter of 2025. Reinsurance premiums ceded as a percentage of gross written premiums increased 2 percentage points in the third quarter of 2025 compared to the third quarter of 2024, reflecting growth in alternative risk transfer products in the transportation businesses, which cede a higher percentage of premiums than some of the other businesses in the Property and transportation sub-segment and an increase in ceded premiums in the aviation business, partially offset by a decrease in cessions due to the timing of premiums in the crop business.</w:t>
      </w:r>
    </w:p>
    <w:p>
      <w:pPr>
        <w:spacing w:after="0" w:line="23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$40 million (3%) in the third quarter of 2025 compared to the third quarter of 2024,</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reflecting new business opportunities and favorable renewal pricing in several of the targeted markets businesses and an increase in mergers and acquisition activity that contributed to growth in the mergers and acquisitions liability business. This growth was tempered by lower premiums in the excess and surplus, executive liability and social services businesses. Average renewal rates increased approximately 7% for this group in the third quarter of 2025. Excluding the workers’ compensation businesses, renewal rates for this group increased approximately 8%. Reinsurance premiums ceded as a percentage of gross written premiums increased 3 percentage points in the third quarter of 2025 compared to the third quarter of 2024, reflecting higher cessions and higher reinsurance costs in the excess liability business and growth in the public sector and mergers and acquisitions liability businesses, both of which cede a larger percentage of premiums than some of the other businesses in the Specialty casualty sub-segment.</w:t>
      </w:r>
    </w:p>
    <w:p>
      <w:pPr>
        <w:spacing w:after="0" w:line="230"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$9 million (3%) in the third quarter of 2025 compared to the third quarter of 2024, due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primarily to growth in the financial institutions business and AFG’s European operations. Average renewal rates decreased approximately 2% for this group in the third quarter of 2025. Reinsurance premiums ceded as a percentage of gross written premiums increased 2 percentage points in the third quarter of 2025 compared to the third quarter of 2024, reflecting higher cessions in the financial institutions and equipment leasing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details the components of the combined ratio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Three months ended September 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color w:val="auto"/>
              </w:rPr>
              <w:t>Three months ended September 30,</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414"/>
        </w:trPr>
        <w:tc>
          <w:tcPr>
            <w:tcW w:w="1500" w:type="dxa"/>
            <w:vAlign w:val="bottom"/>
          </w:tcPr>
          <w:p>
            <w:pPr>
              <w:jc w:val="right"/>
              <w:spacing w:after="0"/>
              <w:rPr>
                <w:sz w:val="20"/>
                <w:szCs w:val="20"/>
                <w:color w:val="auto"/>
              </w:rPr>
            </w:pPr>
            <w:r>
              <w:rPr>
                <w:rFonts w:ascii="Arial" w:cs="Arial" w:eastAsia="Arial" w:hAnsi="Arial"/>
                <w:sz w:val="16"/>
                <w:szCs w:val="16"/>
                <w:color w:val="auto"/>
              </w:rPr>
              <w:t>77.8%</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55</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66.8%</w:t>
            </w:r>
          </w:p>
        </w:tc>
        <w:tc>
          <w:tcPr>
            <w:tcW w:w="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65.1%</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33</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46.5%</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51</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69.5%</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67.3%</w:t>
            </w:r>
          </w:p>
        </w:tc>
        <w:tc>
          <w:tcPr>
            <w:tcW w:w="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69.6%</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-4208145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-3933825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-3634105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-3342640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-3068320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-2767965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-2476500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-2202815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-1902460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-1610995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-1336675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-1036320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-745490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-471170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-170815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7260"/>
          </w:cols>
          <w:pgMar w:left="320" w:top="116" w:right="339" w:bottom="1440" w:gutter="0" w:footer="0" w:header="0"/>
          <w:type w:val="continuous"/>
        </w:sectPr>
      </w:pP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Specialty property and casualty insurance operations generated an underwriting profit of $139 million in the third quarter of 2025 compared to $117 million in the third quarter of 2024, an increase of $22 million (19%). Higher year-over-year underwriting profit in the Specialty financial and Property and transportation sub-segments was partially offset by lower underwriting profit in the Specialty casualty sub-segment. Overall catastrophe losses were $23 million (1.2 points on the combined ratio) in the third quarter of 2025 compared to $90 million (4.4 points) in the third quarter of 2024.</w:t>
      </w:r>
    </w:p>
    <w:p>
      <w:pPr>
        <w:spacing w:after="0" w:line="200" w:lineRule="exact"/>
        <w:rPr>
          <w:sz w:val="20"/>
          <w:szCs w:val="20"/>
          <w:color w:val="auto"/>
        </w:rPr>
      </w:pPr>
    </w:p>
    <w:p>
      <w:pPr>
        <w:spacing w:after="0" w:line="213"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$55 million for the third quarter of 2025 compared to $33 million for the third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2024, an increase of $22 million (67%), reflecting the impact of lower catastrophe losses. Catastrophe losses were $4 million (0.4 points on the combined ratio) in the third quarter of 2025 compared to $34 million (3.7 points) in the third quarter of 2024.</w:t>
      </w:r>
    </w:p>
    <w:p>
      <w:pPr>
        <w:spacing w:after="0" w:line="216"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$33 million for the third quarter of 2025 compared to $63 million for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2024, a decrease of $30 million (48%). Higher underwriting profit in the executive liability business was more than offset by lower year-over-year underwriting profit in some of the social inflation exposed businesses and, to a lesser extent, the mergers and acquisitions liability and workers’ compensation businesses. Catastrophe losses were $8 million (1.0 points on the combined ratio) in the third quarter of 2025 compared to catastrophe losses of $17 million (2.0 points) in the third quarter of 2024.</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$51 million for the third quarter of 2025 compared to $21 million in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2024, an increase of $30 million (143%). This increase was due primarily to improved results in the financial institutions business, largely attributable to lower year-over-year catastrophe losses, and higher underwriting profitability in the surety and fidelity businesses. Catastrophe losses were $11 million (4.1 points on the combined ratio) in the third quarter of 2025 compared to $39 million (14.4 points) in the third quarter of 2024.</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 million in the third quarter of 2025 and $2 million in the third quarter of 2024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67.3% for the third quarter of 2025 compared to 69.6% for the third quarter of 2024, a decrease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2.3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rPr>
              <w:t>Three months ended 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Amount</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Ratio</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735</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77.1%</w:t>
            </w:r>
          </w:p>
        </w:tc>
        <w:tc>
          <w:tcPr>
            <w:tcW w:w="1320" w:type="dxa"/>
            <w:vAlign w:val="bottom"/>
            <w:gridSpan w:val="2"/>
          </w:tcPr>
          <w:p>
            <w:pPr>
              <w:jc w:val="right"/>
              <w:ind w:right="8"/>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62.3%</w:t>
            </w:r>
          </w:p>
        </w:tc>
        <w:tc>
          <w:tcPr>
            <w:tcW w:w="1320" w:type="dxa"/>
            <w:vAlign w:val="bottom"/>
            <w:gridSpan w:val="2"/>
          </w:tcPr>
          <w:p>
            <w:pPr>
              <w:jc w:val="right"/>
              <w:ind w:right="8"/>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1,355</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65.9%</w:t>
            </w:r>
          </w:p>
        </w:tc>
        <w:tc>
          <w:tcPr>
            <w:tcW w:w="1320" w:type="dxa"/>
            <w:vAlign w:val="bottom"/>
            <w:gridSpan w:val="2"/>
          </w:tcPr>
          <w:p>
            <w:pPr>
              <w:jc w:val="right"/>
              <w:ind w:right="8"/>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1,355</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65.9%</w:t>
            </w:r>
          </w:p>
        </w:tc>
        <w:tc>
          <w:tcPr>
            <w:tcW w:w="1320" w:type="dxa"/>
            <w:vAlign w:val="bottom"/>
            <w:gridSpan w:val="2"/>
          </w:tcPr>
          <w:p>
            <w:pPr>
              <w:jc w:val="right"/>
              <w:ind w:right="8"/>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67.2% for the third quarter of 2025 compared to 65.9% for the third quarter of 2024, an increase of 1.3 percentage points.</w:t>
      </w:r>
    </w:p>
    <w:p>
      <w:pPr>
        <w:spacing w:after="0" w:line="188"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1.4 percentage points increase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lower earnings in the crop business, partially offset by improved results in the transportation and ocean marine businesses.</w:t>
      </w:r>
    </w:p>
    <w:p>
      <w:pPr>
        <w:spacing w:after="0" w:line="236" w:lineRule="exact"/>
        <w:rPr>
          <w:sz w:val="20"/>
          <w:szCs w:val="20"/>
          <w:color w:val="auto"/>
        </w:rPr>
      </w:pPr>
    </w:p>
    <w:p>
      <w:pPr>
        <w:ind w:right="380"/>
        <w:spacing w:after="0" w:line="236"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3.6 percentage points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higher claim severity in the excess and surplus and social services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3.0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in the surety and fidelity businesses.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2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$24 million in the third quarter of 2025 compared to $17 million in the third quarter of 2024, an increase of $7 million (41%).</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$11 million in the third quarter of 2025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severity in the property and inland marine, aviation and ocean marine businesses, partially offset by higher than expected claim severity in the agribusiness operations. Net favorable reserve development of $14 million in the third quarter of 2024 reflects lower than anticipated claim severity in the ocean marine business and, to a lesser extent, lower than expected claim severity in the agribusiness, property and inland marine and aviation businesses.</w:t>
      </w:r>
    </w:p>
    <w:p>
      <w:pPr>
        <w:spacing w:after="0" w:line="215"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$1 million in the third quarter of 2025 reflects lower than expected claim severity in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workers’ compensation businesses, partially offset by higher than anticipated claim severity in the excess and surplus and social services businesses. Net adverse reserve development of $6 million in the third quarter of 2024 reflects higher than anticipated claim severity in the umbrella and excess liability and public sector businesses, partially offset by lower than anticipated claim severity in the workers’ compensation businesses.</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$12 million in the third quarter of 2025 reflects lower than expected claim frequency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financial institutions business and lower than anticipated claim severity in the surety and fidelity businesses. Net favorable reserve development of $9 million in the third quarter of 2024 reflects lower than anticipated claim severity in the fidelity business and lower than expected claim frequency in the financial institutions business.</w:t>
      </w:r>
    </w:p>
    <w:p>
      <w:pPr>
        <w:spacing w:after="0" w:line="218"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3366"/>
        </w:rPr>
        <w:t xml:space="preserve">Asbestos and environmental reserves </w:t>
      </w:r>
      <w:r>
        <w:rPr>
          <w:rFonts w:ascii="Arial" w:cs="Arial" w:eastAsia="Arial" w:hAnsi="Arial"/>
          <w:sz w:val="17"/>
          <w:szCs w:val="17"/>
          <w:color w:val="000000"/>
        </w:rPr>
        <w:t>During the third quarter of 2025, AFG completed an in-depth internal review of its asbestos and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environmental exposures relating to the run-off operations of its property and casualty insurance segment and its exposures related to former railroad and manufacturing operations and sites. AFG annually conducts a comprehensive review of its asbestos and environmental reserves. In connection with its annual reviews, AFG engages with outside counsel and, as appropriate, engineering and consulting firms and specialty actuarial firms.</w:t>
      </w:r>
    </w:p>
    <w:p>
      <w:pPr>
        <w:spacing w:after="0" w:line="219"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 xml:space="preserve">During the 2025 internal review, no new trends were identified and recent claims activity was generally consistent with AFG’s expectations resulting from its in-depth internal reviews in the prior four years, and the most recent external study in 2020. As a result, and consistent with the internal review in the third quarter of 2024, the 2025 review resulted in no net change to AFG’s property and casualty insurance segment’s asbestos and environmental reserves. See </w:t>
      </w:r>
      <w:r>
        <w:rPr>
          <w:rFonts w:ascii="Arial" w:cs="Arial" w:eastAsia="Arial" w:hAnsi="Arial"/>
          <w:sz w:val="17"/>
          <w:szCs w:val="17"/>
          <w:i w:val="1"/>
          <w:iCs w:val="1"/>
          <w:color w:val="auto"/>
        </w:rPr>
        <w:t>Management’s Discussion and Analysis — “Uncertainties — Asbestos and Environmental-related (“A&amp;E”) Insurance</w:t>
      </w:r>
      <w:r>
        <w:rPr>
          <w:rFonts w:ascii="Arial" w:cs="Arial" w:eastAsia="Arial" w:hAnsi="Arial"/>
          <w:sz w:val="17"/>
          <w:szCs w:val="17"/>
          <w:color w:val="auto"/>
        </w:rPr>
        <w:t xml:space="preserve"> </w:t>
      </w:r>
      <w:r>
        <w:rPr>
          <w:rFonts w:ascii="Arial" w:cs="Arial" w:eastAsia="Arial" w:hAnsi="Arial"/>
          <w:sz w:val="17"/>
          <w:szCs w:val="17"/>
          <w:i w:val="1"/>
          <w:iCs w:val="1"/>
          <w:color w:val="auto"/>
        </w:rPr>
        <w:t>Reserves</w:t>
      </w:r>
      <w:r>
        <w:rPr>
          <w:rFonts w:ascii="Arial" w:cs="Arial" w:eastAsia="Arial" w:hAnsi="Arial"/>
          <w:sz w:val="17"/>
          <w:szCs w:val="17"/>
          <w:color w:val="auto"/>
        </w:rPr>
        <w:t>” in AFG’s 2024 Form 10-K.</w:t>
      </w:r>
    </w:p>
    <w:p>
      <w:pPr>
        <w:spacing w:after="0" w:line="20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At September 30, 2025, the property and casualty insurance segment’s insurance reserves include A&amp;E reserves of $353 million, net of reinsurance recoverables. At September 30, 2025, the property and casualty insurance segment’s three-year survival ratios compare favorably with industry survival ratios published by AM Best (as of December 31, 2024, and adjusted for several large industry portfolio transfers) as detailed in the following table:</w:t>
      </w:r>
    </w:p>
    <w:p>
      <w:pPr>
        <w:spacing w:after="0" w:line="10" w:lineRule="exact"/>
        <w:rPr>
          <w:sz w:val="20"/>
          <w:szCs w:val="20"/>
          <w:color w:val="auto"/>
        </w:rPr>
      </w:pPr>
    </w:p>
    <w:p>
      <w:pPr>
        <w:jc w:val="center"/>
        <w:ind w:left="5560"/>
        <w:spacing w:after="0"/>
        <w:rPr>
          <w:sz w:val="20"/>
          <w:szCs w:val="20"/>
          <w:color w:val="auto"/>
        </w:rPr>
      </w:pPr>
      <w:r>
        <w:rPr>
          <w:rFonts w:ascii="Arial" w:cs="Arial" w:eastAsia="Arial" w:hAnsi="Arial"/>
          <w:sz w:val="14"/>
          <w:szCs w:val="14"/>
          <w:color w:val="auto"/>
        </w:rPr>
        <w:t>Property and Casualty Insurance Reserves</w:t>
      </w:r>
    </w:p>
    <w:p>
      <w:pPr>
        <w:spacing w:after="0" w:line="42" w:lineRule="exact"/>
        <w:rPr>
          <w:sz w:val="20"/>
          <w:szCs w:val="20"/>
          <w:color w:val="auto"/>
        </w:rPr>
      </w:pPr>
    </w:p>
    <w:p>
      <w:pPr>
        <w:jc w:val="center"/>
        <w:ind w:left="5560"/>
        <w:spacing w:after="0"/>
        <w:rPr>
          <w:sz w:val="20"/>
          <w:szCs w:val="20"/>
          <w:color w:val="auto"/>
        </w:rPr>
      </w:pPr>
      <w:r>
        <w:rPr>
          <w:rFonts w:ascii="Arial" w:cs="Arial" w:eastAsia="Arial" w:hAnsi="Arial"/>
          <w:sz w:val="14"/>
          <w:szCs w:val="14"/>
          <w:color w:val="auto"/>
        </w:rPr>
        <w:t>Three-Year Survival Ratio (Times Paid Losses)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Asbestos</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Environmental</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color w:val="auto"/>
              </w:rPr>
              <w:t>Total A&amp;E</w:t>
            </w:r>
          </w:p>
        </w:tc>
      </w:tr>
      <w:tr>
        <w:trPr>
          <w:trHeight w:val="214"/>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AFG (9/30/2025)</w:t>
            </w: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5"/>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Industry (12/31/2024)</w:t>
            </w:r>
          </w:p>
        </w:tc>
        <w:tc>
          <w:tcPr>
            <w:tcW w:w="4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3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 xml:space="preserve">In addition, the 2025 and 2024 internal reviews encompassed reserves for asbestos and environmental exposures of AFG’s former railroad and manufacturing operations. For a discussion of the $25 million and $14 million pretax non-core special charge increases in AFG’s liabilities for those operations recorded in the third quarter of 2025 and the third quarter of 2024, respectively, see </w:t>
      </w:r>
      <w:r>
        <w:rPr>
          <w:rFonts w:ascii="Arial" w:cs="Arial" w:eastAsia="Arial" w:hAnsi="Arial"/>
          <w:sz w:val="17"/>
          <w:szCs w:val="17"/>
          <w:i w:val="1"/>
          <w:iCs w:val="1"/>
          <w:color w:val="auto"/>
        </w:rPr>
        <w:t>“Special A&amp;E Charges”</w:t>
      </w:r>
      <w:r>
        <w:rPr>
          <w:rFonts w:ascii="Arial" w:cs="Arial" w:eastAsia="Arial" w:hAnsi="Arial"/>
          <w:sz w:val="17"/>
          <w:szCs w:val="17"/>
          <w:color w:val="auto"/>
        </w:rPr>
        <w:t xml:space="preserve"> under “</w:t>
      </w:r>
      <w:r>
        <w:rPr>
          <w:rFonts w:ascii="Arial" w:cs="Arial" w:eastAsia="Arial" w:hAnsi="Arial"/>
          <w:sz w:val="17"/>
          <w:szCs w:val="17"/>
          <w:i w:val="1"/>
          <w:iCs w:val="1"/>
          <w:color w:val="auto"/>
        </w:rPr>
        <w:t>Results of Operations</w:t>
      </w:r>
    </w:p>
    <w:p>
      <w:pPr>
        <w:spacing w:after="0"/>
        <w:rPr>
          <w:sz w:val="20"/>
          <w:szCs w:val="20"/>
          <w:color w:val="auto"/>
        </w:rPr>
      </w:pPr>
      <w:r>
        <w:rPr>
          <w:rFonts w:ascii="Arial" w:cs="Arial" w:eastAsia="Arial" w:hAnsi="Arial"/>
          <w:sz w:val="17"/>
          <w:szCs w:val="17"/>
          <w:i w:val="1"/>
          <w:iCs w:val="1"/>
          <w:color w:val="auto"/>
        </w:rPr>
        <w:t>— Holding Company, Other and Unallocated</w:t>
      </w:r>
      <w:r>
        <w:rPr>
          <w:rFonts w:ascii="Arial" w:cs="Arial" w:eastAsia="Arial" w:hAnsi="Arial"/>
          <w:sz w:val="17"/>
          <w:szCs w:val="17"/>
          <w:color w:val="auto"/>
        </w:rPr>
        <w:t>,” for the quarters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$1 million in the third quarter of 2025 and $2 million in the third quarter of 2024 related to business outside of the Specialty group that AFG no longer writes.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AFG currently has comprehensive property catastrophe reinsurance coverage in place (including a $70 million per occurrence net retention) for losses up to $625 million in the vast majority of circumstances. This coverage consists of a combination of $245 million from traditional reinsurance and $310 million of coverage through a fully collateralized catastrophe bond. Based on data available at December 31, 2024, management estimates that AFG’s exposure to a catastrophic earthquake or windstorm that industry models indicate should statistically occur once in every 500 years is just over 2% of AFG’s Shareholders’ Equity.</w:t>
      </w:r>
    </w:p>
    <w:p>
      <w:pPr>
        <w:spacing w:after="0" w:line="210"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Catastrophe losses of $23 million in the third quarter of 2025 resulted primarily from storms in multiple regions of the United States. Catastrophe losses of $90 million in the third quarter of 2024 resulted primarily from Hurricane Helene.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1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AFG’s property and casualty commissions and other underwriting expenses (“U/W Exp”) were $520 million in the third quarter of 2025 compared to $510 million for the third quarter of 2024, an increase of $10 million (2%). AFG’s underwriting expense ratio, calculated as commissions and other underwriting expenses divided by net premiums earned, was 25.8% for the third quarter of 2025 compared to 24.8% for the third quarter of 2024, an increase of 1.0 percentage points. Detail of AFG’s property and casualty commissions and other underwriting expenses and underwriting expense ratios is shown below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color w:val="auto"/>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2025</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Change in</w:t>
            </w:r>
          </w:p>
        </w:tc>
      </w:tr>
      <w:tr>
        <w:trPr>
          <w:trHeight w:val="198"/>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508"/>
              <w:spacing w:after="0"/>
              <w:rPr>
                <w:sz w:val="20"/>
                <w:szCs w:val="20"/>
                <w:color w:val="auto"/>
              </w:rPr>
            </w:pPr>
            <w:r>
              <w:rPr>
                <w:rFonts w:ascii="Arial" w:cs="Arial" w:eastAsia="Arial" w:hAnsi="Arial"/>
                <w:sz w:val="14"/>
                <w:szCs w:val="14"/>
                <w:color w:val="auto"/>
              </w:rPr>
              <w:t>U/W Exp</w:t>
            </w:r>
          </w:p>
        </w:tc>
        <w:tc>
          <w:tcPr>
            <w:tcW w:w="1080" w:type="dxa"/>
            <w:vAlign w:val="bottom"/>
            <w:gridSpan w:val="2"/>
          </w:tcPr>
          <w:p>
            <w:pPr>
              <w:ind w:left="60"/>
              <w:spacing w:after="0"/>
              <w:rPr>
                <w:sz w:val="20"/>
                <w:szCs w:val="20"/>
                <w:color w:val="auto"/>
              </w:rPr>
            </w:pPr>
            <w:r>
              <w:rPr>
                <w:rFonts w:ascii="Arial" w:cs="Arial" w:eastAsia="Arial" w:hAnsi="Arial"/>
                <w:sz w:val="14"/>
                <w:szCs w:val="14"/>
                <w:color w:val="auto"/>
              </w:rPr>
              <w:t>% of NEP</w:t>
            </w:r>
          </w:p>
        </w:tc>
        <w:tc>
          <w:tcPr>
            <w:tcW w:w="180" w:type="dxa"/>
            <w:vAlign w:val="bottom"/>
          </w:tcPr>
          <w:p>
            <w:pPr>
              <w:spacing w:after="0"/>
              <w:rPr>
                <w:sz w:val="17"/>
                <w:szCs w:val="17"/>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color w:val="auto"/>
              </w:rPr>
              <w:t>U/W Exp</w:t>
            </w:r>
          </w:p>
        </w:tc>
        <w:tc>
          <w:tcPr>
            <w:tcW w:w="1080" w:type="dxa"/>
            <w:vAlign w:val="bottom"/>
            <w:gridSpan w:val="2"/>
          </w:tcPr>
          <w:p>
            <w:pPr>
              <w:ind w:left="60"/>
              <w:spacing w:after="0"/>
              <w:rPr>
                <w:sz w:val="20"/>
                <w:szCs w:val="20"/>
                <w:color w:val="auto"/>
              </w:rPr>
            </w:pPr>
            <w:r>
              <w:rPr>
                <w:rFonts w:ascii="Arial" w:cs="Arial" w:eastAsia="Arial" w:hAnsi="Arial"/>
                <w:sz w:val="14"/>
                <w:szCs w:val="14"/>
                <w:color w:val="auto"/>
              </w:rPr>
              <w:t>% of NEP</w:t>
            </w: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 of NEP</w:t>
            </w: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2.0%</w:t>
            </w:r>
          </w:p>
        </w:tc>
      </w:tr>
      <w:tr>
        <w:trPr>
          <w:trHeight w:val="21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w:t>
            </w:r>
          </w:p>
        </w:tc>
      </w:tr>
      <w:tr>
        <w:trPr>
          <w:trHeight w:val="210"/>
        </w:trPr>
        <w:tc>
          <w:tcPr>
            <w:tcW w:w="49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15" w:lineRule="exact"/>
        <w:rPr>
          <w:sz w:val="20"/>
          <w:szCs w:val="20"/>
          <w:color w:val="auto"/>
        </w:rPr>
      </w:pPr>
    </w:p>
    <w:p>
      <w:pPr>
        <w:jc w:val="both"/>
        <w:ind w:right="500"/>
        <w:spacing w:after="0" w:line="259" w:lineRule="auto"/>
        <w:rPr>
          <w:sz w:val="20"/>
          <w:szCs w:val="20"/>
          <w:color w:val="auto"/>
        </w:rPr>
      </w:pPr>
      <w:r>
        <w:rPr>
          <w:rFonts w:ascii="Arial" w:cs="Arial" w:eastAsia="Arial" w:hAnsi="Arial"/>
          <w:sz w:val="17"/>
          <w:szCs w:val="17"/>
          <w:color w:val="auto"/>
        </w:rPr>
        <w:t>1.1 percentage points in the third quarter of 2025 compared to the third quarter of 2024. The decrease reflects changes in the mix of business, partially offset by higher costs for software and other expenses associated with certain initiatives in IT security, customer experience and data analytics and the impact of lower earned premiums in the crop operations on the ratio (which has a lower commissions and other underwriting expense ratio than some of the other businesses in the Property and transportation sub-segment).</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increased 2.0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third quarter of 2025 compared to the third quarter of 2024 reflecting higher costs for software and other expenses associated with certain initiatives in IT security, customer experience and data analytics and an increase in average commission rates in certain excess and surplus businesses resulting from changes in reinsurance treaties.</w:t>
      </w:r>
    </w:p>
    <w:p>
      <w:pPr>
        <w:spacing w:after="0" w:line="218"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increased 3.5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third quarter of 2025 compared to the third quarter of 2024 due primarily to higher costs for software and other expenses associated with certain initiatives in IT security, customer experience and data analytics and higher profit-based commissions to agents in the financial institutions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0"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Net investment income in AFG’s property and casualty insurance operations was $205 million in the third quarter of 2025 compared to $195 million in the third quarter of 2024, an increase of $10 million (5%). The average invested assets and overall yield earned on investments held by AFG’s property and casualty insurance operations are provided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5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 Change</w:t>
            </w: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556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556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16,095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15,447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648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Yield on fixed maturities (before investment expenses)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83"/>
        </w:trPr>
        <w:tc>
          <w:tcPr>
            <w:tcW w:w="5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0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increase in the property and casualty insurance segment’s net investment income for the third quarter of 2025 compared to the third quarter of 2024 reflects the impact of higher returns on AFG’s alternative investment portfolio (partnerships and similar investments and AFG-managed CLOs), higher balances of invested assets and higher returns on fixed maturity investments. The property and casualty insurance segment’s overall yield on investments (net investment income as a percentage of average invested assets) was 5.09% for the third quarter of 2025 compared to 5.05% for the third quarter of 2024, an increase of 0.04 percentage points. The annualized return earned on alternative investments was 6.2% in the third quarter of 2025 compared to 5.4% in the comparable prior year period.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17"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$15 million for the third quarter of 2025 compared to $19 million for the third quarter of 2024, an improvement of $4 million (21%). The table below details the items included in other income and expenses, net for AFG’s property and casualty insurance operations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7"/>
                <w:szCs w:val="17"/>
                <w:color w:val="auto"/>
              </w:rPr>
            </w:pP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6"/>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The increase in other income in the third quarter of 2025 compared to the third quarter of 2024 reflects a death benefit received on a company-owned life insurance policy in the third quarter of 2025.</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4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$73 million in the third quarter of 2025 compared to $60 million in the third quarter of 2024, an increase of $13 million (22%). AFG’s net core pretax loss outside of its property and casualty insurance segments totaled $48 million in the third quarter of 2025 compared to $46 million in the third quarter of 2024, an increase of $2 million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three months ended September 30, 2025 and 2024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w w:val="98"/>
              </w:rPr>
              <w:t>(27)</w:t>
            </w:r>
          </w:p>
        </w:tc>
        <w:tc>
          <w:tcPr>
            <w:tcW w:w="126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(46)</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special A&amp;E charge</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100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(60)</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6"/>
          <w:szCs w:val="16"/>
          <w:color w:val="auto"/>
        </w:rPr>
      </w:pPr>
      <w:r>
        <w:rPr>
          <w:rFonts w:ascii="Arial" w:cs="Arial" w:eastAsia="Arial" w:hAnsi="Arial"/>
          <w:sz w:val="17"/>
          <w:szCs w:val="17"/>
          <w:color w:val="auto"/>
        </w:rPr>
        <w:t>Excludes pretax non-core special A&amp;E charges of $25 million and $14 million in the third quarters of 2025 and 2024,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$6 million in the third quarter of 2025 compared to $7 million in the third quarter of 2024, a decrease of $1 million (14%).</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third quarter of 2025 and the third quarter of 2024, AFG collected</w:t>
      </w:r>
    </w:p>
    <w:p>
      <w:pPr>
        <w:spacing w:after="0" w:line="2"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$23 million in fees for these services. Management views this fee income, net of the $14 million in the third quarter of 2025 and $15 million in the third quarter of 2024 in expenses incurred to generate such fees, as a reduction in the cost of underwriting its property and casualty insurance policies.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 xml:space="preserve">Other income in the table above includes $3 million in both the third quarter of 2025 and the third quarter of 2024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$1 million in both the third quarter of 2025 and the third quarter of 2024.</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17" w:lineRule="exact"/>
        <w:rPr>
          <w:sz w:val="20"/>
          <w:szCs w:val="20"/>
          <w:color w:val="auto"/>
        </w:rPr>
      </w:pPr>
    </w:p>
    <w:p>
      <w:pPr>
        <w:jc w:val="both"/>
        <w:ind w:right="140"/>
        <w:spacing w:after="0" w:line="265" w:lineRule="auto"/>
        <w:rPr>
          <w:sz w:val="20"/>
          <w:szCs w:val="20"/>
          <w:color w:val="auto"/>
        </w:rPr>
      </w:pPr>
      <w:r>
        <w:rPr>
          <w:rFonts w:ascii="Arial" w:cs="Arial" w:eastAsia="Arial" w:hAnsi="Arial"/>
          <w:sz w:val="17"/>
          <w:szCs w:val="17"/>
          <w:color w:val="auto"/>
        </w:rPr>
        <w:t>Excluding the non-core special A&amp;E charges recorded in the third quarters of 2025 and 2024 discussed below, AFG’s holding companies and other operations outside of its property and casualty insurance segment recorded other expenses of $39 million in the third quarter of 2025 compared to $38 million in the third quarter of 2024, an increase of $1 million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Special A&amp;E Charges</w:t>
      </w:r>
    </w:p>
    <w:p>
      <w:pPr>
        <w:spacing w:after="0" w:line="30"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During the third quarters of 2025 and 2024, AFG performed in-depth internal reviews of A&amp;E exposures as discussed under “</w:t>
      </w:r>
      <w:r>
        <w:rPr>
          <w:rFonts w:ascii="Arial" w:cs="Arial" w:eastAsia="Arial" w:hAnsi="Arial"/>
          <w:sz w:val="17"/>
          <w:szCs w:val="17"/>
          <w:i w:val="1"/>
          <w:iCs w:val="1"/>
          <w:color w:val="auto"/>
        </w:rPr>
        <w:t>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 reserves</w:t>
      </w:r>
      <w:r>
        <w:rPr>
          <w:rFonts w:ascii="Arial" w:cs="Arial" w:eastAsia="Arial" w:hAnsi="Arial"/>
          <w:sz w:val="17"/>
          <w:szCs w:val="17"/>
          <w:color w:val="auto"/>
        </w:rPr>
        <w:t>” under “</w:t>
      </w:r>
      <w:r>
        <w:rPr>
          <w:rFonts w:ascii="Arial" w:cs="Arial" w:eastAsia="Arial" w:hAnsi="Arial"/>
          <w:sz w:val="17"/>
          <w:szCs w:val="17"/>
          <w:i w:val="1"/>
          <w:iCs w:val="1"/>
          <w:color w:val="auto"/>
        </w:rPr>
        <w:t>Results of Operations — Property and Casualty Insurance Segment — Net prior year reserve development.</w:t>
      </w:r>
      <w:r>
        <w:rPr>
          <w:rFonts w:ascii="Arial" w:cs="Arial" w:eastAsia="Arial" w:hAnsi="Arial"/>
          <w:sz w:val="17"/>
          <w:szCs w:val="17"/>
          <w:color w:val="auto"/>
        </w:rPr>
        <w:t>”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the 2025 and 2024 reviews, AFG’s holding companies and other operations outside of its property and casualty insurance operations recorded pretax special non-core A&amp;E charges of $25 million in the third quarter of 2025 and $14 million in the third quarter of 2024 to increase liabilities related to the A&amp;E exposures of AFG’s former railroad and manufacturing operations. The charges in both periods reflect changes in the scope and costs of investigation and an increase in estimated remediation costs at a limited number of sites.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17"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both the third quarter of 2025 and the third quarter of 2024.</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AFG’s realized gains (losses) on securities were net gains of $12 million in the third quarter of 2025 compared to net losses of $2 million in the third quarter of 2024, a change of $14 million (700%). Realized gains (losses) on securities consisted of the following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Three months ended September 30,</w:t>
            </w:r>
          </w:p>
        </w:tc>
      </w:tr>
      <w:tr>
        <w:trPr>
          <w:trHeight w:val="199"/>
        </w:trPr>
        <w:tc>
          <w:tcPr>
            <w:tcW w:w="8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2024</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82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$13 million net realized gain from the change in the fair value of equity securities in the third quarter of 2025 includes gains of $11 million on investments in media companies and $6 million on investments in banks and financing companies, partially offset by losses of $10 million on investments in manufacturing companies. The $10 million net realized gain from the change in the fair value of equity securities in the third quarter of 2024 includes gains of $6 million on investments in banks and financing companies and $3 million on investments in media companies.</w:t>
      </w:r>
    </w:p>
    <w:p>
      <w:pPr>
        <w:spacing w:after="0" w:line="219"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$15 million change in allowance for impairments on securities in the third quarter of 2024 relates primarily to an allowance taken on corporate bonds from a single issuer in the financial sector.</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 on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2025, AFG recorded a $3 million pretax realized gain resulting from the remeasurement of its existing investment in</w:t>
      </w:r>
    </w:p>
    <w:p>
      <w:pPr>
        <w:ind w:right="180"/>
        <w:spacing w:after="0" w:line="235" w:lineRule="auto"/>
        <w:rPr>
          <w:sz w:val="20"/>
          <w:szCs w:val="20"/>
          <w:color w:val="auto"/>
        </w:rPr>
      </w:pPr>
      <w:r>
        <w:rPr>
          <w:rFonts w:ascii="Arial" w:cs="Arial" w:eastAsia="Arial" w:hAnsi="Arial"/>
          <w:sz w:val="17"/>
          <w:szCs w:val="17"/>
          <w:color w:val="auto"/>
        </w:rPr>
        <w:t xml:space="preserve">Radion Holdings, LLC to fair value (see </w:t>
      </w:r>
      <w:r>
        <w:rPr>
          <w:rFonts w:ascii="Arial" w:cs="Arial" w:eastAsia="Arial" w:hAnsi="Arial"/>
          <w:sz w:val="17"/>
          <w:szCs w:val="17"/>
          <w:i w:val="1"/>
          <w:iCs w:val="1"/>
          <w:color w:val="auto"/>
        </w:rPr>
        <w:t>Note B — “Acquisition of Business”</w:t>
      </w:r>
      <w:r>
        <w:rPr>
          <w:rFonts w:ascii="Arial" w:cs="Arial" w:eastAsia="Arial" w:hAnsi="Arial"/>
          <w:sz w:val="17"/>
          <w:szCs w:val="17"/>
          <w:color w:val="auto"/>
        </w:rPr>
        <w:t xml:space="preserve"> to the financial statements) and a $2 million pretax realized loss on the write-off of certain intangible assets (see </w:t>
      </w:r>
      <w:r>
        <w:rPr>
          <w:rFonts w:ascii="Arial" w:cs="Arial" w:eastAsia="Arial" w:hAnsi="Arial"/>
          <w:sz w:val="17"/>
          <w:szCs w:val="17"/>
          <w:i w:val="1"/>
          <w:iCs w:val="1"/>
          <w:color w:val="auto"/>
        </w:rPr>
        <w:t>Note H — “Goodwill and Other Intangibles”</w:t>
      </w:r>
      <w:r>
        <w:rPr>
          <w:rFonts w:ascii="Arial" w:cs="Arial" w:eastAsia="Arial" w:hAnsi="Arial"/>
          <w:sz w:val="17"/>
          <w:szCs w:val="17"/>
          <w:color w:val="auto"/>
        </w:rPr>
        <w:t xml:space="preserve"> to the financial statements)</w:t>
      </w:r>
      <w:r>
        <w:rPr>
          <w:rFonts w:ascii="Arial" w:cs="Arial" w:eastAsia="Arial" w:hAnsi="Arial"/>
          <w:sz w:val="17"/>
          <w:szCs w:val="17"/>
          <w:i w:val="1"/>
          <w:iCs w:val="1"/>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28"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 xml:space="preserve">AFG’s consolidated provision for income taxes was $53 million for the third quarter of 2025 compared to $48 million for the third quarter of 2024, an increase of $5 million (10%).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ind w:right="140"/>
        <w:spacing w:after="0" w:line="298" w:lineRule="auto"/>
        <w:rPr>
          <w:sz w:val="20"/>
          <w:szCs w:val="20"/>
          <w:color w:val="auto"/>
        </w:rPr>
      </w:pPr>
      <w:r>
        <w:rPr>
          <w:rFonts w:ascii="Arial" w:cs="Arial" w:eastAsia="Arial" w:hAnsi="Arial"/>
          <w:sz w:val="29"/>
          <w:szCs w:val="29"/>
          <w:b w:val="1"/>
          <w:bCs w:val="1"/>
          <w:color w:val="003366"/>
        </w:rPr>
        <w:t>RESULTS OF OPERATIONS — NINE MONTHS ENDED SEPTEMBER 30, 2025 AND 2024</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nine months ended September 30, 2025 and 2024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Nine months ended September 30, 2025</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6,093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5,417</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 on subsidiaries, net of tax</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Nine months ended September 30, 2024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5,781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180" w:hanging="412"/>
        <w:spacing w:after="0" w:line="284" w:lineRule="auto"/>
        <w:tabs>
          <w:tab w:leader="none" w:pos="4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See the reconciliation of core earnings to GAAP net earnings under </w:t>
      </w:r>
      <w:r>
        <w:rPr>
          <w:rFonts w:ascii="Arial" w:cs="Arial" w:eastAsia="Arial" w:hAnsi="Arial"/>
          <w:sz w:val="17"/>
          <w:szCs w:val="17"/>
          <w:i w:val="1"/>
          <w:iCs w:val="1"/>
          <w:color w:val="auto"/>
        </w:rPr>
        <w:t>“Results of Operations — General”</w:t>
      </w:r>
      <w:r>
        <w:rPr>
          <w:rFonts w:ascii="Arial" w:cs="Arial" w:eastAsia="Arial" w:hAnsi="Arial"/>
          <w:sz w:val="17"/>
          <w:szCs w:val="17"/>
          <w:color w:val="auto"/>
        </w:rPr>
        <w:t xml:space="preserve"> for details on the tax impacts of these reconciling items.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$847 million in pretax earnings in the first nine months of 2025 compared to</w:t>
      </w:r>
    </w:p>
    <w:p>
      <w:pPr>
        <w:spacing w:after="0" w:line="7"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$950 million in the first nine months of 2024, a decrease of $103 million (11%). The decrease in pretax earnings reflects lower underwriting profit and lower investment income from AFG’s alternative investment portfolio (partnerships and similar investments and AFG-managed CLOs), partially offset by higher investment income outside of alternative investments in the first nine months of 2025 compared to the first nine months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 and 2024 (dollars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1"/>
        </w:trPr>
        <w:tc>
          <w:tcPr>
            <w:tcW w:w="6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8,609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8,490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(2,811)</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5%</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5,679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5,186</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3,274</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2%</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1,494</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w:t>
            </w: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418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6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589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950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1"/>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19970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580"/>
        <w:spacing w:after="0"/>
        <w:tabs>
          <w:tab w:leader="none" w:pos="2180" w:val="left"/>
          <w:tab w:leader="none" w:pos="3560" w:val="left"/>
        </w:tabs>
        <w:rPr>
          <w:sz w:val="20"/>
          <w:szCs w:val="20"/>
          <w:color w:val="auto"/>
        </w:rPr>
      </w:pPr>
      <w:r>
        <w:rPr>
          <w:rFonts w:ascii="Arial" w:cs="Arial" w:eastAsia="Arial" w:hAnsi="Arial"/>
          <w:sz w:val="15"/>
          <w:szCs w:val="15"/>
          <w:color w:val="auto"/>
        </w:rPr>
        <w:t>2025</w:t>
      </w:r>
      <w:r>
        <w:rPr>
          <w:sz w:val="20"/>
          <w:szCs w:val="20"/>
          <w:color w:val="auto"/>
        </w:rPr>
        <w:tab/>
      </w:r>
      <w:r>
        <w:rPr>
          <w:rFonts w:ascii="Arial" w:cs="Arial" w:eastAsia="Arial" w:hAnsi="Arial"/>
          <w:sz w:val="15"/>
          <w:szCs w:val="15"/>
          <w:color w:val="auto"/>
        </w:rPr>
        <w:t>2024</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63.1%</w:t>
            </w:r>
          </w:p>
        </w:tc>
        <w:tc>
          <w:tcPr>
            <w:tcW w:w="12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13"/>
        </w:trPr>
        <w:tc>
          <w:tcPr>
            <w:tcW w:w="152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63.1%</w:t>
            </w:r>
          </w:p>
        </w:tc>
        <w:tc>
          <w:tcPr>
            <w:tcW w:w="12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1"/>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-1165225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-890905</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-590550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-316865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4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Historically, AFG reported the results of its internal reinsurance facility (that assumes business from several of AFG’s Specialty property and casualty businesses) in an Other Specialty sub-segment. Beginning in 2025, the internal reinsurance results are included within the same sub-segments as the ceding businesses to align with senior management’s evolving view of the program. The overall results for AFG’s Specialty property and casualty insurance operations are not impacted by this change. Information from prior periods has been recast for consistent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jc w:val="both"/>
        <w:ind w:right="180"/>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$8.61 billion for the first nine months of 2025 compared to $8.49 billion for the first nine months of 2024, an increase of $119 million (1%).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color w:val="auto"/>
              </w:rPr>
              <w:t>Nine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4"/>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Arial" w:cs="Arial" w:eastAsia="Arial" w:hAnsi="Arial"/>
                <w:sz w:val="14"/>
                <w:szCs w:val="14"/>
                <w:color w:val="auto"/>
              </w:rPr>
              <w:t>GWP</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4,150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3,417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1%</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11%</w:t>
            </w:r>
          </w:p>
        </w:tc>
      </w:tr>
      <w:tr>
        <w:trPr>
          <w:trHeight w:val="209"/>
        </w:trPr>
        <w:tc>
          <w:tcPr>
            <w:tcW w:w="54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8,609</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8,490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1%</w:t>
            </w:r>
          </w:p>
        </w:tc>
      </w:tr>
      <w:tr>
        <w:trPr>
          <w:trHeight w:val="21"/>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jc w:val="both"/>
        <w:ind w:right="28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34% of gross written premiums in the first nine months of 2025 compared to 33% of gross written premiums for the first nine months of 2024, an increase of 1 percentage point.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color w:val="auto"/>
              </w:rPr>
              <w:t>Nine months ended 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2025</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color w:val="auto"/>
              </w:rPr>
              <w:t>Change in</w:t>
            </w:r>
          </w:p>
        </w:tc>
      </w:tr>
      <w:tr>
        <w:trPr>
          <w:trHeight w:val="198"/>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080" w:type="dxa"/>
            <w:vAlign w:val="bottom"/>
          </w:tcPr>
          <w:p>
            <w:pPr>
              <w:jc w:val="right"/>
              <w:ind w:right="122"/>
              <w:spacing w:after="0"/>
              <w:rPr>
                <w:sz w:val="20"/>
                <w:szCs w:val="20"/>
                <w:color w:val="auto"/>
              </w:rPr>
            </w:pPr>
            <w:r>
              <w:rPr>
                <w:rFonts w:ascii="Arial" w:cs="Arial" w:eastAsia="Arial" w:hAnsi="Arial"/>
                <w:sz w:val="14"/>
                <w:szCs w:val="14"/>
                <w:color w:val="auto"/>
              </w:rPr>
              <w:t>% of GWP</w:t>
            </w:r>
          </w:p>
        </w:tc>
      </w:tr>
      <w:tr>
        <w:trPr>
          <w:trHeight w:val="21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32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$5.67 billion for the first nine months of 2025 compared to $5.68 billion for the first nine months of 2024, a decrease of $13 million.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color w:val="auto"/>
              </w:rPr>
              <w:t>Nine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2"/>
              <w:spacing w:after="0"/>
              <w:rPr>
                <w:sz w:val="20"/>
                <w:szCs w:val="20"/>
                <w:color w:val="auto"/>
              </w:rPr>
            </w:pPr>
            <w:r>
              <w:rPr>
                <w:rFonts w:ascii="Arial" w:cs="Arial" w:eastAsia="Arial" w:hAnsi="Arial"/>
                <w:sz w:val="14"/>
                <w:szCs w:val="14"/>
                <w:color w:val="auto"/>
              </w:rPr>
              <w:t>NWP</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60" w:type="dxa"/>
            <w:vAlign w:val="bottom"/>
          </w:tcPr>
          <w:p>
            <w:pPr>
              <w:jc w:val="right"/>
              <w:ind w:right="162"/>
              <w:spacing w:after="0"/>
              <w:rPr>
                <w:sz w:val="20"/>
                <w:szCs w:val="20"/>
                <w:color w:val="auto"/>
              </w:rPr>
            </w:pPr>
            <w:r>
              <w:rPr>
                <w:rFonts w:ascii="Arial" w:cs="Arial" w:eastAsia="Arial" w:hAnsi="Arial"/>
                <w:sz w:val="14"/>
                <w:szCs w:val="14"/>
                <w:color w:val="auto"/>
              </w:rPr>
              <w:t>% Change</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2,373</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2,451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2,473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842</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r>
      <w:tr>
        <w:trPr>
          <w:trHeight w:val="209"/>
        </w:trPr>
        <w:tc>
          <w:tcPr>
            <w:tcW w:w="52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5,666</w:t>
            </w: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5,679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jc w:val="both"/>
        <w:ind w:right="14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$5.24 billion for the first nine months of 2025 compared to $5.19 billion for the first nine months of 2024, an increase of $54 million (1%).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color w:val="auto"/>
              </w:rPr>
              <w:t>Nine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8"/>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 Change</w:t>
            </w:r>
          </w:p>
        </w:tc>
      </w:tr>
      <w:tr>
        <w:trPr>
          <w:trHeight w:val="21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1%</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10%</w:t>
            </w:r>
          </w:p>
        </w:tc>
      </w:tr>
      <w:tr>
        <w:trPr>
          <w:trHeight w:val="210"/>
        </w:trPr>
        <w:tc>
          <w:tcPr>
            <w:tcW w:w="524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5,186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1%</w:t>
            </w: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Gross written premiums for the first nine months of 2025 increased $119 million (1%) compared to the first nine months of 2024. The Specialty property and casualty insurance operations continue to achieve year-over-year premium growth as a result of new business opportunities, a good renewal rate environment and increased exposures. Overall average renewal rates increased approximately 5% in the first nine months of 2025. Excluding the workers’ compensation businesses, renewal pricing increased approximately 6%.</w:t>
      </w:r>
    </w:p>
    <w:p>
      <w:pPr>
        <w:spacing w:after="0" w:line="20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decreased $31 million (1%) in the first nine months of 2025 compared to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This decrease was primarily the result of the impact of lower commodity prices on crop insurance premiums, partially offset by growth in the transportation businesses as a result of increased exposures, new business opportunities and a favorable rate environment. Average renewal rates increased approximately 7% for this group in the first nine months of 2025. Reinsurance premiums ceded as a percentage of gross written premiums increased 1 percentage point in the first nine months of 2025 compared to the first nine months of 2024 reflecting growth in alternative risk transfer and excess liability products in the transportation businesses, which cede a higher percentage of premiums than some of the other businesses in the Property and transportation sub-segment, and higher cessions in the crop business.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$50 million (1%) in the first nine months of 2025 compared to the first nine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2024, reflecting higher year-over-year premiums in the mergers and acquisitions liability business and growth across several of the targeted markets businesses resulting from new business opportunities, higher rates and strong policy retention. These items were partially offset by lower premiums in the excess and surplus businesses and lower premiums due to a challenging market in the directors’ and officers’ liability business as well as the continued non-renewal of certain housing and daycare accounts in the social services businesses. Average renewal rates increased approximately 6% for this group in the first nine months of 2025. Excluding overall rate decreases in the workers’ compensation businesses, renewal rates for this group increased approximately 8%. Reinsurance premiums ceded as a percentage of gross written premiums increased 1 percentage point in the first nine months of 2025 compared to the first nine months of 2024 reflecting higher cessions, higher reinsurance costs and higher reinstatement premiums paid to reinsurers in the excess liability business and growth in the public sector and mergers and acquisitions liability businesses, both of which cede a larger percentage of premiums than some of the other businesses in the Specialty casualty sub-segment.</w:t>
      </w:r>
    </w:p>
    <w:p>
      <w:pPr>
        <w:spacing w:after="0" w:line="214"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$100 million (11%) in the first nine months of 2025 compared to the first nine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2024 due primarily to growth in the financial institutions business and AFG’s European operations. Average renewal rates decreased approximately 1% for this group in the first nine months of 2025. Reinsurance premiums ceded as a percentage of gross written premiums increased 1 percentage point in the first nine months of 2025 compared to the first nine months of 2024 reflecting higher cessions in the financial institutions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table below (dollars in millions) details the components of the combined ratio and underwriting profit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30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Change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411"/>
        </w:trPr>
        <w:tc>
          <w:tcPr>
            <w:tcW w:w="146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63.4%</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43.1%</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63.1%</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63.1%</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gridSpan w:val="4"/>
            <w:vMerge w:val="restart"/>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
              <w:spacing w:after="0"/>
              <w:rPr>
                <w:sz w:val="20"/>
                <w:szCs w:val="20"/>
                <w:color w:val="auto"/>
              </w:rPr>
            </w:pPr>
            <w:r>
              <w:rPr>
                <w:rFonts w:ascii="Arial" w:cs="Arial" w:eastAsia="Arial" w:hAnsi="Arial"/>
                <w:sz w:val="16"/>
                <w:szCs w:val="16"/>
                <w:color w:val="auto"/>
              </w:rPr>
              <w:t>345</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81"/>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-4208145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-3933825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-3634105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-3342640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-3068320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-2767965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-2476500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-2202180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-1902460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-1610995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-1336675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-1036955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-744855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-471170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-170815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Specialty property and casualty insurance operations generated an underwriting profit of $347 million for the first nine months of 2025 compared to $422 million for the first nine months of 2024, a decrease of $75 million (18%). Higher year-over-year underwriting profit in the Specialty financial sub-segment was more than offset by lower underwriting profit in the Property and transportation and Specialty casualty sub-segments. Overall catastrophe losses were $133 million (2.5 points on the combined ratio) in the first nine months of 2025 compared to catastrophe losses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$161 million (3.1 points), including $1 million in net reinstatement premiums in the first nine months of 2024.</w:t>
      </w:r>
    </w:p>
    <w:p>
      <w:pPr>
        <w:spacing w:after="0" w:line="235"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$119 million for the first nine months of 2025 compared to $133 million for</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nine months of 2024, a decrease of $14 million (11%), reflecting the impact of lower year-over-year underwriting profit in the property and inland marine business. Catastrophe losses were $26 million (1.3 points on the combined ratio) in the first nine months of 2025 compared to $56 million (2.7 points) in the first nine months of 2024.</w:t>
      </w:r>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$102 million for the first nine months of 2025 compared to $210 million for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a decrease of $108 million (51%), reflecting lower underwriting profit in the directors’ and officers’ liability, excess and surplus, mergers and acquisitions liability and workers’ compensation businesses. Catastrophe losses were $42 million (1.7 points on the combined ratio) in the first nine months of 2025 compared to catastrophe losses of $41 million (1.7 points), including $1 million in net reinstatement premiums in the first nine months of 2024.</w:t>
      </w:r>
    </w:p>
    <w:p>
      <w:pPr>
        <w:spacing w:after="0" w:line="219"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$126 million for the first nine months of 2025 compared to $79 million for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2024, an increase of $47 million (59%), reflecting favorable prior year reserve development and improved accident year results. Catastrophe losses were $65 million (7.9 points on the combined ratio) in the first nine months of 2025 compared to $64 million (8.5 points) in the first nine months of 2024.</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 million in the first nine months of 2025 and $4 million in the first nine months of 2024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63.5% for the first nine months of 2025 compared to 63.1% for the first nine months of 2024,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0.4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color w:val="auto"/>
              </w:rPr>
              <w:t>Nine months ended 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color w:val="auto"/>
              </w:rPr>
              <w:t>Amount</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Ratio</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1,443</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1,530</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w:t>
            </w:r>
          </w:p>
        </w:tc>
        <w:tc>
          <w:tcPr>
            <w:tcW w:w="1200" w:type="dxa"/>
            <w:vAlign w:val="bottom"/>
            <w:gridSpan w:val="2"/>
          </w:tcPr>
          <w:p>
            <w:pPr>
              <w:jc w:val="right"/>
              <w:ind w:right="3"/>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275</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3,248</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3,248</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62.0% for both the first nine months of 2025 and the first nine months of 2024.</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0.1 percentage points decrease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growth and improved results in the property and inland marine business, which has a lower loss and LAE ratio than some of the other businesses in the Property and transportation sub-segment, improved results in the transportation businesses and the impact of a large property loss in the first quarter of 2024, partially offset by higher claim severity in the aviation business and lower earnings in the crop business.</w:t>
      </w:r>
    </w:p>
    <w:p>
      <w:pPr>
        <w:spacing w:after="0" w:line="218"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1.7 percentage points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higher claim severity in the excess and surplus and social services businesses.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6" w:lineRule="exact"/>
        <w:rPr>
          <w:sz w:val="20"/>
          <w:szCs w:val="20"/>
          <w:color w:val="auto"/>
        </w:rPr>
      </w:pPr>
    </w:p>
    <w:p>
      <w:pPr>
        <w:jc w:val="both"/>
        <w:ind w:right="30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1.6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in the surety and fidelity businesses and growth in the financial institutions business, which has a lower loss and LAE ratio than some of the other businesses in the Specialty financial sub-segment, partially offset by growth in AFG’s European operations, which has a higher loss and LAE ratio than some of the other businesses in the Specialty financial sub-segment.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20"/>
        <w:spacing w:after="0" w:line="281"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$56 million in the first nine months of 2025 compared to $104 million in the first nine months of 2024, a decrease of $48 million (46%).</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$43 million in the first nine months of 2025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lower than anticipated claim severity in the aviation business and lower than expected claim frequency and severity in the property and inland marine business. Net favorable reserve development of $94 million in the first nine months of 2024 reflects lower than anticipated losses in the crop business, lower than expected claim severity in the property and inland marine and aviation businesses and lower than anticipated claim severity and frequency in the ocean marine business.</w:t>
      </w:r>
    </w:p>
    <w:p>
      <w:pPr>
        <w:spacing w:after="0" w:line="219"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adverse reserve development of $21 million in the first nine months of 2025 reflects higher than expected claim severity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excess and surplus, social services, excess liability, public sector and general liability businesses, partially offset by lower than anticipated claim severity in the workers’ compensation and executive liability businesses. Net favorable reserve development of $7 million in the first nine months of 2024 reflects lower than anticipated claim severity in the workers’ compensation businesses and lower than expected claim frequency and severity in the executive liability business, partially offset by higher than anticipated claim severity in the umbrella and excess liability businesses, public sector and general liability businesses and higher than expected claim frequency and severity in the social services business.</w:t>
      </w:r>
    </w:p>
    <w:p>
      <w:pPr>
        <w:spacing w:after="0" w:line="22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$34 million in the first nine months of 2025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frequency in the financial institutions business and lower than expected claim severity in the surety, fidelity and trade credit businesses. Net favorable reserve development of $3 million in the first nine months of 2024 reflects lower than anticipated claim frequency and severity in the fidelity and financial institutions businesses and lower than expected claim frequency in the trade credit business, partially offset by higher than anticipated claim severity in the innovative markets and surety businesses.</w:t>
      </w:r>
    </w:p>
    <w:p>
      <w:pPr>
        <w:spacing w:after="0" w:line="219" w:lineRule="exact"/>
        <w:rPr>
          <w:sz w:val="20"/>
          <w:szCs w:val="20"/>
          <w:color w:val="auto"/>
        </w:rPr>
      </w:pPr>
    </w:p>
    <w:p>
      <w:pPr>
        <w:jc w:val="both"/>
        <w:ind w:right="40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$2 million in the first nine months of 2025 and $4 million in the first nine months of 2024 related to business outside the Specialty group that AFG no longer writes.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Catastrophe losses of $133 million in the first nine months of 2025 resulted primarily from California wildfires and storms in multiple regions of the United States. Catastrophe losses of $160 million in the first nine months of 2024 (before $1 million in net reinstatement premiums) resulted primarily from Hurricane Helene and storms in multiple regions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AFG’s property and casualty commissions and other underwriting expenses (“U/W Exp”) were $1.57 billion in the first nine months of 2025 compared to $1.49 billion for the first nine months of 2024, an increase of $74 million (5%). AFG’s underwriting expense ratio was 29.9% for the first nine months of 2025 compared to 28.8% for the first nine months of 2024, an increase of 1.1 percentage points. Detail of AFG’s property and casualty commissions and other underwriting expenses and underwriting expense ratios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7"/>
          </w:tcPr>
          <w:p>
            <w:pPr>
              <w:ind w:left="80"/>
              <w:spacing w:after="0"/>
              <w:rPr>
                <w:sz w:val="20"/>
                <w:szCs w:val="20"/>
                <w:color w:val="auto"/>
              </w:rPr>
            </w:pPr>
            <w:r>
              <w:rPr>
                <w:rFonts w:ascii="Arial" w:cs="Arial" w:eastAsia="Arial" w:hAnsi="Arial"/>
                <w:sz w:val="14"/>
                <w:szCs w:val="14"/>
                <w:color w:val="auto"/>
              </w:rPr>
              <w:t>Nine months ended September 30,</w:t>
            </w:r>
          </w:p>
        </w:tc>
        <w:tc>
          <w:tcPr>
            <w:tcW w:w="1140" w:type="dxa"/>
            <w:vAlign w:val="bottom"/>
          </w:tcPr>
          <w:p>
            <w:pPr>
              <w:spacing w:after="0"/>
              <w:rPr>
                <w:sz w:val="16"/>
                <w:szCs w:val="16"/>
                <w:color w:val="auto"/>
              </w:rPr>
            </w:pPr>
          </w:p>
        </w:tc>
      </w:tr>
      <w:tr>
        <w:trPr>
          <w:trHeight w:val="196"/>
        </w:trPr>
        <w:tc>
          <w:tcPr>
            <w:tcW w:w="56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ind w:right="825"/>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ind w:right="844"/>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81"/>
              <w:spacing w:after="0"/>
              <w:rPr>
                <w:sz w:val="20"/>
                <w:szCs w:val="20"/>
                <w:color w:val="auto"/>
              </w:rPr>
            </w:pPr>
            <w:r>
              <w:rPr>
                <w:rFonts w:ascii="Arial" w:cs="Arial" w:eastAsia="Arial" w:hAnsi="Arial"/>
                <w:sz w:val="14"/>
                <w:szCs w:val="14"/>
                <w:color w:val="auto"/>
              </w:rPr>
              <w:t>U/W Exp</w:t>
            </w:r>
          </w:p>
        </w:tc>
        <w:tc>
          <w:tcPr>
            <w:tcW w:w="10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color w:val="auto"/>
              </w:rPr>
              <w:t>% of NEP</w:t>
            </w:r>
          </w:p>
        </w:tc>
        <w:tc>
          <w:tcPr>
            <w:tcW w:w="140" w:type="dxa"/>
            <w:vAlign w:val="bottom"/>
          </w:tcPr>
          <w:p>
            <w:pPr>
              <w:spacing w:after="0"/>
              <w:rPr>
                <w:sz w:val="17"/>
                <w:szCs w:val="17"/>
                <w:color w:val="auto"/>
              </w:rPr>
            </w:pPr>
          </w:p>
        </w:tc>
        <w:tc>
          <w:tcPr>
            <w:tcW w:w="760" w:type="dxa"/>
            <w:vAlign w:val="bottom"/>
          </w:tcPr>
          <w:p>
            <w:pPr>
              <w:jc w:val="right"/>
              <w:ind w:right="81"/>
              <w:spacing w:after="0"/>
              <w:rPr>
                <w:sz w:val="20"/>
                <w:szCs w:val="20"/>
                <w:color w:val="auto"/>
              </w:rPr>
            </w:pPr>
            <w:r>
              <w:rPr>
                <w:rFonts w:ascii="Arial" w:cs="Arial" w:eastAsia="Arial" w:hAnsi="Arial"/>
                <w:sz w:val="14"/>
                <w:szCs w:val="14"/>
                <w:color w:val="auto"/>
              </w:rPr>
              <w:t>U/W Exp</w:t>
            </w:r>
          </w:p>
        </w:tc>
        <w:tc>
          <w:tcPr>
            <w:tcW w:w="10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 of NEP</w:t>
            </w:r>
          </w:p>
        </w:tc>
        <w:tc>
          <w:tcPr>
            <w:tcW w:w="1140" w:type="dxa"/>
            <w:vAlign w:val="bottom"/>
          </w:tcPr>
          <w:p>
            <w:pPr>
              <w:jc w:val="right"/>
              <w:ind w:right="182"/>
              <w:spacing w:after="0"/>
              <w:rPr>
                <w:sz w:val="20"/>
                <w:szCs w:val="20"/>
                <w:color w:val="auto"/>
              </w:rPr>
            </w:pPr>
            <w:r>
              <w:rPr>
                <w:rFonts w:ascii="Arial" w:cs="Arial" w:eastAsia="Arial" w:hAnsi="Arial"/>
                <w:sz w:val="14"/>
                <w:szCs w:val="14"/>
                <w:color w:val="auto"/>
              </w:rPr>
              <w:t>% of NEP</w:t>
            </w:r>
          </w:p>
        </w:tc>
      </w:tr>
      <w:tr>
        <w:trPr>
          <w:trHeight w:val="21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708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1.7%</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r>
      <w:tr>
        <w:trPr>
          <w:trHeight w:val="210"/>
        </w:trPr>
        <w:tc>
          <w:tcPr>
            <w:tcW w:w="5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w:t>
            </w: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15"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0.4 percentage points in the first nine months of 2025 compared to the first nine months of 2024 reflecting changes in the mix of business, partially offset by higher costs for software and other expenses associated with certain initiatives in IT security, customer experience and data analytics and the impact of lower earned premiums in the crop operations on the ratio (which has a lower commissions and other underwriting expense ratio than some of the other businesses in the Property and transportation sub-segment).</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increased 1.7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nine months of 2025 compared to the first nine months of 2024 reflecting higher costs for software and other expenses associated with certain initiatives in IT security, customer experience and data analytics and an increase in average commission rates in certain excess and surplus businesses resulting from changes in reinsurance treaties.</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increased 1.3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nine months of 2025 compared to the first nine months of 2024 reflecting higher costs for software and other expenses associated with certain initiatives in IT security, customer experience and data analytics and higher profit-based commissions to agents in the financial institutions business, partially offset by the impact of higher earned premiums in the financial institutions business on the ratio and a change in the mix of business towards products with lower commission rates.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$554 million in the first nine months of 2025 compared to</w:t>
      </w:r>
    </w:p>
    <w:p>
      <w:pPr>
        <w:spacing w:after="0" w:line="7"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$589 million in the first nine months of 2024, a decrease of $35 million (6%). The average invested assets and overall yield earned on investments held by AFG’s property and casualty insurance operations are provided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color w:val="auto"/>
              </w:rPr>
              <w:t>Nine months ended September 30,</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56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5"/>
                <w:szCs w:val="15"/>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rPr>
              <w:t>Change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 Change</w:t>
            </w:r>
          </w:p>
        </w:tc>
      </w:tr>
      <w:tr>
        <w:trPr>
          <w:trHeight w:val="19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560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ind w:left="680"/>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27</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6%</w:t>
            </w:r>
          </w:p>
        </w:tc>
      </w:tr>
      <w:tr>
        <w:trPr>
          <w:trHeight w:val="216"/>
        </w:trPr>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560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15,988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15,389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599</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4%</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Yield on fixed maturities (before investment expenses)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6"/>
              </w:rPr>
              <w:t>5.01%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6"/>
              </w:rPr>
              <w:t>5.10%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decrease in the property and casualty insurance segment’s net investment income for the first nine months of 2025 compared to the first nine months of 2024 reflects the impact of lower returns on AFG’s alternative investments portfolio (partnerships and similar investments and AFG-managed CLOs), partially offset by higher balances of invested assets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and higher returns on fixed maturity investments. The property and casualty insurance segment’s overall yield on investments (net investment income as a percentage of average invested assets) was 4.62% for the first nine months of 2025 compared to 5.10% for the first nine months of 2024, a decrease of 0.48 percentage points. The annualized return earned on alternative investments (partnerships and similar investments and AFG-managed CLOs) was 3.0% in the first nine months of 2025 compared to 6.5% in the prior year period. The impact on rental rates and occupancy from a surge in new apartment supply in certain otherwise strong markets reduced the fair value of certain multi-family investments and tempered the performance of AFG’s alternative investment portfolio in the 2025 period.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$52 million for the first nine months of 2025 compared to $57 million for the first nine months of 2024, an improvement of $5 million (9%).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340" w:type="dxa"/>
            <w:vAlign w:val="bottom"/>
            <w:tcBorders>
              <w:bottom w:val="single" w:sz="8" w:color="auto"/>
            </w:tcBorders>
          </w:tcPr>
          <w:p>
            <w:pPr>
              <w:spacing w:after="0"/>
              <w:rPr>
                <w:sz w:val="16"/>
                <w:szCs w:val="16"/>
                <w:color w:val="auto"/>
              </w:rPr>
            </w:pPr>
          </w:p>
        </w:tc>
      </w:tr>
      <w:tr>
        <w:trPr>
          <w:trHeight w:val="199"/>
        </w:trPr>
        <w:tc>
          <w:tcPr>
            <w:tcW w:w="8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rPr>
              <w:t>2024</w:t>
            </w:r>
          </w:p>
        </w:tc>
        <w:tc>
          <w:tcPr>
            <w:tcW w:w="340" w:type="dxa"/>
            <w:vAlign w:val="bottom"/>
            <w:tcBorders>
              <w:bottom w:val="single" w:sz="8" w:color="auto"/>
            </w:tcBorders>
          </w:tcPr>
          <w:p>
            <w:pPr>
              <w:spacing w:after="0"/>
              <w:rPr>
                <w:sz w:val="17"/>
                <w:szCs w:val="17"/>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832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color w:val="auto"/>
        </w:rPr>
        <w:t>The increase in other income in the first nine months of 2025 compared to the first nine months of 2024 reflects a death benefit received on a company-owned life insurance policy in the third quarter of 2025.</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2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$171 million in the first nine months of 2025 compared to $156 million in the first nine months of 2024, an increase of $15 million (10%). AFG’s net core pretax loss outside of its property and casualty insurance segment totaled $146 million in the first nine months of 2025 compared to $142 million in the first nine months of 2024, an increase of $4 million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nine months ended September 30, 2025 and 2024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color w:val="auto"/>
              </w:rPr>
              <w:t>Nine months ended September 30,</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color w:val="auto"/>
              </w:rPr>
              <w:t>2024</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color w:val="auto"/>
              </w:rPr>
              <w:t>% Change</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42"/>
        </w:trPr>
        <w:tc>
          <w:tcPr>
            <w:tcW w:w="710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9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money</w:t>
            </w:r>
          </w:p>
        </w:tc>
        <w:tc>
          <w:tcPr>
            <w:tcW w:w="9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special A&amp;E charge</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Excludes pretax non-core special A&amp;E charges of $25 million and $14 million in the first nine months of 2025 and 2024,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ind w:right="32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$18 million in the first nine months of 2025 compared to $22 million in the first nine months of 2024, a decrease of $4 million (18%) reflecting lower income on fixed maturity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nine months of 2025, AFG collected $71 million in fees for these services compared to $72 million in the first nine months of 2024. Management views this fee income, net of the $46 million in the first nine months of 2025 and $45 million in the first nine months of 2024 in expenses incurred to generate such fees, as a reduction in the cost of underwriting its property and casualty insurance policies. In addition, AFG’s property and casualty insurance businesses earned $11 million during the first nine months of 2024 in fees as compensation for providing services related to the administration of crop insurance business generated by Crop Risk Services for its former owner prior to the acquisition date.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17"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 xml:space="preserve">Other income in the table above includes $8 million and $9 million in the first nine months of 2025 and the first nine months of 2024, respectively,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Earnings.” </w:t>
      </w:r>
      <w:r>
        <w:rPr>
          <w:rFonts w:ascii="Arial" w:cs="Arial" w:eastAsia="Arial" w:hAnsi="Arial"/>
          <w:sz w:val="17"/>
          <w:szCs w:val="17"/>
          <w:color w:val="auto"/>
        </w:rPr>
        <w:t>Excluding amounts eliminated in consolidation, AFG recorded other income outside of its property and casualty insurance segment of</w:t>
      </w:r>
      <w:r>
        <w:rPr>
          <w:rFonts w:ascii="Arial" w:cs="Arial" w:eastAsia="Arial" w:hAnsi="Arial"/>
          <w:sz w:val="17"/>
          <w:szCs w:val="17"/>
          <w:i w:val="1"/>
          <w:iCs w:val="1"/>
          <w:color w:val="auto"/>
        </w:rPr>
        <w:t xml:space="preserve"> </w:t>
      </w:r>
      <w:r>
        <w:rPr>
          <w:rFonts w:ascii="Arial" w:cs="Arial" w:eastAsia="Arial" w:hAnsi="Arial"/>
          <w:sz w:val="17"/>
          <w:szCs w:val="17"/>
          <w:color w:val="auto"/>
        </w:rPr>
        <w:t>$4 million in the first nine months of 2025 compared to $3 million in the first nine months of 2024, an increase of $1 million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Excluding the non-core special A&amp;E charges discussed below, AFG’s holding companies and other operations outside of its property and casualty insurance segment recorded other expenses of $119 million in both the first nine months of 2025 and the first nine months of 2024.</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$57 million in both the first nine months of 2025 and the first nine months of 2024.</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Special A&amp;E Charges</w:t>
      </w:r>
    </w:p>
    <w:p>
      <w:pPr>
        <w:spacing w:after="0" w:line="30"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Holding Company and Other — Special A&amp;E Charges</w:t>
      </w:r>
      <w:r>
        <w:rPr>
          <w:rFonts w:ascii="Arial" w:cs="Arial" w:eastAsia="Arial" w:hAnsi="Arial"/>
          <w:sz w:val="17"/>
          <w:szCs w:val="17"/>
          <w:color w:val="auto"/>
        </w:rPr>
        <w:t>” under “</w:t>
      </w:r>
      <w:r>
        <w:rPr>
          <w:rFonts w:ascii="Arial" w:cs="Arial" w:eastAsia="Arial" w:hAnsi="Arial"/>
          <w:sz w:val="17"/>
          <w:szCs w:val="17"/>
          <w:i w:val="1"/>
          <w:iCs w:val="1"/>
          <w:color w:val="auto"/>
        </w:rPr>
        <w:t>Results of Operations — Holding Company, Other and Unallocated”</w:t>
      </w:r>
      <w:r>
        <w:rPr>
          <w:rFonts w:ascii="Arial" w:cs="Arial" w:eastAsia="Arial" w:hAnsi="Arial"/>
          <w:sz w:val="17"/>
          <w:szCs w:val="17"/>
          <w:color w:val="auto"/>
        </w:rPr>
        <w:t xml:space="preserve"> for the quarters ended September 30, 2025 and 2024 for a discussion of the $25 million and $14 million pretax non-core special A&amp;E charges recorded in the third quarter of 2025 and the third quarter of 2024,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color w:val="auto"/>
        </w:rPr>
        <w:t>AFG’s realized gains (losses) on securities were net gains of $17 million in the first nine months of 2025 compared to $10 million in the first nine months of 2024, an increase of $7 million (70%). Realized gains (losses) on securities consisted of the following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Nine months ended September 30,</w:t>
            </w:r>
          </w:p>
        </w:tc>
      </w:tr>
      <w:tr>
        <w:trPr>
          <w:trHeight w:val="199"/>
        </w:trPr>
        <w:tc>
          <w:tcPr>
            <w:tcW w:w="8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rPr>
              <w:t>2024</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83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197"/>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83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$32 million net realized gain from the change in the fair value of equity securities in the first nine months of 2025 includes gains of $14 million on investments in media companies and $12 million on investments in banks and financing companies. The $29 million net realized gain from the change in the fair value of equity securities in the first nine months of 2024 includes gains of $19 million on investments in banks and financing companies, $5 million on investments in natural gas companies and $5 million on investments in healthcare companies.</w:t>
      </w:r>
    </w:p>
    <w:p>
      <w:pPr>
        <w:spacing w:after="0" w:line="206"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The $17 million change in allowance for impairments on securities in the first nine months of 2024 relates primarily to an allowance taken on corporate bonds from a single issuer in the financial sector.</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 on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2025, AFG recorded a $3 million pretax realized gain resulting from the remeasurement of its existing investment in</w:t>
      </w:r>
    </w:p>
    <w:p>
      <w:pPr>
        <w:ind w:right="180"/>
        <w:spacing w:after="0" w:line="235" w:lineRule="auto"/>
        <w:rPr>
          <w:sz w:val="20"/>
          <w:szCs w:val="20"/>
          <w:color w:val="auto"/>
        </w:rPr>
      </w:pPr>
      <w:r>
        <w:rPr>
          <w:rFonts w:ascii="Arial" w:cs="Arial" w:eastAsia="Arial" w:hAnsi="Arial"/>
          <w:sz w:val="17"/>
          <w:szCs w:val="17"/>
          <w:color w:val="auto"/>
        </w:rPr>
        <w:t xml:space="preserve">Radion Holdings, LLC to fair value (see </w:t>
      </w:r>
      <w:r>
        <w:rPr>
          <w:rFonts w:ascii="Arial" w:cs="Arial" w:eastAsia="Arial" w:hAnsi="Arial"/>
          <w:sz w:val="17"/>
          <w:szCs w:val="17"/>
          <w:i w:val="1"/>
          <w:iCs w:val="1"/>
          <w:color w:val="auto"/>
        </w:rPr>
        <w:t>Note B — “Acquisition of Business”</w:t>
      </w:r>
      <w:r>
        <w:rPr>
          <w:rFonts w:ascii="Arial" w:cs="Arial" w:eastAsia="Arial" w:hAnsi="Arial"/>
          <w:sz w:val="17"/>
          <w:szCs w:val="17"/>
          <w:color w:val="auto"/>
        </w:rPr>
        <w:t xml:space="preserve"> to the financial statements) and a $2 million pretax realized loss on the write-off of certain intangible assets (see </w:t>
      </w:r>
      <w:r>
        <w:rPr>
          <w:rFonts w:ascii="Arial" w:cs="Arial" w:eastAsia="Arial" w:hAnsi="Arial"/>
          <w:sz w:val="17"/>
          <w:szCs w:val="17"/>
          <w:i w:val="1"/>
          <w:iCs w:val="1"/>
          <w:color w:val="auto"/>
        </w:rPr>
        <w:t>Note H — “Goodwill and Other Intangibles”</w:t>
      </w:r>
      <w:r>
        <w:rPr>
          <w:rFonts w:ascii="Arial" w:cs="Arial" w:eastAsia="Arial" w:hAnsi="Arial"/>
          <w:sz w:val="17"/>
          <w:szCs w:val="17"/>
          <w:color w:val="auto"/>
        </w:rPr>
        <w:t xml:space="preserve"> to the financial statements)</w:t>
      </w:r>
      <w:r>
        <w:rPr>
          <w:rFonts w:ascii="Arial" w:cs="Arial" w:eastAsia="Arial" w:hAnsi="Arial"/>
          <w:sz w:val="17"/>
          <w:szCs w:val="17"/>
          <w:i w:val="1"/>
          <w:iCs w:val="1"/>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AFG’s consolidated provision for income taxes was $151 million for the first nine months of 2025 compared to $172 million for the first nine months of 2024, a decrease of $21 million (12%).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RECENTLY ADOPTED ACCOUNTING STANDARDS</w:t>
      </w:r>
    </w:p>
    <w:p>
      <w:pPr>
        <w:spacing w:after="0" w:line="259" w:lineRule="exact"/>
        <w:rPr>
          <w:sz w:val="20"/>
          <w:szCs w:val="20"/>
          <w:color w:val="auto"/>
        </w:rPr>
      </w:pPr>
    </w:p>
    <w:p>
      <w:pPr>
        <w:jc w:val="both"/>
        <w:ind w:right="220"/>
        <w:spacing w:after="0" w:line="274"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C — “Segments of Operations”</w:t>
      </w:r>
      <w:r>
        <w:rPr>
          <w:rFonts w:ascii="Arial" w:cs="Arial" w:eastAsia="Arial" w:hAnsi="Arial"/>
          <w:sz w:val="17"/>
          <w:szCs w:val="17"/>
          <w:color w:val="auto"/>
        </w:rPr>
        <w:t xml:space="preserve"> to the financial statements for accounting guidance adopted in the fourth quarter of 2024, which requires enhanced disclosures about significant segment expenses and a description of the composition of other segment expenses by business segment. The title and position of the chief operating decision maker (“CODM”) and</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an explanation of how the CODM uses the reported measures of segment profit or loss in assessing segment performance and deciding how to allocate resources is also required to be disclosed.</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ACCOUNTING STANDARDS TO BE ADOPTED</w:t>
      </w:r>
    </w:p>
    <w:p>
      <w:pPr>
        <w:spacing w:after="0" w:line="27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ASU 2023-09 is intended to improve income tax disclosures by requiring (i) consistent categories and greater disaggregation of information in the rate reconciliation presented in both dollar and percentage terms; (ii) the disaggregation of income taxes paid (net of refunds received), income (loss) before income taxes and income taxes by jurisdiction (federal, state and foreign taxes); and (iii) further disaggregation of income taxes paid by any individual jurisdiction equal to or exceeding five percent of total income taxes paid. ASU 2023-09 is effective for fiscal years beginning after December 15, 2024, with early adoption permitted, and is required to be applied prospectively with the option of retrospective application. As of September 30, 2025, AFG has not adopted ASU 2023-09. Management is evaluating the impact of the standard to AFG’s income tax disclosures. Since ASU 2023-09 only requires additional disclosure, the adoption of this guidance will not have an impact on AFG’s results of operations or financial condition.</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In November 2024, the FASB issued ASU No. 2024-03 (“ASU 2024-03”), </w:t>
      </w:r>
      <w:r>
        <w:rPr>
          <w:rFonts w:ascii="Arial" w:cs="Arial" w:eastAsia="Arial" w:hAnsi="Arial"/>
          <w:sz w:val="17"/>
          <w:szCs w:val="17"/>
          <w:i w:val="1"/>
          <w:iCs w:val="1"/>
          <w:color w:val="auto"/>
        </w:rPr>
        <w:t>Income Statement — Reporting Comprehensive Income — Expense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Disaggregation Disclosures (Subtopic 220-40): Disaggregation of Income Statement Expenses. </w:t>
      </w:r>
      <w:r>
        <w:rPr>
          <w:rFonts w:ascii="Arial" w:cs="Arial" w:eastAsia="Arial" w:hAnsi="Arial"/>
          <w:sz w:val="17"/>
          <w:szCs w:val="17"/>
          <w:color w:val="auto"/>
        </w:rPr>
        <w:t>ASU 2024-03 requires additional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disaggregation of specified expense categories in the notes to financial statements. ASU 2024-04 is effective for fiscal years beginning after December 15, 2026, and interim periods within fiscal years beginning after December 15, 2027, with early adoption permitted and applied either prospectively or retrospectively. As of September 30, 2025, AFG has not adopted ASU 2024-03. Management is evaluating the impact of the standard to AFG’s income statement expense disclosures. Since ASU 2024-03 only requires additional disclosures, the adoption of this guidance will not have an impact on AFG’s results of operations or financial condition.</w:t>
      </w:r>
    </w:p>
    <w:p>
      <w:pPr>
        <w:spacing w:after="0" w:line="203" w:lineRule="exact"/>
        <w:rPr>
          <w:sz w:val="20"/>
          <w:szCs w:val="20"/>
          <w:color w:val="auto"/>
        </w:rPr>
      </w:pPr>
    </w:p>
    <w:p>
      <w:pPr>
        <w:ind w:right="840"/>
        <w:spacing w:after="0" w:line="297"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8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 xml:space="preserve">As of September 30, 2025,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2024 Form 10-K.</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2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had at September 30, 2025 (based on the duration of the portfolio, dollars in millions). Effects of increases or decreases from the 100 basis points illustrated would be approximately proportional.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10,598</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(318)</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third fiscal quarter of 2025 that materially affected, or are reasonably likely to materially affect, AFG’s internal control over financial reporting.</w:t>
      </w:r>
    </w:p>
    <w:p>
      <w:pPr>
        <w:spacing w:after="0" w:line="206"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There have been no changes in AFG’s business processes and procedures during the third fiscal quarter of 2025 that have materially affected, or are reasonably likely to materially affect, AFG’s internal control over financial reporting.</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PART II</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OTHER INFORMATION</w:t>
      </w:r>
    </w:p>
    <w:p>
      <w:pPr>
        <w:spacing w:after="0" w:line="15" w:lineRule="exact"/>
        <w:rPr>
          <w:sz w:val="20"/>
          <w:szCs w:val="20"/>
          <w:color w:val="auto"/>
        </w:rPr>
      </w:pPr>
    </w:p>
    <w:p>
      <w:pPr>
        <w:ind w:right="1220"/>
        <w:spacing w:after="0" w:line="276"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repurchased shares of its Common Stock during 2025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Maximum Number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Average</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Purchased as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that May</w:t>
            </w: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0" w:type="dxa"/>
            <w:vAlign w:val="bottom"/>
          </w:tcPr>
          <w:p>
            <w:pPr>
              <w:jc w:val="center"/>
              <w:spacing w:after="0" w:line="139" w:lineRule="exact"/>
              <w:rPr>
                <w:sz w:val="20"/>
                <w:szCs w:val="20"/>
                <w:color w:val="auto"/>
              </w:rPr>
            </w:pPr>
            <w:r>
              <w:rPr>
                <w:rFonts w:ascii="Arial" w:cs="Arial" w:eastAsia="Arial" w:hAnsi="Arial"/>
                <w:sz w:val="14"/>
                <w:szCs w:val="14"/>
                <w:color w:val="auto"/>
              </w:rPr>
              <w:t>Part of Publicly</w:t>
            </w:r>
          </w:p>
        </w:tc>
        <w:tc>
          <w:tcPr>
            <w:tcW w:w="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color w:val="auto"/>
              </w:rPr>
              <w:t>Yet be Purchased</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of Shares</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Price Paid</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Announced Plans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Under the Plans</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rPr>
              <w:t>Purchased</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rPr>
              <w:t>Per Share</w:t>
            </w:r>
          </w:p>
        </w:tc>
        <w:tc>
          <w:tcPr>
            <w:tcW w:w="1600" w:type="dxa"/>
            <w:vAlign w:val="bottom"/>
          </w:tcPr>
          <w:p>
            <w:pPr>
              <w:jc w:val="center"/>
              <w:spacing w:after="0"/>
              <w:rPr>
                <w:sz w:val="20"/>
                <w:szCs w:val="20"/>
                <w:color w:val="auto"/>
              </w:rPr>
            </w:pPr>
            <w:r>
              <w:rPr>
                <w:rFonts w:ascii="Arial" w:cs="Arial" w:eastAsia="Arial" w:hAnsi="Arial"/>
                <w:sz w:val="14"/>
                <w:szCs w:val="14"/>
                <w:color w:val="auto"/>
              </w:rPr>
              <w:t>or Programs</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or Programs (*)</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462,398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123.86</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462,398</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5,266,612</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319,736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120.59</w:t>
            </w:r>
          </w:p>
        </w:tc>
        <w:tc>
          <w:tcPr>
            <w:tcW w:w="10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319,736</w:t>
            </w:r>
          </w:p>
        </w:tc>
        <w:tc>
          <w:tcPr>
            <w:tcW w:w="1760" w:type="dxa"/>
            <w:vAlign w:val="bottom"/>
            <w:gridSpan w:val="2"/>
          </w:tcPr>
          <w:p>
            <w:pPr>
              <w:jc w:val="right"/>
              <w:ind w:right="7"/>
              <w:spacing w:after="0"/>
              <w:rPr>
                <w:sz w:val="20"/>
                <w:szCs w:val="20"/>
                <w:color w:val="auto"/>
              </w:rPr>
            </w:pPr>
            <w:r>
              <w:rPr>
                <w:rFonts w:ascii="Arial" w:cs="Arial" w:eastAsia="Arial" w:hAnsi="Arial"/>
                <w:sz w:val="16"/>
                <w:szCs w:val="16"/>
                <w:color w:val="auto"/>
              </w:rPr>
              <w:t>4,946,876</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180"/>
              <w:spacing w:after="0"/>
              <w:rPr>
                <w:sz w:val="20"/>
                <w:szCs w:val="20"/>
                <w:color w:val="auto"/>
              </w:rPr>
            </w:pPr>
            <w:r>
              <w:rPr>
                <w:rFonts w:ascii="Arial" w:cs="Arial" w:eastAsia="Arial" w:hAnsi="Arial"/>
                <w:sz w:val="16"/>
                <w:szCs w:val="16"/>
                <w:color w:val="auto"/>
              </w:rPr>
              <w:t>July</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7"/>
              <w:spacing w:after="0"/>
              <w:rPr>
                <w:sz w:val="20"/>
                <w:szCs w:val="20"/>
                <w:color w:val="auto"/>
              </w:rPr>
            </w:pPr>
            <w:r>
              <w:rPr>
                <w:rFonts w:ascii="Arial" w:cs="Arial" w:eastAsia="Arial" w:hAnsi="Arial"/>
                <w:sz w:val="16"/>
                <w:szCs w:val="16"/>
                <w:color w:val="auto"/>
              </w:rPr>
              <w:t>4,946,876</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August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6,000</w:t>
            </w:r>
          </w:p>
        </w:tc>
        <w:tc>
          <w:tcPr>
            <w:tcW w:w="176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4,940,876</w:t>
            </w:r>
          </w:p>
        </w:tc>
        <w:tc>
          <w:tcPr>
            <w:tcW w:w="0" w:type="dxa"/>
            <w:vAlign w:val="bottom"/>
          </w:tcPr>
          <w:p>
            <w:pPr>
              <w:spacing w:after="0"/>
              <w:rPr>
                <w:sz w:val="1"/>
                <w:szCs w:val="1"/>
                <w:color w:val="auto"/>
              </w:rPr>
            </w:pPr>
          </w:p>
        </w:tc>
      </w:tr>
      <w:tr>
        <w:trPr>
          <w:trHeight w:val="215"/>
        </w:trPr>
        <w:tc>
          <w:tcPr>
            <w:tcW w:w="5280" w:type="dxa"/>
            <w:vAlign w:val="bottom"/>
          </w:tcPr>
          <w:p>
            <w:pPr>
              <w:ind w:left="180"/>
              <w:spacing w:after="0"/>
              <w:rPr>
                <w:sz w:val="20"/>
                <w:szCs w:val="20"/>
                <w:color w:val="auto"/>
              </w:rPr>
            </w:pPr>
            <w:r>
              <w:rPr>
                <w:rFonts w:ascii="Arial" w:cs="Arial" w:eastAsia="Arial" w:hAnsi="Arial"/>
                <w:sz w:val="16"/>
                <w:szCs w:val="16"/>
                <w:color w:val="auto"/>
              </w:rPr>
              <w:t>September</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7"/>
              <w:spacing w:after="0"/>
              <w:rPr>
                <w:sz w:val="20"/>
                <w:szCs w:val="20"/>
                <w:color w:val="auto"/>
              </w:rPr>
            </w:pPr>
            <w:r>
              <w:rPr>
                <w:rFonts w:ascii="Arial" w:cs="Arial" w:eastAsia="Arial" w:hAnsi="Arial"/>
                <w:sz w:val="16"/>
                <w:szCs w:val="16"/>
                <w:color w:val="auto"/>
              </w:rPr>
              <w:t>4,940,876</w:t>
            </w:r>
          </w:p>
        </w:tc>
        <w:tc>
          <w:tcPr>
            <w:tcW w:w="0" w:type="dxa"/>
            <w:vAlign w:val="bottom"/>
          </w:tcPr>
          <w:p>
            <w:pPr>
              <w:spacing w:after="0"/>
              <w:rPr>
                <w:sz w:val="1"/>
                <w:szCs w:val="1"/>
                <w:color w:val="auto"/>
              </w:rPr>
            </w:pPr>
          </w:p>
        </w:tc>
      </w:tr>
      <w:tr>
        <w:trPr>
          <w:trHeight w:val="235"/>
        </w:trPr>
        <w:tc>
          <w:tcPr>
            <w:tcW w:w="5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788,134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788,134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120" w:hanging="412"/>
        <w:spacing w:after="0" w:line="301" w:lineRule="auto"/>
        <w:tabs>
          <w:tab w:leader="none" w:pos="411"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the remaining shares that may be repurchased until December 31, 2025 under the Plan authorized by AFG’s Board of Directors in May 2021.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its stock incentive plans, AFG acquired 42,809 shares (at an average of $120.66 per share) in the first quarter of 2025,</w:t>
      </w:r>
    </w:p>
    <w:p>
      <w:pPr>
        <w:spacing w:after="0" w:line="23"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141 shares (at $124.75 per share) in the second quarter of 2025, 155 shares (at $126.92 per share) in July, 243 shares (at an average of $123.62 per share) in August and 39 shares (at $139.94 per share) in September.</w:t>
      </w:r>
    </w:p>
    <w:p>
      <w:pPr>
        <w:spacing w:after="0" w:line="200"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5. Other Information</w:t>
      </w:r>
    </w:p>
    <w:p>
      <w:pPr>
        <w:spacing w:after="0" w:line="36"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color w:val="auto"/>
        </w:rPr>
        <w:t>During the three months ended September 30, 2025,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64"/>
        </w:trPr>
        <w:tc>
          <w:tcPr>
            <w:tcW w:w="880" w:type="dxa"/>
            <w:vAlign w:val="bottom"/>
            <w:gridSpan w:val="2"/>
          </w:tcPr>
          <w:p>
            <w:pPr>
              <w:spacing w:after="0" w:line="164"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6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5"/>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6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8060" w:type="dxa"/>
            <w:vAlign w:val="bottom"/>
            <w:gridSpan w:val="2"/>
          </w:tcPr>
          <w:p>
            <w:pPr>
              <w:ind w:left="1780"/>
              <w:spacing w:after="0"/>
              <w:rPr>
                <w:sz w:val="20"/>
                <w:szCs w:val="20"/>
                <w:color w:val="auto"/>
              </w:rPr>
            </w:pPr>
            <w:r>
              <w:rPr>
                <w:rFonts w:ascii="Arial" w:cs="Arial" w:eastAsia="Arial" w:hAnsi="Arial"/>
                <w:sz w:val="16"/>
                <w:szCs w:val="16"/>
                <w:color w:val="auto"/>
              </w:rPr>
              <w:t>American Financial Group, Inc.</w:t>
            </w:r>
          </w:p>
        </w:tc>
      </w:tr>
      <w:tr>
        <w:trPr>
          <w:trHeight w:val="487"/>
        </w:trPr>
        <w:tc>
          <w:tcPr>
            <w:tcW w:w="3120" w:type="dxa"/>
            <w:vAlign w:val="bottom"/>
          </w:tcPr>
          <w:p>
            <w:pPr>
              <w:spacing w:after="0"/>
              <w:rPr>
                <w:sz w:val="20"/>
                <w:szCs w:val="20"/>
                <w:color w:val="auto"/>
              </w:rPr>
            </w:pPr>
            <w:r>
              <w:rPr>
                <w:rFonts w:ascii="Arial" w:cs="Arial" w:eastAsia="Arial" w:hAnsi="Arial"/>
                <w:sz w:val="16"/>
                <w:szCs w:val="16"/>
                <w:color w:val="auto"/>
              </w:rPr>
              <w:t>November 6, 2025</w:t>
            </w:r>
          </w:p>
        </w:tc>
        <w:tc>
          <w:tcPr>
            <w:tcW w:w="2540" w:type="dxa"/>
            <w:vAlign w:val="bottom"/>
          </w:tcPr>
          <w:p>
            <w:pPr>
              <w:ind w:left="178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3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3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00"/>
          </w:cols>
          <w:pgMar w:left="320" w:top="116" w:right="37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6, 2025</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6, 2025</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6, 2025</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September 30, 2025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upperLetter"/>
      <w:start w:val="7"/>
    </w:lvl>
  </w:abstractNum>
  <w:abstractNum w:abstractNumId="3">
    <w:nsid w:val="75A2A8D4"/>
    <w:multiLevelType w:val="hybridMultilevel"/>
    <w:lvl w:ilvl="0">
      <w:lvlJc w:val="left"/>
      <w:lvlText w:val="%1."/>
      <w:numFmt w:val="upperLetter"/>
      <w:start w:val="1"/>
    </w:lvl>
  </w:abstractNum>
  <w:abstractNum w:abstractNumId="4">
    <w:nsid w:val="8EDBDAB"/>
    <w:multiLevelType w:val="hybridMultilevel"/>
    <w:lvl w:ilvl="0">
      <w:lvlJc w:val="left"/>
      <w:lvlText w:val="(%1)"/>
      <w:numFmt w:val="lowerRoman"/>
      <w:start w:val="3"/>
    </w:lvl>
  </w:abstractNum>
  <w:abstractNum w:abstractNumId="5">
    <w:nsid w:val="79838CB2"/>
    <w:multiLevelType w:val="hybridMultilevel"/>
    <w:lvl w:ilvl="0">
      <w:lvlJc w:val="left"/>
      <w:lvlText w:val="%1."/>
      <w:numFmt w:val="upperLetter"/>
      <w:start w:val="2"/>
    </w:lvl>
  </w:abstractNum>
  <w:abstractNum w:abstractNumId="6">
    <w:nsid w:val="4353D0CD"/>
    <w:multiLevelType w:val="hybridMultilevel"/>
    <w:lvl w:ilvl="0">
      <w:lvlJc w:val="left"/>
      <w:lvlText w:val="%1."/>
      <w:numFmt w:val="upperLetter"/>
      <w:start w:val="3"/>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upperLetter"/>
      <w:start w:val="4"/>
    </w:lvl>
  </w:abstractNum>
  <w:abstractNum w:abstractNumId="10">
    <w:nsid w:val="71F32454"/>
    <w:multiLevelType w:val="hybridMultilevel"/>
    <w:lvl w:ilvl="0">
      <w:lvlJc w:val="left"/>
      <w:lvlText w:val="%1."/>
      <w:numFmt w:val="upperLetter"/>
      <w:start w:val="5"/>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upperLetter"/>
      <w:start w:val="6"/>
    </w:lvl>
  </w:abstractNum>
  <w:abstractNum w:abstractNumId="16">
    <w:nsid w:val="1E7FF521"/>
    <w:multiLevelType w:val="hybridMultilevel"/>
    <w:lvl w:ilvl="0">
      <w:lvlJc w:val="left"/>
      <w:lvlText w:val="%1."/>
      <w:numFmt w:val="upperLetter"/>
      <w:start w:val="7"/>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upperLetter"/>
      <w:start w:val="8"/>
    </w:lvl>
  </w:abstractNum>
  <w:abstractNum w:abstractNumId="19">
    <w:nsid w:val="6CEAF087"/>
    <w:multiLevelType w:val="hybridMultilevel"/>
    <w:lvl w:ilvl="0">
      <w:lvlJc w:val="left"/>
      <w:lvlText w:val="%1."/>
      <w:numFmt w:val="upperLetter"/>
      <w:start w:val="10"/>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upperLetter"/>
      <w:start w:val="11"/>
    </w:lvl>
  </w:abstractNum>
  <w:abstractNum w:abstractNumId="22">
    <w:nsid w:val="3006C83E"/>
    <w:multiLevelType w:val="hybridMultilevel"/>
    <w:lvl w:ilvl="0">
      <w:lvlJc w:val="left"/>
      <w:lvlText w:val="%1."/>
      <w:numFmt w:val="upperLetter"/>
      <w:start w:val="12"/>
    </w:lvl>
  </w:abstractNum>
  <w:abstractNum w:abstractNumId="23">
    <w:nsid w:val="614FD4A1"/>
    <w:multiLevelType w:val="hybridMultilevel"/>
    <w:lvl w:ilvl="0">
      <w:lvlJc w:val="left"/>
      <w:lvlText w:val="%1."/>
      <w:numFmt w:val="upperLetter"/>
      <w:start w:val="13"/>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emdash "/>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lvl w:ilvl="1">
      <w:lvlJc w:val="left"/>
      <w:lvlText w:val="%2."/>
      <w:numFmt w:val="lowerLetter"/>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2025-11-06T12:57:33Z</dcterms:created>
  <dcterms:modified xsi:type="dcterms:W3CDTF">2025-11-06T12:57:33Z</dcterms:modified>
</cp:coreProperties>
</file>