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20, 2026</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AMERICAN FINANCIAL GROUP,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Borders>
              <w:bottom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284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1-13653</w:t>
            </w:r>
          </w:p>
        </w:tc>
        <w:tc>
          <w:tcPr>
            <w:tcW w:w="390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31-1544320</w:t>
            </w:r>
          </w:p>
        </w:tc>
      </w:tr>
      <w:tr>
        <w:trPr>
          <w:trHeight w:val="234"/>
        </w:trPr>
        <w:tc>
          <w:tcPr>
            <w:tcW w:w="45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8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9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4500" w:type="dxa"/>
            <w:vAlign w:val="bottom"/>
            <w:tcBorders>
              <w:bottom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301 East Fourth Street, Cincinnati, OH</w:t>
            </w:r>
          </w:p>
        </w:tc>
        <w:tc>
          <w:tcPr>
            <w:tcW w:w="28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b w:val="1"/>
                <w:bCs w:val="1"/>
                <w:color w:val="auto"/>
              </w:rPr>
              <w:t>45202</w:t>
            </w:r>
          </w:p>
        </w:tc>
      </w:tr>
      <w:tr>
        <w:trPr>
          <w:trHeight w:val="234"/>
        </w:trPr>
        <w:tc>
          <w:tcPr>
            <w:tcW w:w="45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40" w:type="dxa"/>
            <w:vAlign w:val="bottom"/>
          </w:tcPr>
          <w:p>
            <w:pPr>
              <w:spacing w:after="0"/>
              <w:rPr>
                <w:sz w:val="20"/>
                <w:szCs w:val="20"/>
                <w:color w:val="auto"/>
              </w:rPr>
            </w:pPr>
          </w:p>
        </w:tc>
        <w:tc>
          <w:tcPr>
            <w:tcW w:w="3900" w:type="dxa"/>
            <w:vAlign w:val="bottom"/>
          </w:tcPr>
          <w:p>
            <w:pPr>
              <w:jc w:val="center"/>
              <w:ind w:right="16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w:t>
      </w:r>
      <w:r>
        <w:rPr>
          <w:rFonts w:ascii="Times New Roman" w:cs="Times New Roman" w:eastAsia="Times New Roman" w:hAnsi="Times New Roman"/>
          <w:sz w:val="18"/>
          <w:szCs w:val="18"/>
          <w:b w:val="1"/>
          <w:bCs w:val="1"/>
          <w:color w:val="auto"/>
        </w:rPr>
        <w:t>513) 579-2121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156845</wp:posOffset>
            </wp:positionV>
            <wp:extent cx="42773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21E1F"/>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01"/>
        </w:trPr>
        <w:tc>
          <w:tcPr>
            <w:tcW w:w="6080" w:type="dxa"/>
            <w:vAlign w:val="bottom"/>
            <w:tcBorders>
              <w:top w:val="single" w:sz="8" w:color="auto"/>
              <w:left w:val="single" w:sz="8" w:color="auto"/>
              <w:right w:val="single" w:sz="8" w:color="auto"/>
            </w:tcBorders>
            <w:gridSpan w:val="2"/>
          </w:tcPr>
          <w:p>
            <w:pPr>
              <w:ind w:left="120"/>
              <w:spacing w:after="0" w:line="201"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1460" w:type="dxa"/>
            <w:vAlign w:val="bottom"/>
            <w:tcBorders>
              <w:top w:val="single" w:sz="8" w:color="auto"/>
              <w:right w:val="single" w:sz="8" w:color="auto"/>
            </w:tcBorders>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Trading</w:t>
            </w:r>
          </w:p>
        </w:tc>
        <w:tc>
          <w:tcPr>
            <w:tcW w:w="3700" w:type="dxa"/>
            <w:vAlign w:val="bottom"/>
            <w:tcBorders>
              <w:top w:val="single" w:sz="8" w:color="auto"/>
              <w:right w:val="single" w:sz="8" w:color="auto"/>
            </w:tcBorders>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45"/>
        </w:trPr>
        <w:tc>
          <w:tcPr>
            <w:tcW w:w="700" w:type="dxa"/>
            <w:vAlign w:val="bottom"/>
            <w:tcBorders>
              <w:left w:val="single" w:sz="8" w:color="auto"/>
              <w:bottom w:val="single" w:sz="8" w:color="auto"/>
            </w:tcBorders>
          </w:tcPr>
          <w:p>
            <w:pPr>
              <w:spacing w:after="0"/>
              <w:rPr>
                <w:sz w:val="21"/>
                <w:szCs w:val="21"/>
                <w:color w:val="auto"/>
              </w:rPr>
            </w:pPr>
          </w:p>
        </w:tc>
        <w:tc>
          <w:tcPr>
            <w:tcW w:w="538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223"/>
        </w:trPr>
        <w:tc>
          <w:tcPr>
            <w:tcW w:w="60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AFG</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223"/>
        </w:trPr>
        <w:tc>
          <w:tcPr>
            <w:tcW w:w="7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5.875%</w:t>
            </w:r>
          </w:p>
        </w:tc>
        <w:tc>
          <w:tcPr>
            <w:tcW w:w="5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Subordinated Debentures due March 30, 2059</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AFGB</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223"/>
        </w:trPr>
        <w:tc>
          <w:tcPr>
            <w:tcW w:w="7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5.125%</w:t>
            </w:r>
          </w:p>
        </w:tc>
        <w:tc>
          <w:tcPr>
            <w:tcW w:w="5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Subordinated Debentures due December 15, 2059</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AFGC</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223"/>
        </w:trPr>
        <w:tc>
          <w:tcPr>
            <w:tcW w:w="7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5.625%</w:t>
            </w:r>
          </w:p>
        </w:tc>
        <w:tc>
          <w:tcPr>
            <w:tcW w:w="5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Subordinated Debentures due June 1, 2060</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AFGD</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223"/>
        </w:trPr>
        <w:tc>
          <w:tcPr>
            <w:tcW w:w="60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4.5% Subordinated Debentures due September 15, 2060</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AFGE</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297"/>
        </w:trPr>
        <w:tc>
          <w:tcPr>
            <w:tcW w:w="70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163"/>
        </w:trPr>
        <w:tc>
          <w:tcPr>
            <w:tcW w:w="700" w:type="dxa"/>
            <w:vAlign w:val="bottom"/>
            <w:tcBorders>
              <w:bottom w:val="single" w:sz="8" w:color="auto"/>
            </w:tcBorders>
          </w:tcPr>
          <w:p>
            <w:pPr>
              <w:spacing w:after="0"/>
              <w:rPr>
                <w:sz w:val="14"/>
                <w:szCs w:val="14"/>
                <w:color w:val="auto"/>
              </w:rPr>
            </w:pPr>
          </w:p>
        </w:tc>
        <w:tc>
          <w:tcPr>
            <w:tcW w:w="53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tcPr>
          <w:p>
            <w:pPr>
              <w:spacing w:after="0"/>
              <w:rPr>
                <w:sz w:val="14"/>
                <w:szCs w:val="14"/>
                <w:color w:val="auto"/>
              </w:rPr>
            </w:pPr>
          </w:p>
        </w:tc>
      </w:tr>
      <w:tr>
        <w:trPr>
          <w:trHeight w:val="196"/>
        </w:trPr>
        <w:tc>
          <w:tcPr>
            <w:tcW w:w="700" w:type="dxa"/>
            <w:vAlign w:val="bottom"/>
            <w:tcBorders>
              <w:bottom w:val="single" w:sz="8" w:color="auto"/>
            </w:tcBorders>
          </w:tcPr>
          <w:p>
            <w:pPr>
              <w:spacing w:after="0"/>
              <w:rPr>
                <w:sz w:val="17"/>
                <w:szCs w:val="17"/>
                <w:color w:val="auto"/>
              </w:rPr>
            </w:pPr>
          </w:p>
        </w:tc>
        <w:tc>
          <w:tcPr>
            <w:tcW w:w="5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color w:val="auto"/>
        </w:rPr>
        <w:t>Corporate Governance and Management</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 held its annual meeting of shareholders on May 20, 2026. The voting results on the proposals considered at the annual meeting are set forth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1.</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 12 directors.</w:t>
            </w: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Broker</w:t>
            </w:r>
          </w:p>
        </w:tc>
      </w:tr>
      <w:tr>
        <w:trPr>
          <w:trHeight w:val="194"/>
        </w:trPr>
        <w:tc>
          <w:tcPr>
            <w:tcW w:w="5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960" w:type="dxa"/>
            <w:vAlign w:val="bottom"/>
            <w:gridSpan w:val="3"/>
          </w:tcPr>
          <w:p>
            <w:pPr>
              <w:jc w:val="center"/>
              <w:ind w:left="830"/>
              <w:spacing w:after="0" w:line="194" w:lineRule="exact"/>
              <w:rPr>
                <w:sz w:val="20"/>
                <w:szCs w:val="20"/>
                <w:color w:val="auto"/>
              </w:rPr>
            </w:pPr>
            <w:r>
              <w:rPr>
                <w:rFonts w:ascii="Times New Roman" w:cs="Times New Roman" w:eastAsia="Times New Roman" w:hAnsi="Times New Roman"/>
                <w:sz w:val="18"/>
                <w:szCs w:val="18"/>
                <w:color w:val="auto"/>
                <w:w w:val="95"/>
              </w:rPr>
              <w:t>For</w:t>
            </w:r>
          </w:p>
        </w:tc>
        <w:tc>
          <w:tcPr>
            <w:tcW w:w="2020" w:type="dxa"/>
            <w:vAlign w:val="bottom"/>
            <w:gridSpan w:val="3"/>
          </w:tcPr>
          <w:p>
            <w:pPr>
              <w:ind w:left="660"/>
              <w:spacing w:after="0" w:line="194" w:lineRule="exact"/>
              <w:rPr>
                <w:sz w:val="20"/>
                <w:szCs w:val="20"/>
                <w:color w:val="auto"/>
              </w:rPr>
            </w:pPr>
            <w:r>
              <w:rPr>
                <w:rFonts w:ascii="Times New Roman" w:cs="Times New Roman" w:eastAsia="Times New Roman" w:hAnsi="Times New Roman"/>
                <w:sz w:val="18"/>
                <w:szCs w:val="18"/>
                <w:color w:val="auto"/>
              </w:rPr>
              <w:t>Withheld</w:t>
            </w:r>
          </w:p>
        </w:tc>
        <w:tc>
          <w:tcPr>
            <w:tcW w:w="2140" w:type="dxa"/>
            <w:vAlign w:val="bottom"/>
            <w:gridSpan w:val="3"/>
          </w:tcPr>
          <w:p>
            <w:pPr>
              <w:ind w:left="680"/>
              <w:spacing w:after="0" w:line="194" w:lineRule="exact"/>
              <w:rPr>
                <w:sz w:val="20"/>
                <w:szCs w:val="20"/>
                <w:color w:val="auto"/>
              </w:rPr>
            </w:pPr>
            <w:r>
              <w:rPr>
                <w:rFonts w:ascii="Times New Roman" w:cs="Times New Roman" w:eastAsia="Times New Roman" w:hAnsi="Times New Roman"/>
                <w:sz w:val="18"/>
                <w:szCs w:val="18"/>
                <w:color w:val="auto"/>
              </w:rPr>
              <w:t>Non-Votes</w:t>
            </w:r>
          </w:p>
        </w:tc>
      </w:tr>
      <w:tr>
        <w:trPr>
          <w:trHeight w:val="20"/>
        </w:trPr>
        <w:tc>
          <w:tcPr>
            <w:tcW w:w="5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H. Lindner III</w:t>
            </w:r>
          </w:p>
        </w:tc>
        <w:tc>
          <w:tcPr>
            <w:tcW w:w="2960" w:type="dxa"/>
            <w:vAlign w:val="bottom"/>
            <w:gridSpan w:val="3"/>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71,683,240</w:t>
            </w:r>
          </w:p>
        </w:tc>
        <w:tc>
          <w:tcPr>
            <w:tcW w:w="1320" w:type="dxa"/>
            <w:vAlign w:val="bottom"/>
            <w:gridSpan w:val="2"/>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642,306</w:t>
            </w:r>
          </w:p>
        </w:tc>
        <w:tc>
          <w:tcPr>
            <w:tcW w:w="70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3,585,352</w:t>
            </w:r>
          </w:p>
        </w:tc>
      </w:tr>
      <w:tr>
        <w:trPr>
          <w:trHeight w:val="216"/>
        </w:trPr>
        <w:tc>
          <w:tcPr>
            <w:tcW w:w="5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 Craig Lindner</w:t>
            </w:r>
          </w:p>
        </w:tc>
        <w:tc>
          <w:tcPr>
            <w:tcW w:w="29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8"/>
              </w:rPr>
              <w:t>71,681,321</w:t>
            </w:r>
          </w:p>
        </w:tc>
        <w:tc>
          <w:tcPr>
            <w:tcW w:w="13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644,225</w:t>
            </w:r>
          </w:p>
        </w:tc>
        <w:tc>
          <w:tcPr>
            <w:tcW w:w="700" w:type="dxa"/>
            <w:vAlign w:val="bottom"/>
          </w:tcPr>
          <w:p>
            <w:pPr>
              <w:spacing w:after="0"/>
              <w:rPr>
                <w:sz w:val="18"/>
                <w:szCs w:val="18"/>
                <w:color w:val="auto"/>
              </w:rPr>
            </w:pPr>
          </w:p>
        </w:tc>
        <w:tc>
          <w:tcPr>
            <w:tcW w:w="21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3,585,352</w:t>
            </w:r>
          </w:p>
        </w:tc>
      </w:tr>
      <w:tr>
        <w:trPr>
          <w:trHeight w:val="216"/>
        </w:trPr>
        <w:tc>
          <w:tcPr>
            <w:tcW w:w="58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B. Berding</w:t>
            </w:r>
          </w:p>
        </w:tc>
        <w:tc>
          <w:tcPr>
            <w:tcW w:w="2960" w:type="dxa"/>
            <w:vAlign w:val="bottom"/>
            <w:gridSpan w:val="3"/>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70,818,568</w:t>
            </w:r>
          </w:p>
        </w:tc>
        <w:tc>
          <w:tcPr>
            <w:tcW w:w="202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1,506,978</w:t>
            </w:r>
          </w:p>
        </w:tc>
        <w:tc>
          <w:tcPr>
            <w:tcW w:w="214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3,585,352</w:t>
            </w:r>
          </w:p>
        </w:tc>
      </w:tr>
      <w:tr>
        <w:trPr>
          <w:trHeight w:val="216"/>
        </w:trPr>
        <w:tc>
          <w:tcPr>
            <w:tcW w:w="5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Gregory G. Joseph</w:t>
            </w:r>
          </w:p>
        </w:tc>
        <w:tc>
          <w:tcPr>
            <w:tcW w:w="29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8"/>
              </w:rPr>
              <w:t>68,107,756</w:t>
            </w:r>
          </w:p>
        </w:tc>
        <w:tc>
          <w:tcPr>
            <w:tcW w:w="2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4,217,790</w:t>
            </w:r>
          </w:p>
        </w:tc>
        <w:tc>
          <w:tcPr>
            <w:tcW w:w="21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3,585,352</w:t>
            </w:r>
          </w:p>
        </w:tc>
      </w:tr>
      <w:tr>
        <w:trPr>
          <w:trHeight w:val="216"/>
        </w:trPr>
        <w:tc>
          <w:tcPr>
            <w:tcW w:w="58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 Craig Lindner Jr.</w:t>
            </w:r>
          </w:p>
        </w:tc>
        <w:tc>
          <w:tcPr>
            <w:tcW w:w="2960" w:type="dxa"/>
            <w:vAlign w:val="bottom"/>
            <w:gridSpan w:val="3"/>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67,226,186</w:t>
            </w:r>
          </w:p>
        </w:tc>
        <w:tc>
          <w:tcPr>
            <w:tcW w:w="202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5,099,360</w:t>
            </w:r>
          </w:p>
        </w:tc>
        <w:tc>
          <w:tcPr>
            <w:tcW w:w="214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3,585,352</w:t>
            </w:r>
          </w:p>
        </w:tc>
      </w:tr>
      <w:tr>
        <w:trPr>
          <w:trHeight w:val="216"/>
        </w:trPr>
        <w:tc>
          <w:tcPr>
            <w:tcW w:w="5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Mary Beth Martin</w:t>
            </w:r>
          </w:p>
        </w:tc>
        <w:tc>
          <w:tcPr>
            <w:tcW w:w="29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8"/>
              </w:rPr>
              <w:t>70,832,343</w:t>
            </w:r>
          </w:p>
        </w:tc>
        <w:tc>
          <w:tcPr>
            <w:tcW w:w="2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1,493,203</w:t>
            </w:r>
          </w:p>
        </w:tc>
        <w:tc>
          <w:tcPr>
            <w:tcW w:w="21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3,585,352</w:t>
            </w:r>
          </w:p>
        </w:tc>
      </w:tr>
      <w:tr>
        <w:trPr>
          <w:trHeight w:val="216"/>
        </w:trPr>
        <w:tc>
          <w:tcPr>
            <w:tcW w:w="58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Amy Y. Murray</w:t>
            </w:r>
          </w:p>
        </w:tc>
        <w:tc>
          <w:tcPr>
            <w:tcW w:w="2960" w:type="dxa"/>
            <w:vAlign w:val="bottom"/>
            <w:gridSpan w:val="3"/>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71,872,324</w:t>
            </w:r>
          </w:p>
        </w:tc>
        <w:tc>
          <w:tcPr>
            <w:tcW w:w="1320" w:type="dxa"/>
            <w:vAlign w:val="bottom"/>
            <w:gridSpan w:val="2"/>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453,222</w:t>
            </w:r>
          </w:p>
        </w:tc>
        <w:tc>
          <w:tcPr>
            <w:tcW w:w="70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3,585,352</w:t>
            </w:r>
          </w:p>
        </w:tc>
      </w:tr>
      <w:tr>
        <w:trPr>
          <w:trHeight w:val="216"/>
        </w:trPr>
        <w:tc>
          <w:tcPr>
            <w:tcW w:w="5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Roger K. Newport</w:t>
            </w:r>
          </w:p>
        </w:tc>
        <w:tc>
          <w:tcPr>
            <w:tcW w:w="29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8"/>
              </w:rPr>
              <w:t>72,097,586</w:t>
            </w:r>
          </w:p>
        </w:tc>
        <w:tc>
          <w:tcPr>
            <w:tcW w:w="13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227,960</w:t>
            </w:r>
          </w:p>
        </w:tc>
        <w:tc>
          <w:tcPr>
            <w:tcW w:w="700" w:type="dxa"/>
            <w:vAlign w:val="bottom"/>
          </w:tcPr>
          <w:p>
            <w:pPr>
              <w:spacing w:after="0"/>
              <w:rPr>
                <w:sz w:val="18"/>
                <w:szCs w:val="18"/>
                <w:color w:val="auto"/>
              </w:rPr>
            </w:pPr>
          </w:p>
        </w:tc>
        <w:tc>
          <w:tcPr>
            <w:tcW w:w="21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3,585,352</w:t>
            </w:r>
          </w:p>
        </w:tc>
      </w:tr>
      <w:tr>
        <w:trPr>
          <w:trHeight w:val="216"/>
        </w:trPr>
        <w:tc>
          <w:tcPr>
            <w:tcW w:w="58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Evans N. Nwankwo</w:t>
            </w:r>
          </w:p>
        </w:tc>
        <w:tc>
          <w:tcPr>
            <w:tcW w:w="2960" w:type="dxa"/>
            <w:vAlign w:val="bottom"/>
            <w:gridSpan w:val="3"/>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70,880,035</w:t>
            </w:r>
          </w:p>
        </w:tc>
        <w:tc>
          <w:tcPr>
            <w:tcW w:w="202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1,445,511</w:t>
            </w:r>
          </w:p>
        </w:tc>
        <w:tc>
          <w:tcPr>
            <w:tcW w:w="214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3,585,352</w:t>
            </w:r>
          </w:p>
        </w:tc>
      </w:tr>
      <w:tr>
        <w:trPr>
          <w:trHeight w:val="216"/>
        </w:trPr>
        <w:tc>
          <w:tcPr>
            <w:tcW w:w="5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David L. Thompson</w:t>
            </w:r>
          </w:p>
        </w:tc>
        <w:tc>
          <w:tcPr>
            <w:tcW w:w="29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8"/>
              </w:rPr>
              <w:t>71,565,185</w:t>
            </w:r>
          </w:p>
        </w:tc>
        <w:tc>
          <w:tcPr>
            <w:tcW w:w="13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760,361</w:t>
            </w:r>
          </w:p>
        </w:tc>
        <w:tc>
          <w:tcPr>
            <w:tcW w:w="700" w:type="dxa"/>
            <w:vAlign w:val="bottom"/>
          </w:tcPr>
          <w:p>
            <w:pPr>
              <w:spacing w:after="0"/>
              <w:rPr>
                <w:sz w:val="18"/>
                <w:szCs w:val="18"/>
                <w:color w:val="auto"/>
              </w:rPr>
            </w:pPr>
          </w:p>
        </w:tc>
        <w:tc>
          <w:tcPr>
            <w:tcW w:w="21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3,585,352</w:t>
            </w:r>
          </w:p>
        </w:tc>
      </w:tr>
      <w:tr>
        <w:trPr>
          <w:trHeight w:val="216"/>
        </w:trPr>
        <w:tc>
          <w:tcPr>
            <w:tcW w:w="58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W. Verity</w:t>
            </w:r>
          </w:p>
        </w:tc>
        <w:tc>
          <w:tcPr>
            <w:tcW w:w="2960" w:type="dxa"/>
            <w:vAlign w:val="bottom"/>
            <w:gridSpan w:val="3"/>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62,988,078</w:t>
            </w:r>
          </w:p>
        </w:tc>
        <w:tc>
          <w:tcPr>
            <w:tcW w:w="202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9,337,468</w:t>
            </w:r>
          </w:p>
        </w:tc>
        <w:tc>
          <w:tcPr>
            <w:tcW w:w="214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3,585,352</w:t>
            </w:r>
          </w:p>
        </w:tc>
      </w:tr>
      <w:tr>
        <w:trPr>
          <w:trHeight w:val="234"/>
        </w:trPr>
        <w:tc>
          <w:tcPr>
            <w:tcW w:w="5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John I. Von Lehman</w:t>
            </w:r>
          </w:p>
        </w:tc>
        <w:tc>
          <w:tcPr>
            <w:tcW w:w="29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8"/>
              </w:rPr>
              <w:t>66,927,560</w:t>
            </w:r>
          </w:p>
        </w:tc>
        <w:tc>
          <w:tcPr>
            <w:tcW w:w="2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5,397,986</w:t>
            </w:r>
          </w:p>
        </w:tc>
        <w:tc>
          <w:tcPr>
            <w:tcW w:w="21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3,585,352</w:t>
            </w:r>
          </w:p>
        </w:tc>
      </w:tr>
    </w:tbl>
    <w:p>
      <w:pPr>
        <w:spacing w:after="0" w:line="17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Ernst &amp; Young LLP as the Company’s independent registered public accounting firm for 2026.</w:t>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5"/>
              </w:rPr>
              <w:t>For</w:t>
            </w:r>
          </w:p>
        </w:tc>
        <w:tc>
          <w:tcPr>
            <w:tcW w:w="476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color w:val="auto"/>
                <w:w w:val="99"/>
              </w:rPr>
              <w:t>Against</w:t>
            </w:r>
          </w:p>
        </w:tc>
        <w:tc>
          <w:tcPr>
            <w:tcW w:w="196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0"/>
        </w:trPr>
        <w:tc>
          <w:tcPr>
            <w:tcW w:w="156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6"/>
        </w:trPr>
        <w:tc>
          <w:tcPr>
            <w:tcW w:w="3380" w:type="dxa"/>
            <w:vAlign w:val="bottom"/>
            <w:gridSpan w:val="3"/>
            <w:shd w:val="clear" w:color="auto" w:fill="CCEEFF"/>
          </w:tcPr>
          <w:p>
            <w:pPr>
              <w:jc w:val="right"/>
              <w:ind w:right="1300"/>
              <w:spacing w:after="0"/>
              <w:rPr>
                <w:sz w:val="20"/>
                <w:szCs w:val="20"/>
                <w:color w:val="auto"/>
              </w:rPr>
            </w:pPr>
            <w:r>
              <w:rPr>
                <w:rFonts w:ascii="Times New Roman" w:cs="Times New Roman" w:eastAsia="Times New Roman" w:hAnsi="Times New Roman"/>
                <w:sz w:val="18"/>
                <w:szCs w:val="18"/>
                <w:color w:val="auto"/>
              </w:rPr>
              <w:t>74,822,879</w:t>
            </w:r>
          </w:p>
        </w:tc>
        <w:tc>
          <w:tcPr>
            <w:tcW w:w="4760" w:type="dxa"/>
            <w:vAlign w:val="bottom"/>
            <w:gridSpan w:val="3"/>
            <w:shd w:val="clear" w:color="auto" w:fill="CCEEFF"/>
          </w:tcPr>
          <w:p>
            <w:pPr>
              <w:jc w:val="right"/>
              <w:ind w:right="2720"/>
              <w:spacing w:after="0"/>
              <w:rPr>
                <w:sz w:val="20"/>
                <w:szCs w:val="20"/>
                <w:color w:val="auto"/>
              </w:rPr>
            </w:pPr>
            <w:r>
              <w:rPr>
                <w:rFonts w:ascii="Times New Roman" w:cs="Times New Roman" w:eastAsia="Times New Roman" w:hAnsi="Times New Roman"/>
                <w:sz w:val="18"/>
                <w:szCs w:val="18"/>
                <w:color w:val="auto"/>
              </w:rPr>
              <w:t>1,034,836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53,183</w:t>
            </w:r>
          </w:p>
        </w:tc>
        <w:tc>
          <w:tcPr>
            <w:tcW w:w="14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on an advisory basis, the compensation of the Company’s named executive officers.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5"/>
              </w:rPr>
              <w:t>Broker</w:t>
            </w:r>
          </w:p>
        </w:tc>
        <w:tc>
          <w:tcPr>
            <w:tcW w:w="560" w:type="dxa"/>
            <w:vAlign w:val="bottom"/>
          </w:tcPr>
          <w:p>
            <w:pPr>
              <w:spacing w:after="0"/>
              <w:rPr>
                <w:sz w:val="18"/>
                <w:szCs w:val="18"/>
                <w:color w:val="auto"/>
              </w:rPr>
            </w:pPr>
          </w:p>
        </w:tc>
      </w:tr>
      <w:tr>
        <w:trPr>
          <w:trHeight w:val="194"/>
        </w:trPr>
        <w:tc>
          <w:tcPr>
            <w:tcW w:w="580" w:type="dxa"/>
            <w:vAlign w:val="bottom"/>
          </w:tcPr>
          <w:p>
            <w:pPr>
              <w:spacing w:after="0"/>
              <w:rPr>
                <w:sz w:val="16"/>
                <w:szCs w:val="16"/>
                <w:color w:val="auto"/>
              </w:rPr>
            </w:pPr>
          </w:p>
        </w:tc>
        <w:tc>
          <w:tcPr>
            <w:tcW w:w="3460" w:type="dxa"/>
            <w:vAlign w:val="bottom"/>
            <w:gridSpan w:val="3"/>
          </w:tcPr>
          <w:p>
            <w:pPr>
              <w:jc w:val="center"/>
              <w:ind w:left="350"/>
              <w:spacing w:after="0" w:line="194" w:lineRule="exact"/>
              <w:rPr>
                <w:sz w:val="20"/>
                <w:szCs w:val="20"/>
                <w:color w:val="auto"/>
              </w:rPr>
            </w:pPr>
            <w:r>
              <w:rPr>
                <w:rFonts w:ascii="Times New Roman" w:cs="Times New Roman" w:eastAsia="Times New Roman" w:hAnsi="Times New Roman"/>
                <w:sz w:val="18"/>
                <w:szCs w:val="18"/>
                <w:color w:val="auto"/>
              </w:rPr>
              <w:t>For</w:t>
            </w:r>
          </w:p>
        </w:tc>
        <w:tc>
          <w:tcPr>
            <w:tcW w:w="2500" w:type="dxa"/>
            <w:vAlign w:val="bottom"/>
            <w:gridSpan w:val="3"/>
          </w:tcPr>
          <w:p>
            <w:pPr>
              <w:jc w:val="center"/>
              <w:ind w:left="330"/>
              <w:spacing w:after="0" w:line="194" w:lineRule="exact"/>
              <w:rPr>
                <w:sz w:val="20"/>
                <w:szCs w:val="20"/>
                <w:color w:val="auto"/>
              </w:rPr>
            </w:pPr>
            <w:r>
              <w:rPr>
                <w:rFonts w:ascii="Times New Roman" w:cs="Times New Roman" w:eastAsia="Times New Roman" w:hAnsi="Times New Roman"/>
                <w:sz w:val="18"/>
                <w:szCs w:val="18"/>
                <w:color w:val="auto"/>
                <w:w w:val="99"/>
              </w:rPr>
              <w:t>Against</w:t>
            </w:r>
          </w:p>
        </w:tc>
        <w:tc>
          <w:tcPr>
            <w:tcW w:w="196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Abstain</w:t>
            </w:r>
          </w:p>
        </w:tc>
        <w:tc>
          <w:tcPr>
            <w:tcW w:w="218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w w:val="96"/>
              </w:rPr>
              <w:t>Non-Votes</w:t>
            </w:r>
          </w:p>
        </w:tc>
        <w:tc>
          <w:tcPr>
            <w:tcW w:w="56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3460" w:type="dxa"/>
            <w:vAlign w:val="bottom"/>
            <w:gridSpan w:val="3"/>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69,738,224</w:t>
            </w:r>
          </w:p>
        </w:tc>
        <w:tc>
          <w:tcPr>
            <w:tcW w:w="250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2,495,013</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92,309</w:t>
            </w:r>
          </w:p>
        </w:tc>
        <w:tc>
          <w:tcPr>
            <w:tcW w:w="7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9"/>
              </w:rPr>
              <w:t>3,585,352</w:t>
            </w:r>
          </w:p>
        </w:tc>
        <w:tc>
          <w:tcPr>
            <w:tcW w:w="7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398"/>
        </w:trPr>
        <w:tc>
          <w:tcPr>
            <w:tcW w:w="5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AMERICAN FINANCIAL GROUP,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21, 2026</w:t>
      </w:r>
      <w:r>
        <w:rPr>
          <w:sz w:val="20"/>
          <w:szCs w:val="20"/>
          <w:color w:val="auto"/>
        </w:rPr>
        <w:tab/>
      </w:r>
      <w:r>
        <w:rPr>
          <w:rFonts w:ascii="Times New Roman" w:cs="Times New Roman" w:eastAsia="Times New Roman" w:hAnsi="Times New Roman"/>
          <w:sz w:val="18"/>
          <w:szCs w:val="18"/>
          <w:color w:val="auto"/>
        </w:rPr>
        <w:t>By: /s/ Joseph C. 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2802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Joseph C. Alter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Vice President, Deputy General Counsel and Secretary</w:t>
      </w:r>
    </w:p>
    <w:p>
      <w:pPr>
        <w:spacing w:after="0" w:line="200" w:lineRule="exact"/>
        <w:rPr>
          <w:sz w:val="20"/>
          <w:szCs w:val="20"/>
          <w:color w:val="auto"/>
        </w:rPr>
      </w:pPr>
    </w:p>
    <w:p>
      <w:pPr>
        <w:spacing w:after="0" w:line="2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11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2026-05-21T16:27:40Z</dcterms:created>
  <dcterms:modified xsi:type="dcterms:W3CDTF">2026-05-21T16:27:40Z</dcterms:modified>
</cp:coreProperties>
</file>