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247650</wp:posOffset>
            </wp:positionH>
            <wp:positionV relativeFrom="page">
              <wp:posOffset>479425</wp:posOffset>
            </wp:positionV>
            <wp:extent cx="7060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0565" cy="6985"/>
                    </a:xfrm>
                    <a:prstGeom prst="rect">
                      <a:avLst/>
                    </a:prstGeom>
                    <a:noFill/>
                  </pic:spPr>
                </pic:pic>
              </a:graphicData>
            </a:graphic>
          </wp:anchor>
        </w:drawing>
        <w:t>UNITED STATES SECURITIES AND EXCHANGE COMMISSION</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3140" w:hanging="169"/>
        <w:spacing w:after="0"/>
        <w:tabs>
          <w:tab w:leader="none" w:pos="31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December 31, 2025</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1"/>
          <w:szCs w:val="11"/>
          <w:color w:val="auto"/>
        </w:rPr>
        <w:t>or</w:t>
      </w:r>
    </w:p>
    <w:p>
      <w:pPr>
        <w:spacing w:after="0" w:line="18" w:lineRule="exact"/>
        <w:rPr>
          <w:sz w:val="24"/>
          <w:szCs w:val="24"/>
          <w:color w:val="auto"/>
        </w:rPr>
      </w:pPr>
    </w:p>
    <w:p>
      <w:pPr>
        <w:ind w:left="3060" w:hanging="181"/>
        <w:spacing w:after="0"/>
        <w:tabs>
          <w:tab w:leader="none" w:pos="30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18" w:lineRule="exact"/>
        <w:rPr>
          <w:rFonts w:ascii="MS PGothic" w:cs="MS PGothic" w:eastAsia="MS PGothic" w:hAnsi="MS PGothic"/>
          <w:sz w:val="16"/>
          <w:szCs w:val="16"/>
          <w:color w:val="auto"/>
          <w:highlight w:val="black"/>
        </w:rPr>
      </w:pPr>
    </w:p>
    <w:p>
      <w:pPr>
        <w:ind w:left="4580"/>
        <w:spacing w:after="0"/>
        <w:rPr>
          <w:rFonts w:ascii="MS PGothic" w:cs="MS PGothic" w:eastAsia="MS PGothic" w:hAnsi="MS PGothic"/>
          <w:sz w:val="16"/>
          <w:szCs w:val="16"/>
          <w:color w:val="auto"/>
          <w:highlight w:val="black"/>
        </w:rPr>
      </w:pPr>
      <w:r>
        <w:rPr>
          <w:rFonts w:ascii="Arial" w:cs="Arial" w:eastAsia="Arial" w:hAnsi="Arial"/>
          <w:sz w:val="11"/>
          <w:szCs w:val="11"/>
          <w:color w:val="auto"/>
        </w:rPr>
        <w:t>For the transition period from ____ to ____</w:t>
      </w:r>
    </w:p>
    <w:p>
      <w:pPr>
        <w:spacing w:after="0" w:line="29" w:lineRule="exact"/>
        <w:rPr>
          <w:rFonts w:ascii="MS PGothic" w:cs="MS PGothic" w:eastAsia="MS PGothic" w:hAnsi="MS PGothic"/>
          <w:sz w:val="16"/>
          <w:szCs w:val="16"/>
          <w:color w:val="auto"/>
          <w:highlight w:val="black"/>
        </w:rPr>
      </w:pPr>
    </w:p>
    <w:p>
      <w:pPr>
        <w:ind w:left="4760"/>
        <w:spacing w:after="0"/>
        <w:rPr>
          <w:rFonts w:ascii="MS PGothic" w:cs="MS PGothic" w:eastAsia="MS PGothic" w:hAnsi="MS PGothic"/>
          <w:sz w:val="16"/>
          <w:szCs w:val="16"/>
          <w:color w:val="auto"/>
          <w:highlight w:val="black"/>
        </w:rPr>
      </w:pPr>
      <w:r>
        <w:rPr>
          <w:rFonts w:ascii="Arial" w:cs="Arial" w:eastAsia="Arial" w:hAnsi="Arial"/>
          <w:sz w:val="13"/>
          <w:szCs w:val="13"/>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26035</wp:posOffset>
            </wp:positionV>
            <wp:extent cx="1401445" cy="714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714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00274E"/>
        </w:rPr>
        <w:t>AMERICAN FINANCIAL GROUP, INC.</w:t>
      </w:r>
    </w:p>
    <w:p>
      <w:pPr>
        <w:spacing w:after="0" w:line="31" w:lineRule="exact"/>
        <w:rPr>
          <w:sz w:val="24"/>
          <w:szCs w:val="24"/>
          <w:color w:val="auto"/>
        </w:rPr>
      </w:pPr>
    </w:p>
    <w:p>
      <w:pPr>
        <w:ind w:left="1880"/>
        <w:spacing w:after="0"/>
        <w:tabs>
          <w:tab w:leader="none" w:pos="7380" w:val="left"/>
        </w:tabs>
        <w:rPr>
          <w:sz w:val="20"/>
          <w:szCs w:val="20"/>
          <w:color w:val="auto"/>
        </w:rPr>
      </w:pPr>
      <w:r>
        <w:rPr>
          <w:rFonts w:ascii="Arial" w:cs="Arial" w:eastAsia="Arial" w:hAnsi="Arial"/>
          <w:sz w:val="13"/>
          <w:szCs w:val="13"/>
          <w:b w:val="1"/>
          <w:bCs w:val="1"/>
          <w:color w:val="auto"/>
        </w:rPr>
        <w:t>Incorporated under the Laws of Ohio</w:t>
      </w:r>
      <w:r>
        <w:rPr>
          <w:sz w:val="20"/>
          <w:szCs w:val="20"/>
          <w:color w:val="auto"/>
        </w:rPr>
        <w:tab/>
      </w:r>
      <w:r>
        <w:rPr>
          <w:rFonts w:ascii="Arial" w:cs="Arial" w:eastAsia="Arial" w:hAnsi="Arial"/>
          <w:sz w:val="12"/>
          <w:szCs w:val="12"/>
          <w:b w:val="1"/>
          <w:bCs w:val="1"/>
          <w:color w:val="auto"/>
        </w:rPr>
        <w:t>IRS Employer I.D. No. 31-1544320</w:t>
      </w:r>
    </w:p>
    <w:p>
      <w:pPr>
        <w:jc w:val="center"/>
        <w:ind w:right="-59"/>
        <w:spacing w:after="0"/>
        <w:rPr>
          <w:sz w:val="20"/>
          <w:szCs w:val="20"/>
          <w:color w:val="auto"/>
        </w:rPr>
      </w:pPr>
      <w:r>
        <w:rPr>
          <w:rFonts w:ascii="Arial" w:cs="Arial" w:eastAsia="Arial" w:hAnsi="Arial"/>
          <w:sz w:val="13"/>
          <w:szCs w:val="13"/>
          <w:b w:val="1"/>
          <w:bCs w:val="1"/>
          <w:color w:val="auto"/>
        </w:rPr>
        <w:t>301 East Fourth Street, Cincinnati, Ohio 45202</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(513) 579-2121</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47" w:lineRule="exact"/>
        <w:rPr>
          <w:sz w:val="24"/>
          <w:szCs w:val="24"/>
          <w:color w:val="auto"/>
        </w:rPr>
      </w:pPr>
    </w:p>
    <w:tbl>
      <w:tblPr>
        <w:tblLayout w:type="fixed"/>
        <w:tblInd w:w="260" w:type="dxa"/>
        <w:tblCellMar>
          <w:top w:w="0" w:type="dxa"/>
          <w:left w:w="0" w:type="dxa"/>
          <w:bottom w:w="0" w:type="dxa"/>
          <w:right w:w="0" w:type="dxa"/>
        </w:tblCellMar>
      </w:tblPr>
      <w:tr>
        <w:trPr>
          <w:trHeight w:val="126"/>
        </w:trPr>
        <w:tc>
          <w:tcPr>
            <w:tcW w:w="4920" w:type="dxa"/>
            <w:vAlign w:val="bottom"/>
            <w:gridSpan w:val="3"/>
          </w:tcPr>
          <w:p>
            <w:pPr>
              <w:spacing w:after="0"/>
              <w:rPr>
                <w:sz w:val="20"/>
                <w:szCs w:val="20"/>
                <w:color w:val="auto"/>
              </w:rPr>
            </w:pPr>
            <w:r>
              <w:rPr>
                <w:rFonts w:ascii="Arial" w:cs="Arial" w:eastAsia="Arial" w:hAnsi="Arial"/>
                <w:sz w:val="11"/>
                <w:szCs w:val="11"/>
                <w:color w:val="auto"/>
              </w:rPr>
              <w:t>Title of Each Class</w:t>
            </w:r>
          </w:p>
        </w:tc>
        <w:tc>
          <w:tcPr>
            <w:tcW w:w="1540" w:type="dxa"/>
            <w:vAlign w:val="bottom"/>
            <w:gridSpan w:val="2"/>
          </w:tcPr>
          <w:p>
            <w:pPr>
              <w:spacing w:after="0"/>
              <w:rPr>
                <w:sz w:val="20"/>
                <w:szCs w:val="20"/>
                <w:color w:val="auto"/>
              </w:rPr>
            </w:pPr>
            <w:r>
              <w:rPr>
                <w:rFonts w:ascii="Arial" w:cs="Arial" w:eastAsia="Arial" w:hAnsi="Arial"/>
                <w:sz w:val="11"/>
                <w:szCs w:val="11"/>
                <w:color w:val="auto"/>
              </w:rPr>
              <w:t>Trading Symbol(s)</w:t>
            </w:r>
          </w:p>
        </w:tc>
        <w:tc>
          <w:tcPr>
            <w:tcW w:w="2320" w:type="dxa"/>
            <w:vAlign w:val="bottom"/>
          </w:tcPr>
          <w:p>
            <w:pPr>
              <w:spacing w:after="0"/>
              <w:rPr>
                <w:sz w:val="20"/>
                <w:szCs w:val="20"/>
                <w:color w:val="auto"/>
              </w:rPr>
            </w:pPr>
            <w:r>
              <w:rPr>
                <w:rFonts w:ascii="Arial" w:cs="Arial" w:eastAsia="Arial" w:hAnsi="Arial"/>
                <w:sz w:val="11"/>
                <w:szCs w:val="11"/>
                <w:color w:val="auto"/>
              </w:rPr>
              <w:t>Name of Each Exchange on Which Registered</w:t>
            </w:r>
          </w:p>
        </w:tc>
      </w:tr>
      <w:tr>
        <w:trPr>
          <w:trHeight w:val="186"/>
        </w:trPr>
        <w:tc>
          <w:tcPr>
            <w:tcW w:w="9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w:t>
            </w:r>
          </w:p>
        </w:tc>
        <w:tc>
          <w:tcPr>
            <w:tcW w:w="398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AFG</w:t>
            </w:r>
          </w:p>
        </w:tc>
        <w:tc>
          <w:tcPr>
            <w:tcW w:w="620" w:type="dxa"/>
            <w:vAlign w:val="bottom"/>
          </w:tcPr>
          <w:p>
            <w:pPr>
              <w:spacing w:after="0"/>
              <w:rPr>
                <w:sz w:val="16"/>
                <w:szCs w:val="16"/>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New York Stock Exchange</w:t>
            </w:r>
          </w:p>
        </w:tc>
      </w:tr>
      <w:tr>
        <w:trPr>
          <w:trHeight w:val="180"/>
        </w:trPr>
        <w:tc>
          <w:tcPr>
            <w:tcW w:w="400" w:type="dxa"/>
            <w:vAlign w:val="bottom"/>
          </w:tcPr>
          <w:p>
            <w:pPr>
              <w:spacing w:after="0"/>
              <w:rPr>
                <w:sz w:val="20"/>
                <w:szCs w:val="20"/>
                <w:color w:val="auto"/>
              </w:rPr>
            </w:pPr>
            <w:r>
              <w:rPr>
                <w:rFonts w:ascii="Arial" w:cs="Arial" w:eastAsia="Arial" w:hAnsi="Arial"/>
                <w:sz w:val="11"/>
                <w:szCs w:val="11"/>
                <w:color w:val="auto"/>
              </w:rPr>
              <w:t>5.875%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March 30, 2059</w:t>
            </w:r>
          </w:p>
        </w:tc>
        <w:tc>
          <w:tcPr>
            <w:tcW w:w="1540" w:type="dxa"/>
            <w:vAlign w:val="bottom"/>
            <w:gridSpan w:val="2"/>
          </w:tcPr>
          <w:p>
            <w:pPr>
              <w:spacing w:after="0"/>
              <w:rPr>
                <w:sz w:val="20"/>
                <w:szCs w:val="20"/>
                <w:color w:val="auto"/>
              </w:rPr>
            </w:pPr>
            <w:r>
              <w:rPr>
                <w:rFonts w:ascii="Arial" w:cs="Arial" w:eastAsia="Arial" w:hAnsi="Arial"/>
                <w:sz w:val="11"/>
                <w:szCs w:val="11"/>
                <w:color w:val="auto"/>
              </w:rPr>
              <w:t>AFGB</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80"/>
        </w:trPr>
        <w:tc>
          <w:tcPr>
            <w:tcW w:w="400" w:type="dxa"/>
            <w:vAlign w:val="bottom"/>
          </w:tcPr>
          <w:p>
            <w:pPr>
              <w:spacing w:after="0"/>
              <w:rPr>
                <w:sz w:val="20"/>
                <w:szCs w:val="20"/>
                <w:color w:val="auto"/>
              </w:rPr>
            </w:pPr>
            <w:r>
              <w:rPr>
                <w:rFonts w:ascii="Arial" w:cs="Arial" w:eastAsia="Arial" w:hAnsi="Arial"/>
                <w:sz w:val="11"/>
                <w:szCs w:val="11"/>
                <w:color w:val="auto"/>
              </w:rPr>
              <w:t>5.625%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June 1, 2060</w:t>
            </w:r>
          </w:p>
        </w:tc>
        <w:tc>
          <w:tcPr>
            <w:tcW w:w="1540" w:type="dxa"/>
            <w:vAlign w:val="bottom"/>
            <w:gridSpan w:val="2"/>
          </w:tcPr>
          <w:p>
            <w:pPr>
              <w:spacing w:after="0"/>
              <w:rPr>
                <w:sz w:val="20"/>
                <w:szCs w:val="20"/>
                <w:color w:val="auto"/>
              </w:rPr>
            </w:pPr>
            <w:r>
              <w:rPr>
                <w:rFonts w:ascii="Arial" w:cs="Arial" w:eastAsia="Arial" w:hAnsi="Arial"/>
                <w:sz w:val="11"/>
                <w:szCs w:val="11"/>
                <w:color w:val="auto"/>
              </w:rPr>
              <w:t>AFGD</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70"/>
        </w:trPr>
        <w:tc>
          <w:tcPr>
            <w:tcW w:w="400" w:type="dxa"/>
            <w:vAlign w:val="bottom"/>
          </w:tcPr>
          <w:p>
            <w:pPr>
              <w:spacing w:after="0"/>
              <w:rPr>
                <w:sz w:val="20"/>
                <w:szCs w:val="20"/>
                <w:color w:val="auto"/>
              </w:rPr>
            </w:pPr>
            <w:r>
              <w:rPr>
                <w:rFonts w:ascii="Arial" w:cs="Arial" w:eastAsia="Arial" w:hAnsi="Arial"/>
                <w:sz w:val="11"/>
                <w:szCs w:val="11"/>
                <w:color w:val="auto"/>
              </w:rPr>
              <w:t>5.125%</w:t>
            </w:r>
          </w:p>
        </w:tc>
        <w:tc>
          <w:tcPr>
            <w:tcW w:w="4520" w:type="dxa"/>
            <w:vAlign w:val="bottom"/>
            <w:gridSpan w:val="2"/>
          </w:tcPr>
          <w:p>
            <w:pPr>
              <w:ind w:left="20"/>
              <w:spacing w:after="0"/>
              <w:rPr>
                <w:sz w:val="20"/>
                <w:szCs w:val="20"/>
                <w:color w:val="auto"/>
              </w:rPr>
            </w:pPr>
            <w:r>
              <w:rPr>
                <w:rFonts w:ascii="Arial" w:cs="Arial" w:eastAsia="Arial" w:hAnsi="Arial"/>
                <w:sz w:val="11"/>
                <w:szCs w:val="11"/>
                <w:color w:val="auto"/>
              </w:rPr>
              <w:t>Subordinated Debentures due December 15, 2059</w:t>
            </w:r>
          </w:p>
        </w:tc>
        <w:tc>
          <w:tcPr>
            <w:tcW w:w="1540" w:type="dxa"/>
            <w:vAlign w:val="bottom"/>
            <w:gridSpan w:val="2"/>
          </w:tcPr>
          <w:p>
            <w:pPr>
              <w:spacing w:after="0"/>
              <w:rPr>
                <w:sz w:val="20"/>
                <w:szCs w:val="20"/>
                <w:color w:val="auto"/>
              </w:rPr>
            </w:pPr>
            <w:r>
              <w:rPr>
                <w:rFonts w:ascii="Arial" w:cs="Arial" w:eastAsia="Arial" w:hAnsi="Arial"/>
                <w:sz w:val="11"/>
                <w:szCs w:val="11"/>
                <w:color w:val="auto"/>
              </w:rPr>
              <w:t>AFGC</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r>
        <w:trPr>
          <w:trHeight w:val="170"/>
        </w:trPr>
        <w:tc>
          <w:tcPr>
            <w:tcW w:w="4920" w:type="dxa"/>
            <w:vAlign w:val="bottom"/>
            <w:gridSpan w:val="3"/>
          </w:tcPr>
          <w:p>
            <w:pPr>
              <w:spacing w:after="0"/>
              <w:rPr>
                <w:sz w:val="20"/>
                <w:szCs w:val="20"/>
                <w:color w:val="auto"/>
              </w:rPr>
            </w:pPr>
            <w:r>
              <w:rPr>
                <w:rFonts w:ascii="Arial" w:cs="Arial" w:eastAsia="Arial" w:hAnsi="Arial"/>
                <w:sz w:val="11"/>
                <w:szCs w:val="11"/>
                <w:color w:val="auto"/>
              </w:rPr>
              <w:t>4.50% Subordinated Debentures due September 15, 2060</w:t>
            </w:r>
          </w:p>
        </w:tc>
        <w:tc>
          <w:tcPr>
            <w:tcW w:w="1540" w:type="dxa"/>
            <w:vAlign w:val="bottom"/>
            <w:gridSpan w:val="2"/>
          </w:tcPr>
          <w:p>
            <w:pPr>
              <w:spacing w:after="0"/>
              <w:rPr>
                <w:sz w:val="20"/>
                <w:szCs w:val="20"/>
                <w:color w:val="auto"/>
              </w:rPr>
            </w:pPr>
            <w:r>
              <w:rPr>
                <w:rFonts w:ascii="Arial" w:cs="Arial" w:eastAsia="Arial" w:hAnsi="Arial"/>
                <w:sz w:val="11"/>
                <w:szCs w:val="11"/>
                <w:color w:val="auto"/>
              </w:rPr>
              <w:t>AFGE</w:t>
            </w:r>
          </w:p>
        </w:tc>
        <w:tc>
          <w:tcPr>
            <w:tcW w:w="2320" w:type="dxa"/>
            <w:vAlign w:val="bottom"/>
          </w:tcPr>
          <w:p>
            <w:pPr>
              <w:spacing w:after="0"/>
              <w:rPr>
                <w:sz w:val="20"/>
                <w:szCs w:val="20"/>
                <w:color w:val="auto"/>
              </w:rPr>
            </w:pPr>
            <w:r>
              <w:rPr>
                <w:rFonts w:ascii="Arial" w:cs="Arial" w:eastAsia="Arial" w:hAnsi="Arial"/>
                <w:sz w:val="11"/>
                <w:szCs w:val="11"/>
                <w:color w:val="auto"/>
              </w:rPr>
              <w:t>New York Stock Exchange</w:t>
            </w:r>
          </w:p>
        </w:tc>
      </w:tr>
    </w:tbl>
    <w:p>
      <w:pPr>
        <w:spacing w:after="0" w:line="10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pacing w:after="0" w:line="34" w:lineRule="exact"/>
        <w:rPr>
          <w:sz w:val="24"/>
          <w:szCs w:val="24"/>
          <w:color w:val="auto"/>
        </w:rPr>
      </w:pPr>
    </w:p>
    <w:p>
      <w:pPr>
        <w:ind w:right="3820"/>
        <w:spacing w:after="0" w:line="21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p>
    <w:p>
      <w:pPr>
        <w:spacing w:after="0" w:line="28"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120"/>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00" w:top="772" w:right="379" w:bottom="1440" w:gutter="0" w:footer="0" w:header="0"/>
        </w:sectPr>
      </w:pPr>
    </w:p>
    <w:p>
      <w:pPr>
        <w:spacing w:after="0" w:line="1" w:lineRule="exact"/>
        <w:rPr>
          <w:sz w:val="24"/>
          <w:szCs w:val="24"/>
          <w:color w:val="auto"/>
        </w:rPr>
      </w:pPr>
    </w:p>
    <w:p>
      <w:pPr>
        <w:ind w:left="28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14" w:lineRule="exact"/>
        <w:rPr>
          <w:sz w:val="24"/>
          <w:szCs w:val="24"/>
          <w:color w:val="auto"/>
        </w:rPr>
      </w:pPr>
    </w:p>
    <w:p>
      <w:pPr>
        <w:ind w:left="35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ind w:firstLine="26"/>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ind w:firstLine="44"/>
        <w:spacing w:after="0" w:line="149"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Non-accelerated filer Emerging growth company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highlight w:val="black"/>
        </w:rPr>
        <w:t>☐</w:t>
      </w:r>
    </w:p>
    <w:p>
      <w:pPr>
        <w:spacing w:after="0" w:line="243" w:lineRule="exact"/>
        <w:rPr>
          <w:sz w:val="24"/>
          <w:szCs w:val="24"/>
          <w:color w:val="auto"/>
        </w:rPr>
      </w:pPr>
    </w:p>
    <w:p>
      <w:pPr>
        <w:sectPr>
          <w:pgSz w:w="11900" w:h="16838" w:orient="portrait"/>
          <w:cols w:equalWidth="0" w:num="4">
            <w:col w:w="5040" w:space="60"/>
            <w:col w:w="940" w:space="40"/>
            <w:col w:w="2180" w:space="60"/>
            <w:col w:w="2900"/>
          </w:cols>
          <w:pgMar w:left="300" w:top="772" w:right="379" w:bottom="1440" w:gutter="0" w:footer="0" w:header="0"/>
          <w:type w:val="continuous"/>
        </w:sectPr>
      </w:pPr>
    </w:p>
    <w:p>
      <w:pPr>
        <w:ind w:right="30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28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460"/>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highlight w:val="black"/>
        </w:rPr>
        <w:t>☐</w:t>
      </w:r>
    </w:p>
    <w:p>
      <w:pPr>
        <w:spacing w:after="0" w:line="17" w:lineRule="exact"/>
        <w:rPr>
          <w:sz w:val="24"/>
          <w:szCs w:val="24"/>
          <w:color w:val="auto"/>
        </w:rPr>
      </w:pPr>
    </w:p>
    <w:p>
      <w:pPr>
        <w:ind w:right="20"/>
        <w:spacing w:after="0" w:line="17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highlight w:val="black"/>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79" w:lineRule="exact"/>
        <w:rPr>
          <w:sz w:val="24"/>
          <w:szCs w:val="24"/>
          <w:color w:val="auto"/>
        </w:rPr>
      </w:pPr>
    </w:p>
    <w:p>
      <w:pPr>
        <w:ind w:right="140"/>
        <w:spacing w:after="0" w:line="283"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$8.99 billion.</w:t>
      </w:r>
    </w:p>
    <w:p>
      <w:pPr>
        <w:spacing w:after="0" w:line="8" w:lineRule="exact"/>
        <w:rPr>
          <w:sz w:val="24"/>
          <w:szCs w:val="24"/>
          <w:color w:val="auto"/>
        </w:rPr>
      </w:pPr>
    </w:p>
    <w:p>
      <w:pPr>
        <w:ind w:right="660"/>
        <w:spacing w:after="0" w:line="250"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83,298,833 shares (excluding 14.9 million shares owned by subsidiaries) as of February 1, 2026.</w:t>
      </w:r>
    </w:p>
    <w:p>
      <w:pPr>
        <w:ind w:left="4460"/>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Proxy Statement for 2026 Annual Meeting of Stockholders (portions of which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19685</wp:posOffset>
            </wp:positionV>
            <wp:extent cx="6979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9920" cy="6985"/>
                    </a:xfrm>
                    <a:prstGeom prst="rect">
                      <a:avLst/>
                    </a:prstGeom>
                    <a:noFill/>
                  </pic:spPr>
                </pic:pic>
              </a:graphicData>
            </a:graphic>
          </wp:anchor>
        </w:drawing>
      </w:r>
    </w:p>
    <w:p>
      <w:pPr>
        <w:sectPr>
          <w:pgSz w:w="11900" w:h="16838" w:orient="portrait"/>
          <w:cols w:equalWidth="0" w:num="1">
            <w:col w:w="11220"/>
          </w:cols>
          <w:pgMar w:left="300" w:top="77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20" w:type="dxa"/>
            <w:vAlign w:val="bottom"/>
          </w:tcPr>
          <w:p>
            <w:pPr>
              <w:ind w:left="2560"/>
              <w:spacing w:after="0"/>
              <w:rPr>
                <w:sz w:val="20"/>
                <w:szCs w:val="20"/>
                <w:color w:val="auto"/>
              </w:rPr>
            </w:pPr>
            <w:r>
              <w:rPr>
                <w:rFonts w:ascii="Arial" w:cs="Arial" w:eastAsia="Arial" w:hAnsi="Arial"/>
                <w:sz w:val="20"/>
                <w:szCs w:val="20"/>
                <w:b w:val="1"/>
                <w:bCs w:val="1"/>
                <w:color w:val="00274E"/>
              </w:rPr>
              <w:t>AMERICAN FINANCIAL GROUP, INC.</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20" w:type="dxa"/>
            <w:vAlign w:val="bottom"/>
          </w:tcPr>
          <w:p>
            <w:pPr>
              <w:ind w:left="2200"/>
              <w:spacing w:after="0"/>
              <w:rPr>
                <w:sz w:val="20"/>
                <w:szCs w:val="20"/>
                <w:color w:val="auto"/>
              </w:rPr>
            </w:pPr>
            <w:r>
              <w:rPr>
                <w:rFonts w:ascii="Arial" w:cs="Arial" w:eastAsia="Arial" w:hAnsi="Arial"/>
                <w:sz w:val="20"/>
                <w:szCs w:val="20"/>
                <w:b w:val="1"/>
                <w:bCs w:val="1"/>
                <w:color w:val="00274E"/>
              </w:rPr>
              <w:t>INDEX TO ANNUAL REPORT ON FORM 10-K</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274E"/>
              </w:rPr>
              <w:t>FORWARD-LOOKING STATEMENTS</w:t>
            </w:r>
          </w:p>
        </w:tc>
        <w:tc>
          <w:tcPr>
            <w:tcW w:w="1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80" w:type="dxa"/>
            <w:vAlign w:val="bottom"/>
            <w:gridSpan w:val="3"/>
            <w:vMerge w:val="continue"/>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1</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Business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1A</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Risk Factors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17</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1B</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Unresolved Staff Comments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26</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1C</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Cybersecurity</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26</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2</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Properties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3</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Legal Proceedings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4</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Mine Safety Disclosures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28</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5</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Market for Registrant’s Common Equity, Related Stockholder Matters and Issuer Purchases of Equity Securities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29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6</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Reserved</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30</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7</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Management’s Discussion and Analysis of Financial Condition and Results of Operations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31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7A</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Quantitative and Qualitative Disclosure About Market Risk</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78</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8</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Financial Statements and Supplementary Data</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Changes in and Disagreements with Accountants on Accounting and Financial Disclosure</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9A</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Controls and Procedures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9B</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Other Information</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9C</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450"/>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III</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10</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Directors, Executive Officers and Corporate Governance</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11</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Executive Compensation</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12</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Security Ownership of Certain Beneficial Owners and Management and Related Stockholder Matters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13</w:t>
            </w: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  Certain Relationships and Related Transactions, and Director Independence</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80"/>
        </w:trPr>
        <w:tc>
          <w:tcPr>
            <w:tcW w:w="900" w:type="dxa"/>
            <w:vAlign w:val="bottom"/>
          </w:tcPr>
          <w:p>
            <w:pPr>
              <w:ind w:left="120"/>
              <w:spacing w:after="0"/>
              <w:rPr>
                <w:sz w:val="20"/>
                <w:szCs w:val="20"/>
                <w:color w:val="auto"/>
              </w:rPr>
            </w:pPr>
            <w:r>
              <w:rPr>
                <w:rFonts w:ascii="Arial" w:cs="Arial" w:eastAsia="Arial" w:hAnsi="Arial"/>
                <w:sz w:val="13"/>
                <w:szCs w:val="13"/>
                <w:color w:val="auto"/>
              </w:rPr>
              <w:t>Item 14</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Principal Accounting Fees and Services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461"/>
        </w:trPr>
        <w:tc>
          <w:tcPr>
            <w:tcW w:w="900" w:type="dxa"/>
            <w:vAlign w:val="bottom"/>
          </w:tcPr>
          <w:p>
            <w:pPr>
              <w:ind w:left="20"/>
              <w:spacing w:after="0"/>
              <w:rPr>
                <w:sz w:val="20"/>
                <w:szCs w:val="20"/>
                <w:color w:val="auto"/>
              </w:rPr>
            </w:pPr>
            <w:r>
              <w:rPr>
                <w:rFonts w:ascii="Arial" w:cs="Arial" w:eastAsia="Arial" w:hAnsi="Arial"/>
                <w:sz w:val="20"/>
                <w:szCs w:val="20"/>
                <w:b w:val="1"/>
                <w:bCs w:val="1"/>
                <w:color w:val="00274E"/>
              </w:rPr>
              <w:t>Part IV</w:t>
            </w:r>
          </w:p>
        </w:tc>
        <w:tc>
          <w:tcPr>
            <w:tcW w:w="4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Pr>
          <w:p>
            <w:pPr>
              <w:ind w:left="120"/>
              <w:spacing w:after="0"/>
              <w:rPr>
                <w:sz w:val="20"/>
                <w:szCs w:val="20"/>
                <w:color w:val="auto"/>
              </w:rPr>
            </w:pPr>
            <w:r>
              <w:rPr>
                <w:rFonts w:ascii="Arial" w:cs="Arial" w:eastAsia="Arial" w:hAnsi="Arial"/>
                <w:sz w:val="13"/>
                <w:szCs w:val="13"/>
                <w:color w:val="auto"/>
              </w:rPr>
              <w:t>Item 15</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8120" w:type="dxa"/>
            <w:vAlign w:val="bottom"/>
          </w:tcPr>
          <w:p>
            <w:pPr>
              <w:ind w:left="40"/>
              <w:spacing w:after="0"/>
              <w:rPr>
                <w:sz w:val="20"/>
                <w:szCs w:val="20"/>
                <w:color w:val="auto"/>
              </w:rPr>
            </w:pPr>
            <w:r>
              <w:rPr>
                <w:rFonts w:ascii="Arial" w:cs="Arial" w:eastAsia="Arial" w:hAnsi="Arial"/>
                <w:sz w:val="13"/>
                <w:szCs w:val="13"/>
                <w:color w:val="auto"/>
              </w:rPr>
              <w:t>Exhibits, Financial Statement Schedules</w:t>
            </w:r>
          </w:p>
        </w:tc>
        <w:tc>
          <w:tcPr>
            <w:tcW w:w="146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0000FF"/>
              </w:rPr>
              <w:t>S-1</w:t>
            </w:r>
          </w:p>
        </w:tc>
        <w:tc>
          <w:tcPr>
            <w:tcW w:w="0" w:type="dxa"/>
            <w:vAlign w:val="bottom"/>
          </w:tcPr>
          <w:p>
            <w:pPr>
              <w:spacing w:after="0"/>
              <w:rPr>
                <w:sz w:val="1"/>
                <w:szCs w:val="1"/>
                <w:color w:val="auto"/>
              </w:rPr>
            </w:pPr>
          </w:p>
        </w:tc>
      </w:tr>
      <w:tr>
        <w:trPr>
          <w:trHeight w:val="1593"/>
        </w:trPr>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FORWARD-LOOKING STATEMENTS</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3"/>
          <w:szCs w:val="13"/>
          <w:i w:val="1"/>
          <w:iCs w:val="1"/>
          <w:color w:val="auto"/>
        </w:rPr>
        <w:t>The disclosures in this Form 10-K contain certain forward-looking statements that are subject to numerous assumptions, risks or uncertainties. 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3"/>
          <w:szCs w:val="13"/>
          <w:i w:val="1"/>
          <w:iCs w:val="1"/>
          <w:color w:val="auto"/>
        </w:rPr>
        <w:t>Actual results and/or financial condition could differ materially from those contained in or implied by such forward-looking statements for a variety of reasons including but not limited to the following and those discussed in Item 1A — Risk Factors and in its other reports filed with the Securities and Exchange Commission, including:</w:t>
      </w:r>
    </w:p>
    <w:p>
      <w:pPr>
        <w:ind w:left="360" w:right="480" w:hanging="260"/>
        <w:spacing w:after="0" w:line="255" w:lineRule="auto"/>
        <w:tabs>
          <w:tab w:leader="none" w:pos="354"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changes in financial, political and economic conditions, including changes in interest and inflation rates and impacts from tariffs or other trade actions, currency fluctuations and extended economic recessions or expansions in the U.S. and/or abroad;</w:t>
      </w: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performance of securities markets;</w:t>
      </w:r>
    </w:p>
    <w:p>
      <w:pPr>
        <w:spacing w:after="0" w:line="14"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new legislation or declines in credit quality or credit ratings that could have a material impact on the valuation of securities in AFG’s investment portfolio;</w:t>
      </w:r>
    </w:p>
    <w:p>
      <w:pPr>
        <w:spacing w:after="0" w:line="15"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availability of capital;</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insurance law or regulation, including changes in statutory accounting rules, including modifications to capital requirements;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the legal environment affecting AFG or its customers;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tax law and accounting changes;</w:t>
      </w:r>
    </w:p>
    <w:p>
      <w:pPr>
        <w:spacing w:after="0" w:line="14" w:lineRule="exact"/>
        <w:rPr>
          <w:rFonts w:ascii="Arial" w:cs="Arial" w:eastAsia="Arial" w:hAnsi="Arial"/>
          <w:sz w:val="13"/>
          <w:szCs w:val="13"/>
          <w:color w:val="auto"/>
        </w:rPr>
      </w:pPr>
    </w:p>
    <w:p>
      <w:pPr>
        <w:ind w:left="360" w:right="480" w:hanging="260"/>
        <w:spacing w:after="0" w:line="260" w:lineRule="auto"/>
        <w:tabs>
          <w:tab w:leader="none" w:pos="354"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levels of natural catastrophes and severe weather, terrorist activities (including any nuclear, biological, chemical or radiological events), incidents of war or losses resulting from pandemics, civil unrest and other major losses;</w:t>
      </w:r>
    </w:p>
    <w:p>
      <w:pPr>
        <w:ind w:left="360" w:right="180" w:hanging="260"/>
        <w:spacing w:after="0" w:line="255" w:lineRule="auto"/>
        <w:tabs>
          <w:tab w:leader="none" w:pos="354"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disruption caused by cyber-attacks or other technology breaches or failures by AFG or its business partners and service providers, which could negatively impact AFG’s business or reputation and/or expose AFG to litigation;</w:t>
      </w: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development of insurance loss reserves and establishment of other reserves, particularly with respect to amounts associated with asbestos and environmental claims;</w:t>
      </w:r>
    </w:p>
    <w:p>
      <w:pPr>
        <w:spacing w:after="0" w:line="14" w:lineRule="exact"/>
        <w:rPr>
          <w:rFonts w:ascii="Arial" w:cs="Arial" w:eastAsia="Arial" w:hAnsi="Arial"/>
          <w:sz w:val="13"/>
          <w:szCs w:val="13"/>
          <w:i w:val="1"/>
          <w:iCs w:val="1"/>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availability of reinsurance and ability of reinsurers to pay their obligations;</w:t>
      </w:r>
    </w:p>
    <w:p>
      <w:pPr>
        <w:spacing w:after="0" w:line="15"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competitive pressures;</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the ability to obtain adequate rates and policy terms;</w:t>
      </w:r>
    </w:p>
    <w:p>
      <w:pPr>
        <w:spacing w:after="0" w:line="9" w:lineRule="exact"/>
        <w:rPr>
          <w:rFonts w:ascii="Arial" w:cs="Arial" w:eastAsia="Arial" w:hAnsi="Arial"/>
          <w:sz w:val="13"/>
          <w:szCs w:val="13"/>
          <w:i w:val="1"/>
          <w:iCs w:val="1"/>
          <w:color w:val="auto"/>
        </w:rPr>
      </w:pPr>
    </w:p>
    <w:p>
      <w:pPr>
        <w:ind w:left="340" w:hanging="240"/>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changes in AFG’s credit ratings or the financial strength ratings assigned by major ratings agencies to AFG’s operating subsidiaries; and</w:t>
      </w:r>
    </w:p>
    <w:p>
      <w:pPr>
        <w:spacing w:after="0" w:line="9" w:lineRule="exact"/>
        <w:rPr>
          <w:rFonts w:ascii="Arial" w:cs="Arial" w:eastAsia="Arial" w:hAnsi="Arial"/>
          <w:sz w:val="13"/>
          <w:szCs w:val="13"/>
          <w:color w:val="auto"/>
        </w:rPr>
      </w:pPr>
    </w:p>
    <w:p>
      <w:pPr>
        <w:ind w:left="340" w:hanging="240"/>
        <w:spacing w:after="0"/>
        <w:tabs>
          <w:tab w:leader="none" w:pos="34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the impact of the conditions in the international financial markets and the global economy relating to AFG’s international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forward-looking statements herein are made only as of the date of this report. The Company assumes no obligation to publicly update any forward-looking statements.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w:t>
      </w:r>
    </w:p>
    <w:p>
      <w:pPr>
        <w:spacing w:after="0" w:line="32"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 Business</w:t>
      </w:r>
    </w:p>
    <w:p>
      <w:pPr>
        <w:spacing w:after="0" w:line="6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Introduction</w:t>
      </w:r>
    </w:p>
    <w:p>
      <w:pPr>
        <w:spacing w:after="0" w:line="32" w:lineRule="exact"/>
        <w:rPr>
          <w:sz w:val="20"/>
          <w:szCs w:val="20"/>
          <w:color w:val="auto"/>
        </w:rPr>
      </w:pPr>
    </w:p>
    <w:p>
      <w:pPr>
        <w:ind w:right="160"/>
        <w:spacing w:after="0" w:line="268" w:lineRule="auto"/>
        <w:rPr>
          <w:sz w:val="20"/>
          <w:szCs w:val="20"/>
          <w:color w:val="auto"/>
        </w:rPr>
      </w:pPr>
      <w:r>
        <w:rPr>
          <w:rFonts w:ascii="Arial" w:cs="Arial" w:eastAsia="Arial" w:hAnsi="Arial"/>
          <w:sz w:val="13"/>
          <w:szCs w:val="13"/>
          <w:color w:val="auto"/>
        </w:rPr>
        <w:t>American Financial Group, Inc. (“AFG” or the “Company”) is an insurance holding company. Through the operations of Great American Insurance Group, AFG is engaged in property and casualty insurance, focusing on specialized commercial products for businesses. AFG’s in-house team of investment professionals oversees the Company’s investment portfolio. The members of the Great American Insurance Group have been in business for over 150 years. Management believes that over 55% of the 2025 gross written premiums in AFG’s Specialty property and casualty group are produced by businesses that rank in the “top 10” amongst competitors based on gross written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111125</wp:posOffset>
            </wp:positionV>
            <wp:extent cx="4608195" cy="3355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 xml:space="preserve">AFG’s address is 301 East Fourth Street, Cincinnati, Ohio 45202; its phone number is (513) 579-2121. SEC filings, news releases, AFG’s Code of Ethics applicable to directors, officers and employees, AFG’s Corporate Social Responsibility Report and other information may be accessed free of charge through AFG’s website at: www.AFGinc.com. (Information on or accessible through AFG’s website is not part of this Form 10-K.) See </w:t>
      </w:r>
      <w:r>
        <w:rPr>
          <w:rFonts w:ascii="Arial" w:cs="Arial" w:eastAsia="Arial" w:hAnsi="Arial"/>
          <w:sz w:val="13"/>
          <w:szCs w:val="13"/>
          <w:i w:val="1"/>
          <w:iCs w:val="1"/>
          <w:color w:val="auto"/>
        </w:rPr>
        <w:t>Note C — “Segments of Operations”</w:t>
      </w:r>
      <w:r>
        <w:rPr>
          <w:rFonts w:ascii="Arial" w:cs="Arial" w:eastAsia="Arial" w:hAnsi="Arial"/>
          <w:sz w:val="13"/>
          <w:szCs w:val="13"/>
          <w:color w:val="auto"/>
        </w:rPr>
        <w:t xml:space="preserve"> to the financial statements for information on AFG’s assets, revenues and earnings before income taxes by segment.</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2" w:right="4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00274E"/>
        </w:rPr>
        <w:t>Top Tier Specialty Property and Casualty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23495</wp:posOffset>
            </wp:positionV>
            <wp:extent cx="3907790" cy="2250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07790"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AFG allows each of its businesses the autonomy to make decisions related to underwriting, claims and policy servicing. This entrepreneurial business model promotes agility, innovative product design, unique applications of pricing segmentation, as well as developing distribution strategies and building relationships in the markets served. Management believes that AFG’s ability to grow book value per share at a double-digit annual rate over time is evidence that the Company’s culture, business model and employee incentive plans create a structure to build long-term value for AFG’s shareholders.</w:t>
      </w:r>
    </w:p>
    <w:p>
      <w:pPr>
        <w:spacing w:after="0" w:line="153"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As highlighted in the illustration below, over the past 25 plus years, AFG has sharpened its focus on the businesses that management knows best. This has been accomplished through organic growth, carefully selected acquisitions, start-ups and dispositions.</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2" w:right="47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right"/>
        <w:ind w:right="1219"/>
        <w:spacing w:after="0"/>
        <w:rPr>
          <w:sz w:val="20"/>
          <w:szCs w:val="20"/>
          <w:color w:val="auto"/>
        </w:rPr>
      </w:pPr>
      <w:r>
        <w:rPr>
          <w:rFonts w:ascii="Arial" w:cs="Arial" w:eastAsia="Arial" w:hAnsi="Arial"/>
          <w:sz w:val="23"/>
          <w:szCs w:val="23"/>
          <w:b w:val="1"/>
          <w:bCs w:val="1"/>
          <w:color w:val="00274E"/>
        </w:rPr>
        <w:t>Timeline of Selected Start-ups,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23495</wp:posOffset>
            </wp:positionV>
            <wp:extent cx="3900805" cy="611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00805" cy="611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Property and Casualty Insurance Segment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General</w:t>
      </w:r>
    </w:p>
    <w:p>
      <w:pPr>
        <w:spacing w:after="0" w:line="17"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AFG’s property and casualty insurance operations provide a wide range of commercial coverages through 36 insurance businesses (at December 31, 2025) that make up the Great American Insurance Group. AFG’s property and casualty insurance operations ultimately report to a single senior executive and operate under a business model that allows local decision-making for underwriting, claims and policy servicing in each of the niche operations. Each business is managed by experienced professionals in particular lines or customer groups and operates autonomously but with certain central controls and accountability. The decentralized approach allows each unit the autonomy necessary to respond to local and specialty market conditions while capitalizing on the efficiencies of centralized investment and administrative support functions. AFG’s property and casualty insurance operations are conducted through the subsidiaries listed in the following table, which includes independent financial strength ratings and 2025 gross written premiums (in millions) for each subsidiary. These ratings are generally based on concerns for policyholders and agents and are not directed toward the protection of investors. AFG believes that maintaining a rating in the “A” category by A.M. Best is important to compete successfully in most lines of business.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96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gridSpan w:val="2"/>
          </w:tcPr>
          <w:p>
            <w:pPr>
              <w:ind w:left="120"/>
              <w:spacing w:after="0"/>
              <w:rPr>
                <w:sz w:val="20"/>
                <w:szCs w:val="20"/>
                <w:color w:val="auto"/>
              </w:rPr>
            </w:pPr>
            <w:r>
              <w:rPr>
                <w:rFonts w:ascii="Arial" w:cs="Arial" w:eastAsia="Arial" w:hAnsi="Arial"/>
                <w:sz w:val="11"/>
                <w:szCs w:val="11"/>
                <w:color w:val="auto"/>
              </w:rPr>
              <w:t>Ratings</w:t>
            </w:r>
          </w:p>
        </w:tc>
        <w:tc>
          <w:tcPr>
            <w:tcW w:w="200" w:type="dxa"/>
            <w:vAlign w:val="bottom"/>
          </w:tcPr>
          <w:p>
            <w:pPr>
              <w:spacing w:after="0"/>
              <w:rPr>
                <w:sz w:val="11"/>
                <w:szCs w:val="11"/>
                <w:color w:val="auto"/>
              </w:rPr>
            </w:pPr>
          </w:p>
        </w:tc>
        <w:tc>
          <w:tcPr>
            <w:tcW w:w="960" w:type="dxa"/>
            <w:vAlign w:val="bottom"/>
          </w:tcPr>
          <w:p>
            <w:pPr>
              <w:jc w:val="center"/>
              <w:ind w:right="138"/>
              <w:spacing w:after="0"/>
              <w:rPr>
                <w:sz w:val="20"/>
                <w:szCs w:val="20"/>
                <w:color w:val="auto"/>
              </w:rPr>
            </w:pPr>
            <w:r>
              <w:rPr>
                <w:rFonts w:ascii="Arial" w:cs="Arial" w:eastAsia="Arial" w:hAnsi="Arial"/>
                <w:sz w:val="11"/>
                <w:szCs w:val="11"/>
                <w:color w:val="auto"/>
              </w:rPr>
              <w:t>Gross</w:t>
            </w:r>
          </w:p>
        </w:tc>
        <w:tc>
          <w:tcPr>
            <w:tcW w:w="0" w:type="dxa"/>
            <w:vAlign w:val="bottom"/>
          </w:tcPr>
          <w:p>
            <w:pPr>
              <w:spacing w:after="0"/>
              <w:rPr>
                <w:sz w:val="1"/>
                <w:szCs w:val="1"/>
                <w:color w:val="auto"/>
              </w:rPr>
            </w:pPr>
          </w:p>
        </w:tc>
      </w:tr>
      <w:tr>
        <w:trPr>
          <w:trHeight w:val="42"/>
        </w:trPr>
        <w:tc>
          <w:tcPr>
            <w:tcW w:w="960" w:type="dxa"/>
            <w:vAlign w:val="bottom"/>
          </w:tcPr>
          <w:p>
            <w:pPr>
              <w:spacing w:after="0"/>
              <w:rPr>
                <w:sz w:val="3"/>
                <w:szCs w:val="3"/>
                <w:color w:val="auto"/>
              </w:rPr>
            </w:pPr>
          </w:p>
        </w:tc>
        <w:tc>
          <w:tcPr>
            <w:tcW w:w="6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restart"/>
          </w:tcPr>
          <w:p>
            <w:pPr>
              <w:jc w:val="center"/>
              <w:ind w:right="138"/>
              <w:spacing w:after="0" w:line="96" w:lineRule="exact"/>
              <w:rPr>
                <w:sz w:val="20"/>
                <w:szCs w:val="20"/>
                <w:color w:val="auto"/>
              </w:rPr>
            </w:pPr>
            <w:r>
              <w:rPr>
                <w:rFonts w:ascii="Arial" w:cs="Arial" w:eastAsia="Arial" w:hAnsi="Arial"/>
                <w:sz w:val="11"/>
                <w:szCs w:val="11"/>
                <w:color w:val="auto"/>
              </w:rPr>
              <w:t>Written</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900" w:type="dxa"/>
            <w:vAlign w:val="bottom"/>
            <w:vMerge w:val="restart"/>
          </w:tcPr>
          <w:p>
            <w:pPr>
              <w:ind w:left="360"/>
              <w:spacing w:after="0"/>
              <w:rPr>
                <w:sz w:val="20"/>
                <w:szCs w:val="20"/>
                <w:color w:val="auto"/>
              </w:rPr>
            </w:pPr>
            <w:r>
              <w:rPr>
                <w:rFonts w:ascii="Arial" w:cs="Arial" w:eastAsia="Arial" w:hAnsi="Arial"/>
                <w:sz w:val="11"/>
                <w:szCs w:val="11"/>
                <w:color w:val="auto"/>
              </w:rPr>
              <w:t>AM Best</w:t>
            </w:r>
          </w:p>
        </w:tc>
        <w:tc>
          <w:tcPr>
            <w:tcW w:w="1600" w:type="dxa"/>
            <w:vAlign w:val="bottom"/>
            <w:gridSpan w:val="2"/>
            <w:vMerge w:val="restart"/>
          </w:tcPr>
          <w:p>
            <w:pPr>
              <w:jc w:val="right"/>
              <w:ind w:right="560"/>
              <w:spacing w:after="0"/>
              <w:rPr>
                <w:sz w:val="20"/>
                <w:szCs w:val="20"/>
                <w:color w:val="auto"/>
              </w:rPr>
            </w:pPr>
            <w:r>
              <w:rPr>
                <w:rFonts w:ascii="Arial" w:cs="Arial" w:eastAsia="Arial" w:hAnsi="Arial"/>
                <w:sz w:val="11"/>
                <w:szCs w:val="11"/>
                <w:color w:val="auto"/>
              </w:rPr>
              <w:t>S&amp;P</w:t>
            </w: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8"/>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18"/>
        </w:trPr>
        <w:tc>
          <w:tcPr>
            <w:tcW w:w="7620" w:type="dxa"/>
            <w:vAlign w:val="bottom"/>
            <w:tcBorders>
              <w:top w:val="single" w:sz="8" w:color="CCEEFF"/>
              <w:left w:val="single" w:sz="8" w:color="CCEEFF"/>
            </w:tcBorders>
            <w:gridSpan w:val="2"/>
            <w:shd w:val="clear" w:color="auto" w:fill="CCEEFF"/>
          </w:tcPr>
          <w:p>
            <w:pPr>
              <w:ind w:left="20"/>
              <w:spacing w:after="0" w:line="118" w:lineRule="exact"/>
              <w:rPr>
                <w:sz w:val="20"/>
                <w:szCs w:val="20"/>
                <w:color w:val="auto"/>
              </w:rPr>
            </w:pPr>
            <w:r>
              <w:rPr>
                <w:rFonts w:ascii="Arial" w:cs="Arial" w:eastAsia="Arial" w:hAnsi="Arial"/>
                <w:sz w:val="13"/>
                <w:szCs w:val="13"/>
                <w:color w:val="auto"/>
              </w:rPr>
              <w:t>Insurance Group</w:t>
            </w:r>
          </w:p>
        </w:tc>
        <w:tc>
          <w:tcPr>
            <w:tcW w:w="900" w:type="dxa"/>
            <w:vAlign w:val="bottom"/>
            <w:tcBorders>
              <w:top w:val="single" w:sz="8" w:color="auto"/>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960" w:type="dxa"/>
            <w:vAlign w:val="bottom"/>
            <w:tcBorders>
              <w:left w:val="single" w:sz="8" w:color="CCEEFF"/>
            </w:tcBorders>
            <w:shd w:val="clear" w:color="auto" w:fill="000000"/>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Great American Insurance</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160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8,211</w:t>
            </w:r>
          </w:p>
        </w:tc>
        <w:tc>
          <w:tcPr>
            <w:tcW w:w="0" w:type="dxa"/>
            <w:vAlign w:val="bottom"/>
          </w:tcPr>
          <w:p>
            <w:pPr>
              <w:spacing w:after="0"/>
              <w:rPr>
                <w:sz w:val="1"/>
                <w:szCs w:val="1"/>
                <w:color w:val="auto"/>
              </w:rPr>
            </w:pPr>
          </w:p>
        </w:tc>
      </w:tr>
      <w:tr>
        <w:trPr>
          <w:trHeight w:val="171"/>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National Interstate</w:t>
            </w:r>
          </w:p>
        </w:tc>
        <w:tc>
          <w:tcPr>
            <w:tcW w:w="9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not rated</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Summit (Bridgefield Casualty and Bridgefield Employers)</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160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71"/>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Republic Indemnity</w:t>
            </w:r>
          </w:p>
        </w:tc>
        <w:tc>
          <w:tcPr>
            <w:tcW w:w="9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Mid-Continent Casualty</w:t>
            </w:r>
          </w:p>
        </w:tc>
        <w:tc>
          <w:tcPr>
            <w:tcW w:w="900" w:type="dxa"/>
            <w:vAlign w:val="bottom"/>
          </w:tcPr>
          <w:p>
            <w:pPr>
              <w:ind w:left="520"/>
              <w:spacing w:after="0"/>
              <w:rPr>
                <w:sz w:val="20"/>
                <w:szCs w:val="20"/>
                <w:color w:val="auto"/>
              </w:rPr>
            </w:pPr>
            <w:r>
              <w:rPr>
                <w:rFonts w:ascii="Arial" w:cs="Arial" w:eastAsia="Arial" w:hAnsi="Arial"/>
                <w:sz w:val="13"/>
                <w:szCs w:val="13"/>
                <w:color w:val="auto"/>
              </w:rPr>
              <w:t>A+</w:t>
            </w:r>
          </w:p>
        </w:tc>
        <w:tc>
          <w:tcPr>
            <w:tcW w:w="1600" w:type="dxa"/>
            <w:vAlign w:val="bottom"/>
            <w:gridSpan w:val="2"/>
          </w:tcPr>
          <w:p>
            <w:pPr>
              <w:jc w:val="right"/>
              <w:ind w:right="560"/>
              <w:spacing w:after="0"/>
              <w:rPr>
                <w:sz w:val="20"/>
                <w:szCs w:val="20"/>
                <w:color w:val="auto"/>
              </w:rPr>
            </w:pPr>
            <w:r>
              <w:rPr>
                <w:rFonts w:ascii="Arial" w:cs="Arial" w:eastAsia="Arial" w:hAnsi="Arial"/>
                <w:sz w:val="13"/>
                <w:szCs w:val="13"/>
                <w:color w:val="auto"/>
              </w:rPr>
              <w:t>A+</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70"/>
        </w:trPr>
        <w:tc>
          <w:tcPr>
            <w:tcW w:w="7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10,694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The primary objectives of AFG’s property and casualty insurance operations are to achieve solid underwriting profitability and provide excellent service to its policyholders and agents. Underwriting profitability is measured by the combined ratio, which is a sum of the ratios of losses, loss adjustment expenses (“LAE”), underwriting expenses and policyholder dividends to premiums. A combined ratio under 100% indicates an underwriting profit. The combined ratio does not reflect investment income, other income, other expenses or federal income taxes.</w:t>
      </w:r>
    </w:p>
    <w:p>
      <w:pPr>
        <w:spacing w:after="0" w:line="153"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While many costs included in underwriting are readily determined (commissions, administrative expenses and many of the losses on claims reported), the process of determining overall underwriting results is highly dependent upon the use of estimates in the case of losses incurred or expected but not yet reported or developed. Management uses actuarial procedures and projections to determine “point estimates” of ultimate losses. While the process is imprecise and develops amounts which are subject to change over time, management believes that the liabilities for unpaid losses and loss adjustment expenses are adequate.</w:t>
      </w:r>
    </w:p>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Financial information is reported in accordance with U.S. generally accepted accounting principles (“GAAP”) for shareholder and other investor-related purposes and reported on a statutory basis for U.S. insurance regulatory purposes. Unless indicated otherwise, the financial information presented in this Form 10-K for AFG’s property and casualty insurance operations is presented based on GAAP. Statutory information is only prepared for AFG’s U.S.-based subsidiaries, which represented approximately 98% of AFG’s direct written premiums in 2025, and is provided for industry comparisons or where comparable GAAP information is not readily available.</w:t>
      </w:r>
    </w:p>
    <w:p>
      <w:pPr>
        <w:spacing w:after="0" w:line="153"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Major differences for statutory accounting include charging policy acquisition costs to expense as incurred rather than spreading the costs over the periods covered by the policies; reporting investment grade bonds and redeemable preferred stocks at amortized cost rather than fair value; netting of reinsurance recoverables and prepaid reinsurance premiums against the corresponding liabilities rather than reporting such items separately; and charging to surplus certain GAAP assets, such as furniture and fixtures and agents’ balances over 90 days old.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AFG’s statutory combined ratio averaged 90.5% for the period 2016 to 2025 as compared to 98.1% for the property and casualty commercial lines industry over the same period. AFG believes that its specialty niche focus, product line diversification and underwriting discipline have contributed to the Company’s ability to consistently outperform the industry’s underwriting results. Management’s philosophy is to refrain from writing business that is not expected to produce an underwriting profit even if it is necessary to limit premium growth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33655</wp:posOffset>
            </wp:positionV>
            <wp:extent cx="4594860" cy="2465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9486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source of the commercial lines industry ratios is ©2026 A.M. Best Company’s Review &amp; Preview Reports.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Results</w:t>
      </w:r>
    </w:p>
    <w:p>
      <w:pPr>
        <w:spacing w:after="0" w:line="21" w:lineRule="exact"/>
        <w:rPr>
          <w:sz w:val="20"/>
          <w:szCs w:val="20"/>
          <w:color w:val="auto"/>
        </w:rPr>
      </w:pPr>
    </w:p>
    <w:p>
      <w:pPr>
        <w:jc w:val="both"/>
        <w:ind w:right="200"/>
        <w:spacing w:after="0" w:line="266" w:lineRule="auto"/>
        <w:rPr>
          <w:sz w:val="20"/>
          <w:szCs w:val="20"/>
          <w:color w:val="auto"/>
        </w:rPr>
      </w:pPr>
      <w:r>
        <w:rPr>
          <w:rFonts w:ascii="Arial" w:cs="Arial" w:eastAsia="Arial" w:hAnsi="Arial"/>
          <w:sz w:val="13"/>
          <w:szCs w:val="13"/>
          <w:color w:val="auto"/>
        </w:rPr>
        <w:t xml:space="preserve">Performance measures such as underwriting profit or loss and related combined ratios are often used by property and casualty insurers to help users of their financial statements better understand the company’s performance. See </w:t>
      </w:r>
      <w:r>
        <w:rPr>
          <w:rFonts w:ascii="Arial" w:cs="Arial" w:eastAsia="Arial" w:hAnsi="Arial"/>
          <w:sz w:val="13"/>
          <w:szCs w:val="13"/>
          <w:i w:val="1"/>
          <w:iCs w:val="1"/>
          <w:color w:val="auto"/>
        </w:rPr>
        <w:t>Note C — “Segments of Operations”</w:t>
      </w:r>
      <w:r>
        <w:rPr>
          <w:rFonts w:ascii="Arial" w:cs="Arial" w:eastAsia="Arial" w:hAnsi="Arial"/>
          <w:sz w:val="13"/>
          <w:szCs w:val="13"/>
          <w:color w:val="auto"/>
        </w:rPr>
        <w:t xml:space="preserve"> to the financial statements for the reconciliation of AFG’s earnings before income taxes by significant business segment to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1" w:right="4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performance of AFG’s property and casualty insurance operations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2023</w:t>
            </w:r>
          </w:p>
        </w:tc>
      </w:tr>
      <w:tr>
        <w:trPr>
          <w:trHeight w:val="164"/>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9,656</w:t>
            </w:r>
          </w:p>
        </w:tc>
      </w:tr>
      <w:tr>
        <w:trPr>
          <w:trHeight w:val="16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Ceded reinsurance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(3,584)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(3,394)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(2,964)</w:t>
            </w:r>
          </w:p>
        </w:tc>
      </w:tr>
      <w:tr>
        <w:trPr>
          <w:trHeight w:val="18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7,110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7,139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6,692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7,036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6,531</w:t>
            </w: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Loss and LAE</w:t>
            </w: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4,388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4,455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4,017</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Underwriting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2,029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1,883</w:t>
            </w:r>
          </w:p>
        </w:tc>
      </w:tr>
      <w:tr>
        <w:trPr>
          <w:trHeight w:val="162"/>
        </w:trPr>
        <w:tc>
          <w:tcPr>
            <w:tcW w:w="7260" w:type="dxa"/>
            <w:vAlign w:val="bottom"/>
          </w:tcPr>
          <w:p>
            <w:pPr>
              <w:ind w:left="20"/>
              <w:spacing w:after="0"/>
              <w:rPr>
                <w:sz w:val="20"/>
                <w:szCs w:val="20"/>
                <w:color w:val="auto"/>
              </w:rPr>
            </w:pPr>
            <w:r>
              <w:rPr>
                <w:rFonts w:ascii="Arial" w:cs="Arial" w:eastAsia="Arial" w:hAnsi="Arial"/>
                <w:sz w:val="13"/>
                <w:szCs w:val="13"/>
                <w:color w:val="auto"/>
              </w:rPr>
              <w:t>Underwriting gain</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631</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7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GAAP ratios: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and LAE ratio</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2"/>
              </w:rPr>
              <w:t>62.2%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7"/>
              </w:rPr>
              <w:t>63.3%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r>
      <w:tr>
        <w:trPr>
          <w:trHeight w:val="169"/>
        </w:trPr>
        <w:tc>
          <w:tcPr>
            <w:tcW w:w="7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Underwriting expense ratio</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w w:val="92"/>
              </w:rPr>
              <w:t>28.8%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w w:val="97"/>
              </w:rPr>
              <w:t>27.9%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r>
      <w:tr>
        <w:trPr>
          <w:trHeight w:val="187"/>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Combined ratio</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w w:val="92"/>
              </w:rPr>
              <w:t>91.0%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w w:val="97"/>
              </w:rPr>
              <w:t>91.2%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Statutory ratios: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726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30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Arial" w:cs="Arial" w:eastAsia="Arial" w:hAnsi="Arial"/>
                <w:sz w:val="13"/>
                <w:szCs w:val="13"/>
                <w:color w:val="auto"/>
                <w:w w:val="92"/>
              </w:rPr>
              <w:t>61.0%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600"/>
              <w:spacing w:after="0"/>
              <w:rPr>
                <w:sz w:val="20"/>
                <w:szCs w:val="20"/>
                <w:color w:val="auto"/>
              </w:rPr>
            </w:pPr>
            <w:r>
              <w:rPr>
                <w:rFonts w:ascii="Arial" w:cs="Arial" w:eastAsia="Arial" w:hAnsi="Arial"/>
                <w:sz w:val="13"/>
                <w:szCs w:val="13"/>
                <w:color w:val="auto"/>
                <w:w w:val="97"/>
              </w:rPr>
              <w:t>61.3%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w:t>
            </w:r>
          </w:p>
        </w:tc>
      </w:tr>
      <w:tr>
        <w:trPr>
          <w:trHeight w:val="170"/>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w w:val="92"/>
              </w:rPr>
              <w:t>30.3%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w w:val="97"/>
              </w:rPr>
              <w:t>29.6%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r>
      <w:tr>
        <w:trPr>
          <w:trHeight w:val="162"/>
        </w:trPr>
        <w:tc>
          <w:tcPr>
            <w:tcW w:w="7260" w:type="dxa"/>
            <w:vAlign w:val="bottom"/>
          </w:tcPr>
          <w:p>
            <w:pPr>
              <w:ind w:left="280"/>
              <w:spacing w:after="0"/>
              <w:rPr>
                <w:sz w:val="20"/>
                <w:szCs w:val="20"/>
                <w:color w:val="auto"/>
              </w:rPr>
            </w:pPr>
            <w:r>
              <w:rPr>
                <w:rFonts w:ascii="Arial" w:cs="Arial" w:eastAsia="Arial" w:hAnsi="Arial"/>
                <w:sz w:val="13"/>
                <w:szCs w:val="13"/>
                <w:color w:val="auto"/>
              </w:rPr>
              <w:t>Combined ratio</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w w:val="92"/>
              </w:rPr>
              <w:t>91.3%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w w:val="97"/>
              </w:rPr>
              <w:t>90.9%</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7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Industry statutory combined ratio (*)</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 lines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2"/>
              </w:rPr>
              <w:t>95.0%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7"/>
              </w:rPr>
              <w:t>97.1%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r>
      <w:tr>
        <w:trPr>
          <w:trHeight w:val="167"/>
        </w:trPr>
        <w:tc>
          <w:tcPr>
            <w:tcW w:w="7260" w:type="dxa"/>
            <w:vAlign w:val="bottom"/>
          </w:tcPr>
          <w:p>
            <w:pPr>
              <w:ind w:left="280"/>
              <w:spacing w:after="0"/>
              <w:rPr>
                <w:sz w:val="20"/>
                <w:szCs w:val="20"/>
                <w:color w:val="auto"/>
              </w:rPr>
            </w:pPr>
            <w:r>
              <w:rPr>
                <w:rFonts w:ascii="Arial" w:cs="Arial" w:eastAsia="Arial" w:hAnsi="Arial"/>
                <w:sz w:val="13"/>
                <w:szCs w:val="13"/>
                <w:color w:val="auto"/>
              </w:rPr>
              <w:t>Commercial lines</w:t>
            </w:r>
          </w:p>
        </w:tc>
        <w:tc>
          <w:tcPr>
            <w:tcW w:w="30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Arial" w:cs="Arial" w:eastAsia="Arial" w:hAnsi="Arial"/>
                <w:sz w:val="13"/>
                <w:szCs w:val="13"/>
                <w:color w:val="auto"/>
                <w:w w:val="92"/>
              </w:rPr>
              <w:t>95.8%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600"/>
              <w:spacing w:after="0"/>
              <w:rPr>
                <w:sz w:val="20"/>
                <w:szCs w:val="20"/>
                <w:color w:val="auto"/>
              </w:rPr>
            </w:pPr>
            <w:r>
              <w:rPr>
                <w:rFonts w:ascii="Arial" w:cs="Arial" w:eastAsia="Arial" w:hAnsi="Arial"/>
                <w:sz w:val="13"/>
                <w:szCs w:val="13"/>
                <w:color w:val="auto"/>
                <w:w w:val="97"/>
              </w:rPr>
              <w:t>96.5%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96.5%</w:t>
            </w:r>
          </w:p>
        </w:tc>
      </w:tr>
    </w:tbl>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w:t>
        <w:tab/>
        <w:t>The source of the industry ratios is ©2026 A.M. Best Company’s Review &amp; Preview Reports.</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As with other property and casualty insurers, AFG’s operating results can be adversely affected by unpredictable catastrophe losses. Certain natural disasters (hurricanes, severe storms, earthquakes, tornadoes, floods, etc.) and other incidents of major loss (explosions, civil disorder, terrorist events, fires, etc.) are classified as catastrophes by industry associations. Losses from these incidents are usually tracked separately from other business of insurers because of their sizable effects on overall operations. Total losses (net of reinsurance) to AFG’s insurance operations from current accident year catastrophes were $137 million in 2025, $180 million in 2024 and $162 million in 2023 and are included in the table above.</w:t>
      </w:r>
    </w:p>
    <w:p>
      <w:pPr>
        <w:spacing w:after="0" w:line="153"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AFG generally seeks to reduce its exposure to catastrophes through individual risk selection, including minimizing coastal and known fault-line exposures, and through the purchase of reinsurance. In addition to traditional reinsurance, AFG has purchased coverage through a fully collateralized catastrophe bond. AFG’s net exposure to a catastrophic earthquake or windstorm that industry models indicate should statistically occur once in every 500 years (a “500-year event”) is less than 3% of AFG’s Shareholders’ Equity.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Insurance Products</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AFG is focused on growth opportunities in what it believes to be more profitable specialty businesses where AFG personnel are experts in particular lines of business or customer groups. AFG believes it is an innovator in risk sharing and alternative risk transfer programs for policyholders and agents. For example, AFG provides: risk sharing alternatives in the passenger transportation, moving and storage and trucking industries, agency and group risk sharing programs, unique coverage options for workers’ compensation accounts that include higher retentions and specialty loss prevention and innovative commission structures for distribution partners who produce profitable business. These programs and offerings help align the interests of customers and distribution partners with AFG’s interests.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AFG’s specialty businesses grouped by sub-segment:</w:t>
      </w:r>
    </w:p>
    <w:p>
      <w:pPr>
        <w:sectPr>
          <w:pgSz w:w="11900" w:h="16838" w:orient="portrait"/>
          <w:cols w:equalWidth="0" w:num="1">
            <w:col w:w="11280"/>
          </w:cols>
          <w:pgMar w:left="300" w:top="121" w:right="31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00274E"/>
        </w:rPr>
        <w:t>Property and Transportation</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Agricultural-related</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Transportation-related</w:t>
      </w:r>
    </w:p>
    <w:p>
      <w:pPr>
        <w:spacing w:after="0" w:line="3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Property, Inland Marine and Ocean Marine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340"/>
        <w:spacing w:after="0" w:line="236" w:lineRule="auto"/>
        <w:rPr>
          <w:sz w:val="20"/>
          <w:szCs w:val="20"/>
          <w:color w:val="auto"/>
        </w:rPr>
      </w:pPr>
      <w:r>
        <w:rPr>
          <w:rFonts w:ascii="Arial" w:cs="Arial" w:eastAsia="Arial" w:hAnsi="Arial"/>
          <w:sz w:val="13"/>
          <w:szCs w:val="13"/>
          <w:color w:val="auto"/>
        </w:rPr>
        <w:t>Federally reinsured multi-peril crop (allied lines) insurance covering most perils as well as crop-hail, equine mortality and other coverages for full-time operating farms/ranches and agribusiness operations on a nationwide basis.</w:t>
      </w:r>
    </w:p>
    <w:p>
      <w:pPr>
        <w:spacing w:after="0" w:line="120" w:lineRule="exact"/>
        <w:rPr>
          <w:sz w:val="20"/>
          <w:szCs w:val="20"/>
          <w:color w:val="auto"/>
        </w:rPr>
      </w:pPr>
    </w:p>
    <w:p>
      <w:pPr>
        <w:ind w:right="280"/>
        <w:spacing w:after="0" w:line="225" w:lineRule="auto"/>
        <w:rPr>
          <w:sz w:val="20"/>
          <w:szCs w:val="20"/>
          <w:color w:val="auto"/>
        </w:rPr>
      </w:pPr>
      <w:r>
        <w:rPr>
          <w:rFonts w:ascii="Arial" w:cs="Arial" w:eastAsia="Arial" w:hAnsi="Arial"/>
          <w:sz w:val="13"/>
          <w:szCs w:val="13"/>
          <w:color w:val="auto"/>
        </w:rPr>
        <w:t>Coverage for vehicles (such as buses and trucks) in a broad range of businesses, including the moving and storage and transportation industries, alternative risk transfer programs, a specialized physical damage product for the trucking industry and other specialty transportation niches.</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Coverage primarily for commercial properties, builders’ risk, contractors’ equipment, property, motor truck cargo, marine cargo, boat dealers, marina operators and dealers and excursion vessels.</w:t>
      </w:r>
    </w:p>
    <w:p>
      <w:pPr>
        <w:spacing w:after="0" w:line="177"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i w:val="1"/>
          <w:iCs w:val="1"/>
          <w:color w:val="00274E"/>
        </w:rPr>
        <w:t>Specialty Casualty</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Excess and Surplus</w:t>
      </w:r>
    </w:p>
    <w:p>
      <w:pPr>
        <w:spacing w:after="0" w:line="253" w:lineRule="exact"/>
        <w:rPr>
          <w:sz w:val="20"/>
          <w:szCs w:val="20"/>
          <w:color w:val="auto"/>
        </w:rPr>
      </w:pPr>
    </w:p>
    <w:p>
      <w:pPr>
        <w:ind w:left="280" w:right="440"/>
        <w:spacing w:after="0" w:line="539" w:lineRule="auto"/>
        <w:rPr>
          <w:sz w:val="20"/>
          <w:szCs w:val="20"/>
          <w:color w:val="auto"/>
        </w:rPr>
      </w:pPr>
      <w:r>
        <w:rPr>
          <w:rFonts w:ascii="Arial" w:cs="Arial" w:eastAsia="Arial" w:hAnsi="Arial"/>
          <w:sz w:val="14"/>
          <w:szCs w:val="14"/>
          <w:b w:val="1"/>
          <w:bCs w:val="1"/>
          <w:color w:val="00274E"/>
        </w:rPr>
        <w:t>Executive and Professional Liability General Liability</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Targeted Markets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Umbrella and Excess Liability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Workers’ Compensation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3"/>
          <w:szCs w:val="13"/>
          <w:color w:val="auto"/>
        </w:rPr>
        <w:t>Liability, umbrella and excess coverage for unique, volatile or hard-to-place risks, using rates and forms that generally do not have to be approved by state insurance regulators.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Coverage for directors and officers of businesses and non-profit organizations and for errors and omissions.</w:t>
      </w:r>
    </w:p>
    <w:p>
      <w:pPr>
        <w:spacing w:after="0" w:line="179" w:lineRule="exact"/>
        <w:rPr>
          <w:sz w:val="20"/>
          <w:szCs w:val="20"/>
          <w:color w:val="auto"/>
        </w:rPr>
      </w:pPr>
    </w:p>
    <w:p>
      <w:pPr>
        <w:ind w:right="440"/>
        <w:spacing w:after="0" w:line="236" w:lineRule="auto"/>
        <w:rPr>
          <w:sz w:val="20"/>
          <w:szCs w:val="20"/>
          <w:color w:val="auto"/>
        </w:rPr>
      </w:pPr>
      <w:r>
        <w:rPr>
          <w:rFonts w:ascii="Arial" w:cs="Arial" w:eastAsia="Arial" w:hAnsi="Arial"/>
          <w:sz w:val="13"/>
          <w:szCs w:val="13"/>
          <w:color w:val="auto"/>
        </w:rPr>
        <w:t>Coverage for contractor-related businesses, energy development and production risks, mergers and acquisitions liability and environmental liability risks.</w:t>
      </w:r>
    </w:p>
    <w:p>
      <w:pPr>
        <w:spacing w:after="0" w:line="120" w:lineRule="exact"/>
        <w:rPr>
          <w:sz w:val="20"/>
          <w:szCs w:val="20"/>
          <w:color w:val="auto"/>
        </w:rPr>
      </w:pPr>
    </w:p>
    <w:p>
      <w:pPr>
        <w:ind w:right="260"/>
        <w:spacing w:after="0" w:line="236" w:lineRule="auto"/>
        <w:rPr>
          <w:sz w:val="20"/>
          <w:szCs w:val="20"/>
          <w:color w:val="auto"/>
        </w:rPr>
      </w:pPr>
      <w:r>
        <w:rPr>
          <w:rFonts w:ascii="Arial" w:cs="Arial" w:eastAsia="Arial" w:hAnsi="Arial"/>
          <w:sz w:val="13"/>
          <w:szCs w:val="13"/>
          <w:color w:val="auto"/>
        </w:rPr>
        <w:t>Coverage (primarily liability and property) for social service agencies, leisure, entertainment and non-profit organizations, cyber, customized solutions for other targeted markets and alternative risk programs using agency captives.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Coverage in excess of primary layers.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Coverage for prescribed benefits payable to employees who are injured on the job.</w:t>
      </w:r>
    </w:p>
    <w:p>
      <w:pPr>
        <w:spacing w:after="0" w:line="217"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00274E"/>
        </w:rPr>
        <w:t>Specialty Financial</w:t>
      </w:r>
    </w:p>
    <w:p>
      <w:pPr>
        <w:spacing w:after="0" w:line="52" w:lineRule="exact"/>
        <w:rPr>
          <w:sz w:val="20"/>
          <w:szCs w:val="20"/>
          <w:color w:val="auto"/>
        </w:rPr>
      </w:pPr>
    </w:p>
    <w:p>
      <w:pPr>
        <w:jc w:val="right"/>
        <w:ind w:right="1580"/>
        <w:spacing w:after="0"/>
        <w:rPr>
          <w:sz w:val="20"/>
          <w:szCs w:val="20"/>
          <w:color w:val="auto"/>
        </w:rPr>
      </w:pPr>
      <w:r>
        <w:rPr>
          <w:rFonts w:ascii="Arial" w:cs="Arial" w:eastAsia="Arial" w:hAnsi="Arial"/>
          <w:sz w:val="14"/>
          <w:szCs w:val="14"/>
          <w:b w:val="1"/>
          <w:bCs w:val="1"/>
          <w:color w:val="00274E"/>
        </w:rPr>
        <w:t>Fidelity and Surety</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Lender Services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274E"/>
        </w:rPr>
        <w:t>Trade Credit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40"/>
        <w:spacing w:after="0" w:line="236" w:lineRule="auto"/>
        <w:rPr>
          <w:sz w:val="20"/>
          <w:szCs w:val="20"/>
          <w:color w:val="auto"/>
        </w:rPr>
      </w:pPr>
      <w:r>
        <w:rPr>
          <w:rFonts w:ascii="Arial" w:cs="Arial" w:eastAsia="Arial" w:hAnsi="Arial"/>
          <w:sz w:val="13"/>
          <w:szCs w:val="13"/>
          <w:color w:val="auto"/>
        </w:rPr>
        <w:t>Fidelity and crime coverage for government, mercantile and financial institutions and surety coverage for various types of contractors and public and private corporations.</w:t>
      </w:r>
    </w:p>
    <w:p>
      <w:pPr>
        <w:spacing w:after="0" w:line="120"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Coverage for insurance risk management programs for lending and leasing institutions, including equipment leasing and collateral and lender-placed mortgage property insurance.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Export and domestic trade credit insurance products for global trade and related financing activities.</w:t>
      </w:r>
    </w:p>
    <w:p>
      <w:pPr>
        <w:spacing w:after="0" w:line="217" w:lineRule="exact"/>
        <w:rPr>
          <w:sz w:val="20"/>
          <w:szCs w:val="20"/>
          <w:color w:val="auto"/>
        </w:rPr>
      </w:pPr>
    </w:p>
    <w:p>
      <w:pPr>
        <w:sectPr>
          <w:pgSz w:w="11900" w:h="16838" w:orient="portrait"/>
          <w:cols w:equalWidth="0" w:num="2">
            <w:col w:w="3120" w:space="720"/>
            <w:col w:w="7440"/>
          </w:cols>
          <w:pgMar w:left="300" w:top="121" w:right="319" w:bottom="1440" w:gutter="0" w:footer="0" w:header="0"/>
          <w:type w:val="continuous"/>
        </w:sectPr>
      </w:pPr>
    </w:p>
    <w:p>
      <w:pPr>
        <w:spacing w:after="0" w:line="9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Management believes specialization is the key element to the underwriting success of these business units. These specialty businesses are opportunistic and premium volume will vary based on prevailing market conditions. AFG continually evaluates expansion in existing markets and opportunities in new specialty markets that meet its profitability objectives. Likewise, AFG will withdraw from markets that do not meet its profit objectives or business strategy.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2025 SPECIALTY PROPERTY AND CASUALTY BY SUB-SEGMENT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95250</wp:posOffset>
            </wp:positionV>
            <wp:extent cx="4594860" cy="3234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486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Excludes underwriting losses recorded outside of AFG’s Specialty P&amp;C group that AFG no longer writes.</w:t>
      </w:r>
    </w:p>
    <w:p>
      <w:pPr>
        <w:spacing w:after="0" w:line="211"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Premium Distribution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net written premiums by sub-segment for AFG’s property and casualty insurance operations for 2025, 2024 and 2023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3,247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3,169</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w:t>
            </w:r>
          </w:p>
        </w:tc>
      </w:tr>
      <w:tr>
        <w:trPr>
          <w:trHeight w:val="160"/>
        </w:trPr>
        <w:tc>
          <w:tcPr>
            <w:tcW w:w="7520" w:type="dxa"/>
            <w:vAlign w:val="bottom"/>
          </w:tcPr>
          <w:p>
            <w:pPr>
              <w:spacing w:after="0"/>
              <w:rPr>
                <w:sz w:val="13"/>
                <w:szCs w:val="13"/>
                <w:color w:val="auto"/>
              </w:rPr>
            </w:pPr>
          </w:p>
        </w:tc>
        <w:tc>
          <w:tcPr>
            <w:tcW w:w="78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7,139</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w:t>
            </w:r>
          </w:p>
        </w:tc>
      </w:tr>
      <w:tr>
        <w:trPr>
          <w:trHeight w:val="20"/>
        </w:trPr>
        <w:tc>
          <w:tcPr>
            <w:tcW w:w="7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geographic distribution of statutory direct written premiums by AFG’s U.S.-based insurers for 2025, 2024 and 2023 is shown below. Approximately 2% of AFG’s direct written premiums in 2025 were derived from non U.S.-based insurers.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c>
          <w:tcPr>
            <w:tcW w:w="3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r>
      <w:tr>
        <w:trPr>
          <w:trHeight w:val="164"/>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New Jersey</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Texas</w:t>
            </w:r>
          </w:p>
        </w:tc>
        <w:tc>
          <w:tcPr>
            <w:tcW w:w="940" w:type="dxa"/>
            <w:vAlign w:val="bottom"/>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w:t>
            </w:r>
          </w:p>
        </w:tc>
        <w:tc>
          <w:tcPr>
            <w:tcW w:w="3160" w:type="dxa"/>
            <w:vAlign w:val="bottom"/>
          </w:tcPr>
          <w:p>
            <w:pPr>
              <w:ind w:left="980"/>
              <w:spacing w:after="0"/>
              <w:rPr>
                <w:sz w:val="20"/>
                <w:szCs w:val="20"/>
                <w:color w:val="auto"/>
              </w:rPr>
            </w:pPr>
            <w:r>
              <w:rPr>
                <w:rFonts w:ascii="Arial" w:cs="Arial" w:eastAsia="Arial" w:hAnsi="Arial"/>
                <w:sz w:val="13"/>
                <w:szCs w:val="13"/>
                <w:color w:val="auto"/>
              </w:rPr>
              <w:t>Ohio</w:t>
            </w: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Michigan</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Illinois</w:t>
            </w:r>
          </w:p>
        </w:tc>
        <w:tc>
          <w:tcPr>
            <w:tcW w:w="94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w:t>
            </w:r>
          </w:p>
        </w:tc>
        <w:tc>
          <w:tcPr>
            <w:tcW w:w="3160" w:type="dxa"/>
            <w:vAlign w:val="bottom"/>
          </w:tcPr>
          <w:p>
            <w:pPr>
              <w:ind w:left="980"/>
              <w:spacing w:after="0"/>
              <w:rPr>
                <w:sz w:val="20"/>
                <w:szCs w:val="20"/>
                <w:color w:val="auto"/>
              </w:rPr>
            </w:pPr>
            <w:r>
              <w:rPr>
                <w:rFonts w:ascii="Arial" w:cs="Arial" w:eastAsia="Arial" w:hAnsi="Arial"/>
                <w:sz w:val="13"/>
                <w:szCs w:val="13"/>
                <w:color w:val="auto"/>
              </w:rPr>
              <w:t>Kansas</w:t>
            </w:r>
          </w:p>
        </w:tc>
        <w:tc>
          <w:tcPr>
            <w:tcW w:w="94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Missouri</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2160" w:type="dxa"/>
            <w:vAlign w:val="bottom"/>
          </w:tcPr>
          <w:p>
            <w:pPr>
              <w:ind w:left="20"/>
              <w:spacing w:after="0"/>
              <w:rPr>
                <w:sz w:val="20"/>
                <w:szCs w:val="20"/>
                <w:color w:val="auto"/>
              </w:rPr>
            </w:pPr>
            <w:r>
              <w:rPr>
                <w:rFonts w:ascii="Arial" w:cs="Arial" w:eastAsia="Arial" w:hAnsi="Arial"/>
                <w:sz w:val="13"/>
                <w:szCs w:val="13"/>
                <w:color w:val="auto"/>
              </w:rPr>
              <w:t>Georgia</w:t>
            </w:r>
          </w:p>
        </w:tc>
        <w:tc>
          <w:tcPr>
            <w:tcW w:w="94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w:t>
            </w:r>
          </w:p>
        </w:tc>
        <w:tc>
          <w:tcPr>
            <w:tcW w:w="3160" w:type="dxa"/>
            <w:vAlign w:val="bottom"/>
          </w:tcPr>
          <w:p>
            <w:pPr>
              <w:ind w:left="980"/>
              <w:spacing w:after="0"/>
              <w:rPr>
                <w:sz w:val="20"/>
                <w:szCs w:val="20"/>
                <w:color w:val="auto"/>
              </w:rPr>
            </w:pPr>
            <w:r>
              <w:rPr>
                <w:rFonts w:ascii="Arial" w:cs="Arial" w:eastAsia="Arial" w:hAnsi="Arial"/>
                <w:sz w:val="13"/>
                <w:szCs w:val="13"/>
                <w:color w:val="auto"/>
              </w:rPr>
              <w:t>North Carolina</w:t>
            </w:r>
          </w:p>
        </w:tc>
        <w:tc>
          <w:tcPr>
            <w:tcW w:w="9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Indiana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3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w:t>
            </w: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Iowa</w:t>
            </w:r>
          </w:p>
        </w:tc>
        <w:tc>
          <w:tcPr>
            <w:tcW w:w="9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3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1"/>
        </w:trPr>
        <w:tc>
          <w:tcPr>
            <w:tcW w:w="21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Pennsylvania</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w:t>
            </w:r>
          </w:p>
        </w:tc>
        <w:tc>
          <w:tcPr>
            <w:tcW w:w="3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2025 STATUTORY DIRECT WRITTEN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20955</wp:posOffset>
            </wp:positionV>
            <wp:extent cx="4608195" cy="3126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08195"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Consistent with standard practice of most insurance companies, AFG reinsures a portion of its property and casualty business with other insurance companies and assumes a relatively small amount of business from other insurers. AFG uses reinsurance for two primary purposes: (i) to provide higher limits of coverage than it would otherwise be willing to provide (i.e. large line capacity) and (ii) to protect its business by reducing the impact of catastrophes. The availability and cost of reinsurance are subject to prevailing market conditions, which may affect the volume and profitability of business that is written. AFG is subject to credit risk with respect to its reinsurers, as the ceding of risk to reinsurers does not relieve AFG of its liability to its insureds until claims are fully settled.</w:t>
      </w:r>
    </w:p>
    <w:p>
      <w:pPr>
        <w:spacing w:after="0" w:line="16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Reinsurance is provided on either a facultative or treaty basis. Facultative reinsurance is generally provided on a risk-by-risk basis. Individual risks are ceded and assumed based on an offer and acceptance of risk by each party to the transaction. AFG purchases facultative reinsurance, both pro rata and excess of loss, depending on the risk and available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reinsurance markets. Treaty reinsurance provides for risks meeting prescribed criteria to be automatically ceded and assumed according to contract provisions.</w:t>
      </w:r>
    </w:p>
    <w:p>
      <w:pPr>
        <w:spacing w:after="0" w:line="201"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i w:val="1"/>
          <w:iCs w:val="1"/>
          <w:color w:val="auto"/>
        </w:rPr>
        <w:t xml:space="preserve">Catastrophe Reinsurance </w:t>
      </w:r>
      <w:r>
        <w:rPr>
          <w:rFonts w:ascii="Arial" w:cs="Arial" w:eastAsia="Arial" w:hAnsi="Arial"/>
          <w:sz w:val="13"/>
          <w:szCs w:val="13"/>
          <w:color w:val="auto"/>
        </w:rPr>
        <w:t>AFG has taken steps to limit its exposure to catastrophes (including those resulting from hurricanes, windstorms, tornadoes, floods, hailstorms, earthquakes,</w:t>
      </w:r>
      <w:r>
        <w:rPr>
          <w:rFonts w:ascii="Arial" w:cs="Arial" w:eastAsia="Arial" w:hAnsi="Arial"/>
          <w:sz w:val="13"/>
          <w:szCs w:val="13"/>
          <w:i w:val="1"/>
          <w:iCs w:val="1"/>
          <w:color w:val="auto"/>
        </w:rPr>
        <w:t xml:space="preserve"> </w:t>
      </w:r>
      <w:r>
        <w:rPr>
          <w:rFonts w:ascii="Arial" w:cs="Arial" w:eastAsia="Arial" w:hAnsi="Arial"/>
          <w:sz w:val="13"/>
          <w:szCs w:val="13"/>
          <w:color w:val="auto"/>
        </w:rPr>
        <w:t>explosions, fires and acts of terrorism and civil unrest) through individual risk selection, including minimizing coastal and known fault-line exposures, and purchasing catastrophe reinsurance. In addition, AFG purchases catastrophe reinsurance for its workers’ compensation businesses. Although the cost of catastrophe reinsurance varies depending on exposure and the level of worldwide loss activity, AFG continues to obtain reinsurance coverage in adequate amounts at acceptable rates.</w:t>
      </w:r>
    </w:p>
    <w:p>
      <w:pPr>
        <w:spacing w:after="0" w:line="153"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In January 2026, AFG’s property and casualty insurance subsidiaries renewed their catastrophe reinsurance coverages. For AFG’s U.S.-based operations, the Company placed $205 million of coverage in excess of a $70 million per event primary retention in the traditional reinsurance markets.</w:t>
      </w:r>
    </w:p>
    <w:p>
      <w:pPr>
        <w:spacing w:after="0" w:line="139" w:lineRule="exact"/>
        <w:rPr>
          <w:sz w:val="20"/>
          <w:szCs w:val="20"/>
          <w:color w:val="auto"/>
        </w:rPr>
      </w:pPr>
    </w:p>
    <w:p>
      <w:pPr>
        <w:ind w:right="280"/>
        <w:spacing w:after="0" w:line="314" w:lineRule="auto"/>
        <w:rPr>
          <w:sz w:val="20"/>
          <w:szCs w:val="20"/>
          <w:color w:val="auto"/>
        </w:rPr>
      </w:pPr>
      <w:r>
        <w:rPr>
          <w:rFonts w:ascii="Arial" w:cs="Arial" w:eastAsia="Arial" w:hAnsi="Arial"/>
          <w:sz w:val="13"/>
          <w:szCs w:val="13"/>
          <w:color w:val="auto"/>
        </w:rPr>
        <w:t>Through a combination of traditional reinsurance and a fully collateralized catastrophe bond structure with Riverfront Re Ltd., AFG has additional coverage of $350 million for catastrophe losses in excess of $275 million through December 31, 2028.</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commercial marketplace requires large policy limits ($25 million or more) in several of AFG’s lines of business, including certain property, environmental, aviation, executive and professional liability, umbrella and excess liability, and fidelity and surety coverages. Since these limits exceed management’s desired exposure to an individual risk, AFG generally enters into reinsurance agreements to reduce its net exposure under such policies to an acceptable level. Reinsurance continues to be available for this large line capacity exposure with satisfactory pricing and terms.</w:t>
      </w:r>
    </w:p>
    <w:p>
      <w:pPr>
        <w:spacing w:after="0" w:line="317"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In addition to the catastrophe and large line capacity reinsurance programs discussed above, AFG purchases reinsurance on a product-by-product basis. AFG regularly reviews the financial strength of its current and potential reinsurers. These reviews include consideration of credit ratings, available capital, claims paying history and expertise. This process periodically results in the transfer of risks to more financially secure reinsurers. Substantially all reinsurance is ceded to companies with investment grade S&amp;P ratings or is secured by “funds withheld” or other collateral. Under “funds withheld” arrangements, AFG retains ceded premiums to fund ceded losses as they become due from the reinsurer. Recoverables from the following companies were individually between 9% and 11% of AFG’s total property and casualty reinsurance recoverable (including prepaid reinsurance premiums and net of payables to reinsurers) at December 31, 2025: Everest Reinsurance Company, Hannover Rueck SE and Swiss Reinsurance America Corporation. No other reinsurers exceeded 5% of AFG’s property and casualty reinsurance recoverable.</w:t>
      </w:r>
    </w:p>
    <w:p>
      <w:pPr>
        <w:spacing w:after="0" w:line="325"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The following table presents (by type of coverage) the amount of each loss above the specified retention covered by treaty reinsurance programs in AFG’s U.S.-based property and casualty insurance operations (in millions) as of January 1,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1"/>
                <w:szCs w:val="11"/>
                <w:color w:val="auto"/>
              </w:rPr>
              <w:t>Reinsurance Coverage</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6380" w:type="dxa"/>
            <w:vAlign w:val="bottom"/>
          </w:tcPr>
          <w:p>
            <w:pPr>
              <w:spacing w:after="0"/>
              <w:rPr>
                <w:sz w:val="13"/>
                <w:szCs w:val="13"/>
                <w:color w:val="auto"/>
              </w:rPr>
            </w:pPr>
          </w:p>
        </w:tc>
        <w:tc>
          <w:tcPr>
            <w:tcW w:w="700" w:type="dxa"/>
            <w:vAlign w:val="bottom"/>
          </w:tcPr>
          <w:p>
            <w:pPr>
              <w:jc w:val="center"/>
              <w:ind w:left="141"/>
              <w:spacing w:after="0"/>
              <w:rPr>
                <w:sz w:val="20"/>
                <w:szCs w:val="20"/>
                <w:color w:val="auto"/>
              </w:rPr>
            </w:pPr>
            <w:r>
              <w:rPr>
                <w:rFonts w:ascii="Arial" w:cs="Arial" w:eastAsia="Arial" w:hAnsi="Arial"/>
                <w:sz w:val="11"/>
                <w:szCs w:val="11"/>
                <w:color w:val="auto"/>
              </w:rPr>
              <w:t>Primary</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98"/>
              <w:spacing w:after="0"/>
              <w:rPr>
                <w:sz w:val="20"/>
                <w:szCs w:val="20"/>
                <w:color w:val="auto"/>
              </w:rPr>
            </w:pPr>
            <w:r>
              <w:rPr>
                <w:rFonts w:ascii="Arial" w:cs="Arial" w:eastAsia="Arial" w:hAnsi="Arial"/>
                <w:sz w:val="11"/>
                <w:szCs w:val="11"/>
                <w:color w:val="auto"/>
              </w:rPr>
              <w:t>Coverage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1"/>
                <w:szCs w:val="11"/>
                <w:color w:val="auto"/>
              </w:rPr>
              <w:t>AFG Participation (a)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8"/>
              <w:spacing w:after="0"/>
              <w:rPr>
                <w:sz w:val="20"/>
                <w:szCs w:val="20"/>
                <w:color w:val="auto"/>
              </w:rPr>
            </w:pPr>
            <w:r>
              <w:rPr>
                <w:rFonts w:ascii="Arial" w:cs="Arial" w:eastAsia="Arial" w:hAnsi="Arial"/>
                <w:sz w:val="11"/>
                <w:szCs w:val="11"/>
                <w:color w:val="auto"/>
              </w:rPr>
              <w:t>AFG Maximum</w:t>
            </w:r>
          </w:p>
        </w:tc>
      </w:tr>
      <w:tr>
        <w:trPr>
          <w:trHeight w:val="153"/>
        </w:trPr>
        <w:tc>
          <w:tcPr>
            <w:tcW w:w="6380" w:type="dxa"/>
            <w:vAlign w:val="bottom"/>
          </w:tcPr>
          <w:p>
            <w:pPr>
              <w:spacing w:after="0"/>
              <w:rPr>
                <w:sz w:val="13"/>
                <w:szCs w:val="13"/>
                <w:color w:val="auto"/>
              </w:rPr>
            </w:pPr>
          </w:p>
        </w:tc>
        <w:tc>
          <w:tcPr>
            <w:tcW w:w="700" w:type="dxa"/>
            <w:vAlign w:val="bottom"/>
          </w:tcPr>
          <w:p>
            <w:pPr>
              <w:jc w:val="center"/>
              <w:ind w:left="161"/>
              <w:spacing w:after="0"/>
              <w:rPr>
                <w:sz w:val="20"/>
                <w:szCs w:val="20"/>
                <w:color w:val="auto"/>
              </w:rPr>
            </w:pPr>
            <w:r>
              <w:rPr>
                <w:rFonts w:ascii="Arial" w:cs="Arial" w:eastAsia="Arial" w:hAnsi="Arial"/>
                <w:sz w:val="11"/>
                <w:szCs w:val="11"/>
                <w:color w:val="auto"/>
              </w:rPr>
              <w:t>Retention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58"/>
              <w:spacing w:after="0"/>
              <w:rPr>
                <w:sz w:val="20"/>
                <w:szCs w:val="20"/>
                <w:color w:val="auto"/>
              </w:rPr>
            </w:pPr>
            <w:r>
              <w:rPr>
                <w:rFonts w:ascii="Arial" w:cs="Arial" w:eastAsia="Arial" w:hAnsi="Arial"/>
                <w:sz w:val="11"/>
                <w:szCs w:val="11"/>
                <w:color w:val="auto"/>
              </w:rPr>
              <w:t>Amount</w:t>
            </w:r>
          </w:p>
        </w:tc>
        <w:tc>
          <w:tcPr>
            <w:tcW w:w="1100" w:type="dxa"/>
            <w:vAlign w:val="bottom"/>
            <w:gridSpan w:val="3"/>
          </w:tcPr>
          <w:p>
            <w:pPr>
              <w:jc w:val="right"/>
              <w:ind w:right="379"/>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31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8"/>
              <w:spacing w:after="0"/>
              <w:rPr>
                <w:sz w:val="20"/>
                <w:szCs w:val="20"/>
                <w:color w:val="auto"/>
              </w:rPr>
            </w:pPr>
            <w:r>
              <w:rPr>
                <w:rFonts w:ascii="Arial" w:cs="Arial" w:eastAsia="Arial" w:hAnsi="Arial"/>
                <w:sz w:val="11"/>
                <w:szCs w:val="11"/>
                <w:color w:val="auto"/>
              </w:rPr>
              <w:t>Loss (b)</w:t>
            </w:r>
          </w:p>
        </w:tc>
      </w:tr>
      <w:tr>
        <w:trPr>
          <w:trHeight w:val="150"/>
        </w:trPr>
        <w:tc>
          <w:tcPr>
            <w:tcW w:w="63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U.S.-based operations:</w:t>
            </w: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Republic Workers’ Compensation</w:t>
            </w:r>
          </w:p>
        </w:tc>
        <w:tc>
          <w:tcPr>
            <w:tcW w:w="700" w:type="dxa"/>
            <w:vAlign w:val="bottom"/>
          </w:tcPr>
          <w:p>
            <w:pPr>
              <w:jc w:val="right"/>
              <w:ind w:right="561"/>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Summit Workers’ Compensation</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Other Workers’ Compensation</w:t>
            </w:r>
          </w:p>
        </w:tc>
        <w:tc>
          <w:tcPr>
            <w:tcW w:w="7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Umbrella</w:t>
            </w:r>
          </w:p>
        </w:tc>
        <w:tc>
          <w:tcPr>
            <w:tcW w:w="7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6380" w:type="dxa"/>
            <w:vAlign w:val="bottom"/>
          </w:tcPr>
          <w:p>
            <w:pPr>
              <w:ind w:left="140"/>
              <w:spacing w:after="0"/>
              <w:rPr>
                <w:sz w:val="20"/>
                <w:szCs w:val="20"/>
                <w:color w:val="auto"/>
              </w:rPr>
            </w:pPr>
            <w:r>
              <w:rPr>
                <w:rFonts w:ascii="Arial" w:cs="Arial" w:eastAsia="Arial" w:hAnsi="Arial"/>
                <w:sz w:val="13"/>
                <w:szCs w:val="13"/>
                <w:color w:val="auto"/>
              </w:rPr>
              <w:t>Property — General</w:t>
            </w:r>
          </w:p>
        </w:tc>
        <w:tc>
          <w:tcPr>
            <w:tcW w:w="7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 Catastrophe</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bl>
    <w:p>
      <w:pPr>
        <w:spacing w:after="0" w:line="110"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the participation of AFG’s internal reinsurance program.</w:t>
      </w:r>
    </w:p>
    <w:p>
      <w:pPr>
        <w:spacing w:after="0" w:line="21" w:lineRule="exact"/>
        <w:rPr>
          <w:rFonts w:ascii="Arial" w:cs="Arial" w:eastAsia="Arial" w:hAnsi="Arial"/>
          <w:sz w:val="13"/>
          <w:szCs w:val="13"/>
          <w:color w:val="auto"/>
        </w:rPr>
      </w:pPr>
    </w:p>
    <w:p>
      <w:pPr>
        <w:ind w:left="320" w:hanging="315"/>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Maximum loss per event for claims up to reinsurance coverage limit.</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In addition to the coverage shown above, AFG reinsures its multi-peril crop insurance (“MPCI”) business through the Federal Crop Insurance Corporation (“FCIC”) based on the Standard Reinsurance Agreement (“SRA”). The SRA provides a risk-sharing framework between the government and approved insurance providers. Under this framework, AFG can elect the desired retention of risk on a state-by-state, county, crop or plan basis. The SRA also provides for a fixed quota share cession to the FCIC. For the portion of business retained under the SRA, AFG utilizes private-market quota share and excess of loss reinsurance arrangements to manage crop insurance exposure.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The balance sheet caption “Recoverables from reinsurers” included approximately $222 million on paid losses and LAE and $5.31 billion on unpaid losses and LAE at December 31, 2025. These amounts are net of allowances of approximately $10 million for expected credit losses on reinsurance recoverables. The collectability of a reinsurance balance is based upon the financial condition of a reinsurer as well as individual claim considerations.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Reinsurance premiums ceded and assumed are presented in the following table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ceded</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Reinsurance ceded, excluding crop</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2,196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1,878</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assumed — including involuntary pools and associations (*)</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r>
    </w:tbl>
    <w:p>
      <w:pPr>
        <w:spacing w:after="0" w:line="11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2024 includes $217 million related to the acquisition of CRS as a result of premium written by the previous owner and assumed by AFG during the transition.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 and Loss Adjustment Expense Reserves</w:t>
      </w:r>
    </w:p>
    <w:p>
      <w:pPr>
        <w:spacing w:after="0" w:line="10" w:lineRule="exact"/>
        <w:rPr>
          <w:sz w:val="20"/>
          <w:szCs w:val="20"/>
          <w:color w:val="auto"/>
        </w:rPr>
      </w:pPr>
    </w:p>
    <w:p>
      <w:pPr>
        <w:ind w:right="120"/>
        <w:spacing w:after="0" w:line="263" w:lineRule="auto"/>
        <w:rPr>
          <w:sz w:val="20"/>
          <w:szCs w:val="20"/>
          <w:color w:val="auto"/>
        </w:rPr>
      </w:pPr>
      <w:r>
        <w:rPr>
          <w:rFonts w:ascii="Arial" w:cs="Arial" w:eastAsia="Arial" w:hAnsi="Arial"/>
          <w:sz w:val="13"/>
          <w:szCs w:val="13"/>
          <w:color w:val="auto"/>
        </w:rPr>
        <w:t xml:space="preserve">The consolidated financial statements include the estimated liability for unpaid losses and LAE of AFG’s insurance subsidiaries. This liability represents estimates of the ultimate net cost of all unpaid losses and LAE and is determined by using case-basis evaluations, actuarial projections and management’s judgment. These estimates are subject to the effects of changes in claim amounts and frequency and are periodically reviewed and adjusted as additional information becomes known. In accordance with industry practices, such adjustments are reflected in current year operations. Generally, reserves for reinsurance assumed and involuntary pools and associations are reflected in AFG’s results at the amounts reported by those entities. See </w:t>
      </w:r>
      <w:r>
        <w:rPr>
          <w:rFonts w:ascii="Arial" w:cs="Arial" w:eastAsia="Arial" w:hAnsi="Arial"/>
          <w:sz w:val="13"/>
          <w:szCs w:val="13"/>
          <w:i w:val="1"/>
          <w:iCs w:val="1"/>
          <w:color w:val="auto"/>
        </w:rPr>
        <w:t xml:space="preserve">Note N — “Insurance — Insurance Reserves” </w:t>
      </w:r>
      <w:r>
        <w:rPr>
          <w:rFonts w:ascii="Arial" w:cs="Arial" w:eastAsia="Arial" w:hAnsi="Arial"/>
          <w:sz w:val="13"/>
          <w:szCs w:val="13"/>
          <w:color w:val="auto"/>
        </w:rPr>
        <w:t>to the financial statements for information on the development of AFG’s liability for unpaid losses and LAE by accident year as well as a</w:t>
      </w:r>
      <w:r>
        <w:rPr>
          <w:rFonts w:ascii="Arial" w:cs="Arial" w:eastAsia="Arial" w:hAnsi="Arial"/>
          <w:sz w:val="13"/>
          <w:szCs w:val="13"/>
          <w:i w:val="1"/>
          <w:iCs w:val="1"/>
          <w:color w:val="auto"/>
        </w:rPr>
        <w:t xml:space="preserve"> </w:t>
      </w:r>
      <w:r>
        <w:rPr>
          <w:rFonts w:ascii="Arial" w:cs="Arial" w:eastAsia="Arial" w:hAnsi="Arial"/>
          <w:sz w:val="13"/>
          <w:szCs w:val="13"/>
          <w:color w:val="auto"/>
        </w:rPr>
        <w:t>progression of the liability on a GAAP basis over the past three years.</w:t>
      </w:r>
    </w:p>
    <w:p>
      <w:pPr>
        <w:spacing w:after="0" w:line="162"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 reconciliation of the liability for losses and LAE reported in the annual statements filed with the state insurance departments in accordance with statutory accounting principles (“SAP”) to the liability reported in the accompanying consolidated financial statements in accordance with GAAP at December 31, 2025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Liability reported on a SAP basis, net of $67 million of retroactive reinsurance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9,458</w:t>
            </w:r>
          </w:p>
        </w:tc>
      </w:tr>
      <w:tr>
        <w:trPr>
          <w:trHeight w:val="169"/>
        </w:trPr>
        <w:tc>
          <w:tcPr>
            <w:tcW w:w="10040" w:type="dxa"/>
            <w:vAlign w:val="bottom"/>
          </w:tcPr>
          <w:p>
            <w:pPr>
              <w:ind w:left="20"/>
              <w:spacing w:after="0"/>
              <w:rPr>
                <w:sz w:val="20"/>
                <w:szCs w:val="20"/>
                <w:color w:val="auto"/>
              </w:rPr>
            </w:pPr>
            <w:r>
              <w:rPr>
                <w:rFonts w:ascii="Arial" w:cs="Arial" w:eastAsia="Arial" w:hAnsi="Arial"/>
                <w:sz w:val="13"/>
                <w:szCs w:val="13"/>
                <w:color w:val="auto"/>
              </w:rPr>
              <w:t>Reinsurance recoverables, net of allowance</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5,306</w:t>
            </w:r>
          </w:p>
        </w:tc>
      </w:t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including reserves of foreign insurers</w:t>
            </w: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r>
      <w:tr>
        <w:trPr>
          <w:trHeight w:val="162"/>
        </w:trPr>
        <w:tc>
          <w:tcPr>
            <w:tcW w:w="10040" w:type="dxa"/>
            <w:vAlign w:val="bottom"/>
          </w:tcPr>
          <w:p>
            <w:pPr>
              <w:ind w:left="20"/>
              <w:spacing w:after="0"/>
              <w:rPr>
                <w:sz w:val="20"/>
                <w:szCs w:val="20"/>
                <w:color w:val="auto"/>
              </w:rPr>
            </w:pPr>
            <w:r>
              <w:rPr>
                <w:rFonts w:ascii="Arial" w:cs="Arial" w:eastAsia="Arial" w:hAnsi="Arial"/>
                <w:sz w:val="13"/>
                <w:szCs w:val="13"/>
                <w:color w:val="auto"/>
              </w:rPr>
              <w:t>Liability reported on a GAAP basis</w:t>
            </w: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15,094</w:t>
            </w:r>
          </w:p>
        </w:tc>
      </w:tr>
      <w:tr>
        <w:trPr>
          <w:trHeight w:val="20"/>
        </w:trPr>
        <w:tc>
          <w:tcPr>
            <w:tcW w:w="10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i w:val="1"/>
          <w:iCs w:val="1"/>
          <w:color w:val="00274E"/>
        </w:rPr>
        <w:t xml:space="preserve">Asbestos and Environmental-related (“A&amp;E”) Insurance Reserves </w:t>
      </w:r>
      <w:r>
        <w:rPr>
          <w:rFonts w:ascii="Arial" w:cs="Arial" w:eastAsia="Arial" w:hAnsi="Arial"/>
          <w:sz w:val="13"/>
          <w:szCs w:val="13"/>
          <w:color w:val="000000"/>
        </w:rPr>
        <w:t>AFG’s property and casualty group, like many others in the industry, has A&amp;E claims arising in most cases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 xml:space="preserve">from general liability policies written more than thirty-five years ago. The establishment of reserves for such A&amp;E claims presents unique and difficult challenges and is subject to uncertainties significantly greater than those presented by other types of claims. For a discussion of these uncertainties, see </w:t>
      </w:r>
      <w:r>
        <w:rPr>
          <w:rFonts w:ascii="Arial" w:cs="Arial" w:eastAsia="Arial" w:hAnsi="Arial"/>
          <w:sz w:val="13"/>
          <w:szCs w:val="13"/>
          <w:i w:val="1"/>
          <w:iCs w:val="1"/>
          <w:color w:val="000000"/>
        </w:rPr>
        <w:t>Item 7</w:t>
      </w:r>
      <w:r>
        <w:rPr>
          <w:rFonts w:ascii="Arial" w:cs="Arial" w:eastAsia="Arial" w:hAnsi="Arial"/>
          <w:sz w:val="13"/>
          <w:szCs w:val="13"/>
          <w:color w:val="000000"/>
        </w:rPr>
        <w:t xml:space="preserve"> — </w:t>
      </w:r>
      <w:r>
        <w:rPr>
          <w:rFonts w:ascii="Arial" w:cs="Arial" w:eastAsia="Arial" w:hAnsi="Arial"/>
          <w:sz w:val="13"/>
          <w:szCs w:val="13"/>
          <w:i w:val="1"/>
          <w:iCs w:val="1"/>
          <w:color w:val="000000"/>
        </w:rPr>
        <w:t>Management’s Discussion and Analysis of Financial Condition and</w:t>
      </w:r>
      <w:r>
        <w:rPr>
          <w:rFonts w:ascii="Arial" w:cs="Arial" w:eastAsia="Arial" w:hAnsi="Arial"/>
          <w:sz w:val="13"/>
          <w:szCs w:val="13"/>
          <w:color w:val="000000"/>
        </w:rPr>
        <w:t xml:space="preserve"> </w:t>
      </w:r>
      <w:r>
        <w:rPr>
          <w:rFonts w:ascii="Arial" w:cs="Arial" w:eastAsia="Arial" w:hAnsi="Arial"/>
          <w:sz w:val="13"/>
          <w:szCs w:val="13"/>
          <w:i w:val="1"/>
          <w:iCs w:val="1"/>
          <w:color w:val="000000"/>
        </w:rPr>
        <w:t xml:space="preserve">Results of Operations — “Uncertainties — Asbestos and Environmental-related (“A&amp;E”) Insurance Reserves” </w:t>
      </w:r>
      <w:r>
        <w:rPr>
          <w:rFonts w:ascii="Arial" w:cs="Arial" w:eastAsia="Arial" w:hAnsi="Arial"/>
          <w:sz w:val="13"/>
          <w:szCs w:val="13"/>
          <w:color w:val="000000"/>
        </w:rPr>
        <w:t>and</w:t>
      </w:r>
      <w:r>
        <w:rPr>
          <w:rFonts w:ascii="Arial" w:cs="Arial" w:eastAsia="Arial" w:hAnsi="Arial"/>
          <w:sz w:val="13"/>
          <w:szCs w:val="13"/>
          <w:i w:val="1"/>
          <w:iCs w:val="1"/>
          <w:color w:val="000000"/>
        </w:rPr>
        <w:t xml:space="preserve"> Note M — “Contingencies” </w:t>
      </w:r>
      <w:r>
        <w:rPr>
          <w:rFonts w:ascii="Arial" w:cs="Arial" w:eastAsia="Arial" w:hAnsi="Arial"/>
          <w:sz w:val="13"/>
          <w:szCs w:val="13"/>
          <w:color w:val="000000"/>
        </w:rPr>
        <w:t>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(in millions) is a progression of the property and casualty group’s A&amp;E reserves.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2025</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 at beginning of year, net of reinsurance recoverable</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Incurred losses and LAE</w:t>
            </w:r>
          </w:p>
        </w:tc>
        <w:tc>
          <w:tcPr>
            <w:tcW w:w="8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Paid losses and LAE</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Reserves at end of year, net of reinsurance recoverable</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370</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recoverable, net of allowance</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Gross reserves at end of year</w:t>
            </w: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r>
      <w:tr>
        <w:trPr>
          <w:trHeight w:val="20"/>
        </w:trPr>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AFG annually conducts a comprehensive review of its asbestos and environmental reserves. In connection with these reviews, AFG engages with outside counsel and, as appropriate, engineering and consulting firms and specialty actuarial firms.</w:t>
      </w:r>
    </w:p>
    <w:p>
      <w:pPr>
        <w:spacing w:after="0" w:line="139"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An in-depth internal review of AFG’s A&amp;E reserves was completed in the third quarter of 2025 by AFG’s internal A&amp;E claims specialists in consultation with specialty outside counsel. The 2025 internal review identified no new trends and recent claims activity was generally consistent with AFG’s expectations resulting from AFG’s in-depth internal reviews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740"/>
        <w:spacing w:after="0" w:line="297" w:lineRule="auto"/>
        <w:rPr>
          <w:sz w:val="20"/>
          <w:szCs w:val="20"/>
          <w:color w:val="auto"/>
        </w:rPr>
      </w:pPr>
      <w:r>
        <w:rPr>
          <w:rFonts w:ascii="Arial" w:cs="Arial" w:eastAsia="Arial" w:hAnsi="Arial"/>
          <w:sz w:val="13"/>
          <w:szCs w:val="13"/>
          <w:color w:val="auto"/>
        </w:rPr>
        <w:t>2024 and 2023 and most recent external study in 2020. As a result, the 2025 review resulted in no net change to AFG’s property and casualty insurance segment’s asbestos and environmental reserves.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Marketing</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The property and casualty insurance group directs its sales efforts primarily through independent insurance agents and brokers, although small portions are written through employee agents. Independent agents and brokers generally receive a commission on the sale of each policy. Some agents and brokers are eligible for a bonus commission based on the overall profitability of policies or volume of business placed with AFG by the broker or agent in a particular year. The property and casualty insurance group writes insurance through several thousand agents and brokers.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Competition</w:t>
      </w:r>
    </w:p>
    <w:p>
      <w:pPr>
        <w:spacing w:after="0" w:line="10"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 xml:space="preserve">AFG’s property and casualty insurance businesses compete with other individual insurers, state funds and insurance groups of varying sizes, some of which are mutual insurance companies possessing competitive advantages in that all their profits inure to their policyholders. See </w:t>
      </w:r>
      <w:r>
        <w:rPr>
          <w:rFonts w:ascii="Arial" w:cs="Arial" w:eastAsia="Arial" w:hAnsi="Arial"/>
          <w:sz w:val="13"/>
          <w:szCs w:val="13"/>
          <w:i w:val="1"/>
          <w:iCs w:val="1"/>
          <w:color w:val="auto"/>
        </w:rPr>
        <w:t>Item 1A</w:t>
      </w:r>
      <w:r>
        <w:rPr>
          <w:rFonts w:ascii="Arial" w:cs="Arial" w:eastAsia="Arial" w:hAnsi="Arial"/>
          <w:sz w:val="13"/>
          <w:szCs w:val="13"/>
          <w:color w:val="auto"/>
        </w:rPr>
        <w:t xml:space="preserve">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AFG also competes with self-insurance plans, captive programs and risk retention groups. Due to the specialty nature of these coverages, competition is based primarily on service to policyholders and agents, specific characteristics of products offered and reputation for claims handling. Financial strength ratings, price, commissions and profit-sharing terms are also important factors. Management believes that sophisticated data analysis for refinement of risk profiles, extensive specialized knowledge and loss prevention service have helped AFG compete successfully.</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Human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Culture</w:t>
      </w:r>
    </w:p>
    <w:p>
      <w:pPr>
        <w:spacing w:after="0" w:line="10"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AFG’s principal cultural goal is for all employees to feel included, respected, safe and empowered to perform at their best. The Company helps employees succeed by cultivating specialized knowledge and offering professional education and leadership development in a service-oriented culture. AFG respects human rights, appreciates inclusion and values the unique perspective each employee brings to the workplace.</w:t>
      </w:r>
    </w:p>
    <w:p>
      <w:pPr>
        <w:spacing w:after="0" w:line="153"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AFG believes when employees are engaged and aligned with the Company’s mission and strategy, they deliver higher levels of service to its customers and create better results for its business. AFG strives to attract exceptional people with a wide range of attributes, perspectives and experience who can grow within AFG by fostering a workplace culture that inspires and rewards people and by developing a workforce that can help the Company meet its current and future goals.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Attraction and Engagement</w:t>
      </w:r>
    </w:p>
    <w:p>
      <w:pPr>
        <w:spacing w:after="0" w:line="10"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As of December 31, 2025, the Company had approximately 8,500 employees (none of which were covered by collective bargaining agreements), including approximately 7,700 employed at Great American Insurance Group.</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AFG believes that its strong culture and values, along with the resources, competitive compensation and benefits, training and development and other opportunities afforded its employees, contribute meaningfully to what the Company views as positive retention and recruitment trends over the long-term. The Company’s voluntary turnover rate in 2025 was 8.3%. The Company believes that its overall average employee tenure, which is 10 years, and average tenure of 20 years for the Company’s approximately 200 most senior leaders, evidences the Company’s relative success in growing careers.</w:t>
      </w:r>
    </w:p>
    <w:p>
      <w:pPr>
        <w:spacing w:after="0" w:line="157"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To help inform management of employees’ views and perspectives on key matters, AFG generally conducts an employee engagement survey (“Employee Survey”) on a biennial basis. The Employee Survey enables each participant to provide anonymous feedback in response to questions on a broad scope of issues, including culture, engagement, development, benefits, resources and other issues that AFG believes are important measures of long-term employee satisfaction. With the benefit of this direct feedback, management can assess employees’ perspectives on salient issues, thereby informing management’s decisions on which practices should remain unchanged and which should be considered for potential enhancement or revision. AFG’s most recent Employee Survey was conducted in 2024. Employee participation was high, with 92% of the Company’s employees completing the survey. Management was encouraged by this strong engagement and by what management viewed as positive overall results, which on the whole reaffirmed management’s belief that employees appreciate the Company’s culture and the opportunities available to them and understand their link to AFG’s strategy and business. By way of example, some of the Employee Survey results included the following:</w:t>
      </w:r>
    </w:p>
    <w:p>
      <w:pPr>
        <w:spacing w:after="0" w:line="326"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94% of employees agreed that “the organization provides high quality products and services”;</w:t>
      </w:r>
    </w:p>
    <w:p>
      <w:pPr>
        <w:spacing w:after="0" w:line="21"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94% of employees agreed that “I understand how my job contributes to the organization’s strategy and goals”;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95% of employees agreed that “I understand the results expected of me in my job”;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93% of employees agreed that “I am treated with respect as an individual”.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results of the Employee Survey are reviewed and discussed by AFG management. Those results serve as an important source of information for management in shaping decisions that impact the Company’s employees.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Investing in Employees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i w:val="1"/>
          <w:iCs w:val="1"/>
          <w:color w:val="00274E"/>
        </w:rPr>
        <w:t xml:space="preserve">Training and Development </w:t>
      </w:r>
      <w:r>
        <w:rPr>
          <w:rFonts w:ascii="Arial" w:cs="Arial" w:eastAsia="Arial" w:hAnsi="Arial"/>
          <w:sz w:val="13"/>
          <w:szCs w:val="13"/>
          <w:color w:val="000000"/>
        </w:rPr>
        <w:t>AFG offers training programs designed to encourage people to build careers in insurance and develop professional skills that positively impact employees’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careers as well as AFG’s customers and business. These include tuition reimbursement programs, monetary incentives and extensive personal and professional learning opportunities.</w:t>
      </w:r>
    </w:p>
    <w:p>
      <w:pPr>
        <w:spacing w:after="0" w:line="17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b w:val="1"/>
          <w:bCs w:val="1"/>
          <w:i w:val="1"/>
          <w:iCs w:val="1"/>
          <w:color w:val="00274E"/>
        </w:rPr>
        <w:t xml:space="preserve">Compensation and Benefits </w:t>
      </w:r>
      <w:r>
        <w:rPr>
          <w:rFonts w:ascii="Arial" w:cs="Arial" w:eastAsia="Arial" w:hAnsi="Arial"/>
          <w:sz w:val="13"/>
          <w:szCs w:val="13"/>
          <w:color w:val="000000"/>
        </w:rPr>
        <w:t>AFG provides a competitive benefits package that includes an extensive wellness program and paid time away from work for employees to maintain a</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healthy work-life balance. AFG offers onsite fitness centers at many of its locations, financial incentives for taking care of one’s physical and emotional health and health management programs to increase employees’ engagement with their healthcare providers. AFG also provides six weeks of paid parental leave for employees to care for and bond with their newborn or newly adopted child.</w:t>
      </w:r>
    </w:p>
    <w:p>
      <w:pPr>
        <w:spacing w:after="0" w:line="170" w:lineRule="exact"/>
        <w:rPr>
          <w:sz w:val="20"/>
          <w:szCs w:val="20"/>
          <w:color w:val="auto"/>
        </w:rPr>
      </w:pPr>
    </w:p>
    <w:p>
      <w:pPr>
        <w:jc w:val="both"/>
        <w:ind w:right="80"/>
        <w:spacing w:after="0" w:line="269" w:lineRule="auto"/>
        <w:rPr>
          <w:sz w:val="20"/>
          <w:szCs w:val="20"/>
          <w:color w:val="auto"/>
        </w:rPr>
      </w:pPr>
      <w:r>
        <w:rPr>
          <w:rFonts w:ascii="Arial" w:cs="Arial" w:eastAsia="Arial" w:hAnsi="Arial"/>
          <w:sz w:val="13"/>
          <w:szCs w:val="13"/>
          <w:color w:val="auto"/>
        </w:rPr>
        <w:t>Being a responsible employer and contributing to communities’ economic sustainability includes providing employees the opportunity to have the ability and access to achieve their financial goals. AFG maintains competitive and equitable pay by conducting regular market comparisons. AFG offers an employee stock purchase program, a retirement savings plan with employer matching contributions and company-wide profit sharing programs. In addition, employees have access to professional investment and retirement planning advisors to help prepare for their financial future.</w:t>
      </w:r>
    </w:p>
    <w:p>
      <w:pPr>
        <w:spacing w:after="0" w:line="16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i w:val="1"/>
          <w:iCs w:val="1"/>
          <w:color w:val="00274E"/>
        </w:rPr>
        <w:t xml:space="preserve">Safety and Security </w:t>
      </w:r>
      <w:r>
        <w:rPr>
          <w:rFonts w:ascii="Arial" w:cs="Arial" w:eastAsia="Arial" w:hAnsi="Arial"/>
          <w:sz w:val="13"/>
          <w:szCs w:val="13"/>
          <w:color w:val="000000"/>
        </w:rPr>
        <w:t>AFG prioritizes workplace safety and is dedicated to minimizing employees’ risk of accident or injury. AFG’s obligations and procedures are outlined in its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Workplace Safety and Security Policy along with its Safety and Accident Reporting Policy. AFG is firmly committed to and maintains a policy of providing a work environment free from harassment of any kind, including sexual harassment. This includes intentional and unintentional harassment based on any legally protected classification under applicable federal, state or local law.</w:t>
      </w:r>
    </w:p>
    <w:p>
      <w:pPr>
        <w:spacing w:after="0" w:line="332"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b w:val="1"/>
          <w:bCs w:val="1"/>
          <w:i w:val="1"/>
          <w:iCs w:val="1"/>
          <w:color w:val="00274E"/>
        </w:rPr>
        <w:t xml:space="preserve">Succession Planning </w:t>
      </w:r>
      <w:r>
        <w:rPr>
          <w:rFonts w:ascii="Arial" w:cs="Arial" w:eastAsia="Arial" w:hAnsi="Arial"/>
          <w:sz w:val="13"/>
          <w:szCs w:val="13"/>
          <w:color w:val="000000"/>
        </w:rPr>
        <w:t>As AFG’s success is driven principally by the efforts of its employees, many of whom are specialized experts in their field or area of practice, the Company views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succession planning as critical to continuing its track record of strong financial performance. The Company maintains a consistent and methodical approach to succession planning, aimed at identifying successors to senior leaders and identifying and developing future leaders. Succession planning with regard to senior positions is also reviewed with AFG’s Board of Directors.</w:t>
      </w:r>
    </w:p>
    <w:p>
      <w:pPr>
        <w:spacing w:after="0" w:line="164" w:lineRule="exact"/>
        <w:rPr>
          <w:sz w:val="20"/>
          <w:szCs w:val="20"/>
          <w:color w:val="auto"/>
        </w:rPr>
      </w:pPr>
    </w:p>
    <w:p>
      <w:pPr>
        <w:ind w:right="240"/>
        <w:spacing w:after="0" w:line="208" w:lineRule="auto"/>
        <w:rPr>
          <w:sz w:val="20"/>
          <w:szCs w:val="20"/>
          <w:color w:val="auto"/>
        </w:rPr>
      </w:pPr>
      <w:r>
        <w:rPr>
          <w:rFonts w:ascii="Arial" w:cs="Arial" w:eastAsia="Arial" w:hAnsi="Arial"/>
          <w:sz w:val="16"/>
          <w:szCs w:val="16"/>
          <w:b w:val="1"/>
          <w:bCs w:val="1"/>
          <w:i w:val="1"/>
          <w:iCs w:val="1"/>
          <w:color w:val="00274E"/>
        </w:rPr>
        <w:t xml:space="preserve">Board and Committee Oversight </w:t>
      </w:r>
      <w:r>
        <w:rPr>
          <w:rFonts w:ascii="Arial" w:cs="Arial" w:eastAsia="Arial" w:hAnsi="Arial"/>
          <w:sz w:val="13"/>
          <w:szCs w:val="13"/>
          <w:color w:val="000000"/>
        </w:rPr>
        <w:t>AFG’s Board of Directors or its Committees discuss with its Co-CEOs and other senior management members, including directly with the Chief</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Administrative Officer and Chief Human Resources Officer, a range of human capital management issues, including succession planning and development, compensation, benefits, labor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trends, including recruitment and retention, engagement and employee feedback.</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Investment Portfolio</w:t>
      </w:r>
    </w:p>
    <w:p>
      <w:pPr>
        <w:spacing w:after="0" w:line="211"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color w:val="auto"/>
        </w:rPr>
        <w:t>AFG’s in-house team of investment professionals have followed a consistent strategy over many years and changing economic conditions. Management believes that AFG’s investment expertise has been the driver of strong investment results and effective portfolio risk management over many years.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chart shows the allocation of AFG’s $17.18 billion investment portfolio at December 31, 2025:</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47625</wp:posOffset>
            </wp:positionV>
            <wp:extent cx="4608195" cy="1946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819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 xml:space="preserve">For additional information on AFG’s investments, see </w:t>
      </w:r>
      <w:r>
        <w:rPr>
          <w:rFonts w:ascii="Arial" w:cs="Arial" w:eastAsia="Arial" w:hAnsi="Arial"/>
          <w:sz w:val="13"/>
          <w:szCs w:val="13"/>
          <w:i w:val="1"/>
          <w:iCs w:val="1"/>
          <w:color w:val="auto"/>
        </w:rPr>
        <w:t>Note E — “Investments”</w:t>
      </w:r>
      <w:r>
        <w:rPr>
          <w:rFonts w:ascii="Arial" w:cs="Arial" w:eastAsia="Arial" w:hAnsi="Arial"/>
          <w:sz w:val="13"/>
          <w:szCs w:val="13"/>
          <w:color w:val="auto"/>
        </w:rPr>
        <w:t xml:space="preserve"> to the financial statements and </w:t>
      </w:r>
      <w:r>
        <w:rPr>
          <w:rFonts w:ascii="Arial" w:cs="Arial" w:eastAsia="Arial" w:hAnsi="Arial"/>
          <w:sz w:val="13"/>
          <w:szCs w:val="13"/>
          <w:i w:val="1"/>
          <w:iCs w:val="1"/>
          <w:color w:val="auto"/>
        </w:rPr>
        <w:t>Item 7 — Management’s Discussion and Analysis of Financial Condition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Results of Operations — “Investments.</w:t>
      </w:r>
      <w:r>
        <w:rPr>
          <w:rFonts w:ascii="Arial" w:cs="Arial" w:eastAsia="Arial" w:hAnsi="Arial"/>
          <w:sz w:val="13"/>
          <w:szCs w:val="13"/>
          <w:color w:val="auto"/>
        </w:rPr>
        <w:t>” AFG’s earned yield (investment income divided by average invested assets) on fixed maturities was 5.1% for 2025, 5.0% for 2024 and 4.7% for 2023.</w:t>
      </w:r>
    </w:p>
    <w:p>
      <w:pPr>
        <w:spacing w:after="0" w:line="15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table below compares the total return, which includes changes in fair value, on AFG’s fixed maturities to a comparable public index. While there is no directly comparable index to AFG’s portfolio, shown below is a widely used benchmark in the financial services industry.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color w:val="auto"/>
              </w:rPr>
              <w:t>2023</w:t>
            </w:r>
          </w:p>
        </w:tc>
      </w:tr>
      <w:tr>
        <w:trPr>
          <w:trHeight w:val="16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return on AFG’s fixed maturities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7"/>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Bloomberg U.S. Universal Bond Index</w:t>
            </w:r>
          </w:p>
        </w:tc>
        <w:tc>
          <w:tcPr>
            <w:tcW w:w="4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AFG’s available for sale fixed maturity investments by S&amp;P or comparable rating as of December 31, 2025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color w:val="auto"/>
              </w:rPr>
              <w:t>Fair Value</w:t>
            </w:r>
          </w:p>
        </w:tc>
        <w:tc>
          <w:tcPr>
            <w:tcW w:w="860" w:type="dxa"/>
            <w:vAlign w:val="bottom"/>
            <w:tcBorders>
              <w:bottom w:val="single" w:sz="8" w:color="auto"/>
            </w:tcBorders>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color w:val="auto"/>
              </w:rPr>
              <w:t>Amortized Cost, net (*)</w:t>
            </w:r>
          </w:p>
        </w:tc>
        <w:tc>
          <w:tcPr>
            <w:tcW w:w="24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1"/>
                <w:szCs w:val="11"/>
                <w:color w:val="auto"/>
              </w:rPr>
              <w:t>Amount</w:t>
            </w:r>
          </w:p>
        </w:tc>
        <w:tc>
          <w:tcPr>
            <w:tcW w:w="860" w:type="dxa"/>
            <w:vAlign w:val="bottom"/>
          </w:tcPr>
          <w:p>
            <w:pPr>
              <w:jc w:val="right"/>
              <w:ind w:right="537"/>
              <w:spacing w:after="0"/>
              <w:rPr>
                <w:sz w:val="20"/>
                <w:szCs w:val="20"/>
                <w:color w:val="auto"/>
              </w:rPr>
            </w:pPr>
            <w:r>
              <w:rPr>
                <w:rFonts w:ascii="Arial" w:cs="Arial" w:eastAsia="Arial" w:hAnsi="Arial"/>
                <w:sz w:val="11"/>
                <w:szCs w:val="11"/>
                <w:color w:val="auto"/>
              </w:rPr>
              <w:t>%</w:t>
            </w:r>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6"/>
              </w:rPr>
              <w:t>S&amp;P or comparable rating</w:t>
            </w:r>
          </w:p>
        </w:tc>
        <w:tc>
          <w:tcPr>
            <w:tcW w:w="59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AAA, AA, A</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8,251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8,177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1"/>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BBB</w:t>
            </w: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59"/>
        </w:trPr>
        <w:tc>
          <w:tcPr>
            <w:tcW w:w="20" w:type="dxa"/>
            <w:vAlign w:val="bottom"/>
            <w:tcBorders>
              <w:bottom w:val="single" w:sz="8" w:color="CCEEFF"/>
            </w:tcBorders>
          </w:tcPr>
          <w:p>
            <w:pPr>
              <w:spacing w:after="0"/>
              <w:rPr>
                <w:sz w:val="13"/>
                <w:szCs w:val="13"/>
                <w:color w:val="auto"/>
              </w:rPr>
            </w:pPr>
          </w:p>
        </w:tc>
        <w:tc>
          <w:tcPr>
            <w:tcW w:w="7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investment grade</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10,671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r>
      <w:tr>
        <w:trPr>
          <w:trHeight w:val="162"/>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B</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CCC, CC, C</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D</w:t>
            </w:r>
          </w:p>
        </w:tc>
        <w:tc>
          <w:tcPr>
            <w:tcW w:w="4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74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non-investment grade</w:t>
            </w:r>
          </w:p>
        </w:tc>
        <w:tc>
          <w:tcPr>
            <w:tcW w:w="4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Not rated</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11,052</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Amortized cost, net of allowance for expected credit losses.</w:t>
      </w:r>
    </w:p>
    <w:p>
      <w:pPr>
        <w:spacing w:after="0" w:line="201"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At December 31, 2025, 97% (based on statutory carrying value of $10.78 billion) of AFG’s fixed maturity investments held by its insurance companies had a National Association of Insurance Commissioners (“NAIC”) designation of 1 or 2 (the highest of the six designations) based not only on the probability of loss but also on the severity of loss.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Regulation</w:t>
      </w:r>
    </w:p>
    <w:p>
      <w:pPr>
        <w:spacing w:after="0" w:line="21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AFG’s insurance company subsidiaries are subject to U.S. and international regulation in the jurisdictions where they do business. In general, the insurance laws of the various jurisdictions establish regulatory agencies with broad administrative powers governing, among other things, premium rates, solvency standards, licensing of insurers, agents and brokers, trade practices, forms of policies, maintenance of specified reserves and capital for the protection of policyholders, deposits of securities for the benefit of policyholders, investment activities and relationships between insurance subsidiaries and their parents and affiliates. Such regulatory agencies perform periodic examinations of the insurance subsidiaries’ financial condition and their practices in the marketplace. In addition, various transactions between insurance subsidiaries and their parents and affiliates must receive prior approval of the applicable insurance regulatory authorities and be disclosed.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U.S. Regulation</w:t>
      </w:r>
    </w:p>
    <w:p>
      <w:pPr>
        <w:spacing w:after="0" w:line="19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color w:val="00274E"/>
        </w:rPr>
        <w:t xml:space="preserve">Holding Company Statutes </w:t>
      </w:r>
      <w:r>
        <w:rPr>
          <w:rFonts w:ascii="Arial" w:cs="Arial" w:eastAsia="Arial" w:hAnsi="Arial"/>
          <w:sz w:val="13"/>
          <w:szCs w:val="13"/>
          <w:color w:val="000000"/>
        </w:rPr>
        <w:t>AFG is subject to state statutes governing insurance holding company systems. Typically, those statutes require that AFG periodically file information with</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appropriate state insurance commissioner, including information concerning capital structure, ownership, financial condition, dividend payments and other certain transactions with affiliates and general business operations.</w:t>
      </w:r>
    </w:p>
    <w:p>
      <w:pPr>
        <w:spacing w:after="0" w:line="15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b w:val="1"/>
          <w:bCs w:val="1"/>
          <w:color w:val="00274E"/>
        </w:rPr>
        <w:t xml:space="preserve">Risk Based Capital Requirements </w:t>
      </w:r>
      <w:r>
        <w:rPr>
          <w:rFonts w:ascii="Arial" w:cs="Arial" w:eastAsia="Arial" w:hAnsi="Arial"/>
          <w:sz w:val="13"/>
          <w:szCs w:val="13"/>
          <w:color w:val="000000"/>
        </w:rPr>
        <w:t>The NAIC and state insurance departments use a risk-based capital (“RBC”) formula that is designed to measure the adequacy of an insurer’s</w:t>
      </w:r>
      <w:r>
        <w:rPr>
          <w:rFonts w:ascii="Arial" w:cs="Arial" w:eastAsia="Arial" w:hAnsi="Arial"/>
          <w:sz w:val="16"/>
          <w:szCs w:val="16"/>
          <w:b w:val="1"/>
          <w:bCs w:val="1"/>
          <w:color w:val="00274E"/>
        </w:rPr>
        <w:t xml:space="preserve"> </w:t>
      </w:r>
      <w:r>
        <w:rPr>
          <w:rFonts w:ascii="Arial" w:cs="Arial" w:eastAsia="Arial" w:hAnsi="Arial"/>
          <w:sz w:val="13"/>
          <w:szCs w:val="13"/>
          <w:color w:val="000000"/>
        </w:rPr>
        <w:t>statutory surplus in relation to the risks inherent in its business. The RBC formula develops risk adjusted target levels of adjusted statutory capital by applying certain factors to various asset, premium and reserve items. The insurance company’s state of domicile imposes RBC requirements.</w:t>
      </w:r>
    </w:p>
    <w:p>
      <w:pPr>
        <w:spacing w:after="0" w:line="16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00274E"/>
        </w:rPr>
        <w:t xml:space="preserve">Statutory Accounting Principles </w:t>
      </w:r>
      <w:r>
        <w:rPr>
          <w:rFonts w:ascii="Arial" w:cs="Arial" w:eastAsia="Arial" w:hAnsi="Arial"/>
          <w:sz w:val="13"/>
          <w:szCs w:val="13"/>
          <w:color w:val="000000"/>
        </w:rPr>
        <w:t>Each U.S. insurance subsidiary is required to file detailed quarterly and annual reports, including financial statements, in accordance with</w:t>
      </w:r>
      <w:r>
        <w:rPr>
          <w:rFonts w:ascii="Arial" w:cs="Arial" w:eastAsia="Arial" w:hAnsi="Arial"/>
          <w:sz w:val="16"/>
          <w:szCs w:val="16"/>
          <w:b w:val="1"/>
          <w:bCs w:val="1"/>
          <w:color w:val="00274E"/>
        </w:rPr>
        <w:t xml:space="preserve"> </w:t>
      </w:r>
      <w:r>
        <w:rPr>
          <w:rFonts w:ascii="Arial" w:cs="Arial" w:eastAsia="Arial" w:hAnsi="Arial"/>
          <w:sz w:val="13"/>
          <w:szCs w:val="13"/>
          <w:color w:val="000000"/>
        </w:rPr>
        <w:t>prescribed statutory accounting rules, with regulatory officials in the jurisdictions in which they conduct business. The quarterly and annual financial reports filed with the state insurance departments utilize statutory accounting principles (“SAP”) that are different from U.S. GAAP. In developing SAP, insurance regulators were primarily concerned with monitoring the solvency of insurance companies to assure an insurer’s ability to pay all its current and future obligations to policyholders.</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00274E"/>
        </w:rPr>
        <w:t xml:space="preserve">Cybersecurity Regulations </w:t>
      </w:r>
      <w:r>
        <w:rPr>
          <w:rFonts w:ascii="Arial" w:cs="Arial" w:eastAsia="Arial" w:hAnsi="Arial"/>
          <w:sz w:val="13"/>
          <w:szCs w:val="13"/>
          <w:color w:val="000000"/>
        </w:rPr>
        <w:t>Numerous states have enacted laws that require certain regulated entities to implement and maintain comprehensive information security programs to</w:t>
      </w:r>
      <w:r>
        <w:rPr>
          <w:rFonts w:ascii="Arial" w:cs="Arial" w:eastAsia="Arial" w:hAnsi="Arial"/>
          <w:sz w:val="16"/>
          <w:szCs w:val="16"/>
          <w:b w:val="1"/>
          <w:bCs w:val="1"/>
          <w:color w:val="00274E"/>
        </w:rPr>
        <w:t xml:space="preserve"> </w:t>
      </w:r>
      <w:r>
        <w:rPr>
          <w:rFonts w:ascii="Arial" w:cs="Arial" w:eastAsia="Arial" w:hAnsi="Arial"/>
          <w:sz w:val="13"/>
          <w:szCs w:val="13"/>
          <w:color w:val="000000"/>
        </w:rPr>
        <w:t>safeguard the personal information of insureds. For example, the New York State Department of Financial Services (“NYDFS”) cybersecurity regulation requires banks, insurance companies and other financial services institutions regulated by the NYDFS to establish and maintain a cybersecurity program “designed to protect consumers and ensure the safety and soundness of New York State’s financial services industry.” The NAIC adopted an Insurance Data Security Model Law which, when adopted by the states, requires licensed insurance entities to comply with detailed information security requirements. To date, the Insurance Data Security Model Law has been enacted by a number of states, including Ohio, where several of AFG’s insurance subsidiaries are domiciled.</w:t>
      </w:r>
    </w:p>
    <w:p>
      <w:pPr>
        <w:spacing w:after="0" w:line="168"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Certain states are developing or have developed regulations related to privacy and data security. For example, the California Consumer Privacy Act of 2018, as amended by the California Privacy Rights Act, broadly regulates the collection, processing and disclosure of California residents’ personal information, imposes limits on the “sale” and “sharing” of personal information and grants California residents certain rights to, among other things, access and delete data about them in certain circumstances.</w:t>
      </w:r>
    </w:p>
    <w:p>
      <w:pPr>
        <w:spacing w:after="0" w:line="15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b w:val="1"/>
          <w:bCs w:val="1"/>
          <w:color w:val="00274E"/>
        </w:rPr>
        <w:t xml:space="preserve">Own Risk and Solvency Assessment </w:t>
      </w:r>
      <w:r>
        <w:rPr>
          <w:rFonts w:ascii="Arial" w:cs="Arial" w:eastAsia="Arial" w:hAnsi="Arial"/>
          <w:sz w:val="13"/>
          <w:szCs w:val="13"/>
          <w:color w:val="000000"/>
        </w:rPr>
        <w:t>AFG must submit an Own Risk and Solvency Assessment Summary Report (“ORSA”) at least annually to its lead state insurance regulator.</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ORSA, which is a component of an insurer’s enterprise risk management framework, is a confidential internal assessment of the material and relevant risks associated with an insurer’s current business plan and the sufficiency of capital resources to support those risks.</w:t>
      </w:r>
    </w:p>
    <w:p>
      <w:pPr>
        <w:spacing w:after="0" w:line="153" w:lineRule="exact"/>
        <w:rPr>
          <w:sz w:val="20"/>
          <w:szCs w:val="20"/>
          <w:color w:val="auto"/>
        </w:rPr>
      </w:pPr>
    </w:p>
    <w:p>
      <w:pPr>
        <w:jc w:val="both"/>
        <w:ind w:right="460"/>
        <w:spacing w:after="0" w:line="247" w:lineRule="auto"/>
        <w:rPr>
          <w:sz w:val="20"/>
          <w:szCs w:val="20"/>
          <w:color w:val="auto"/>
        </w:rPr>
      </w:pPr>
      <w:r>
        <w:rPr>
          <w:rFonts w:ascii="Arial" w:cs="Arial" w:eastAsia="Arial" w:hAnsi="Arial"/>
          <w:sz w:val="16"/>
          <w:szCs w:val="16"/>
          <w:b w:val="1"/>
          <w:bCs w:val="1"/>
          <w:color w:val="00274E"/>
        </w:rPr>
        <w:t xml:space="preserve">Dividends </w:t>
      </w:r>
      <w:r>
        <w:rPr>
          <w:rFonts w:ascii="Arial" w:cs="Arial" w:eastAsia="Arial" w:hAnsi="Arial"/>
          <w:sz w:val="13"/>
          <w:szCs w:val="13"/>
          <w:color w:val="000000"/>
        </w:rPr>
        <w:t>The laws of the domiciliary states of AFG’s U.S. insurance subsidiaries govern the amount of dividends that may be paid to its shareholders in any twelve-month period,</w:t>
      </w:r>
      <w:r>
        <w:rPr>
          <w:rFonts w:ascii="Arial" w:cs="Arial" w:eastAsia="Arial" w:hAnsi="Arial"/>
          <w:sz w:val="16"/>
          <w:szCs w:val="16"/>
          <w:b w:val="1"/>
          <w:bCs w:val="1"/>
          <w:color w:val="00274E"/>
        </w:rPr>
        <w:t xml:space="preserve"> </w:t>
      </w:r>
      <w:r>
        <w:rPr>
          <w:rFonts w:ascii="Arial" w:cs="Arial" w:eastAsia="Arial" w:hAnsi="Arial"/>
          <w:sz w:val="13"/>
          <w:szCs w:val="13"/>
          <w:color w:val="000000"/>
        </w:rPr>
        <w:t>generally based on net earnings or statutory surplus. Under applicable restrictions, the maximum amount of dividends available to AFG in 2026 from its insurance subsidiaries without seeking prior regulatory approval is approximately $1.08 billion.</w:t>
      </w:r>
    </w:p>
    <w:p>
      <w:pPr>
        <w:spacing w:after="0" w:line="168" w:lineRule="exact"/>
        <w:rPr>
          <w:sz w:val="20"/>
          <w:szCs w:val="20"/>
          <w:color w:val="auto"/>
        </w:rPr>
      </w:pPr>
    </w:p>
    <w:p>
      <w:pPr>
        <w:ind w:right="320"/>
        <w:spacing w:after="0"/>
        <w:rPr>
          <w:sz w:val="20"/>
          <w:szCs w:val="20"/>
          <w:color w:val="auto"/>
        </w:rPr>
      </w:pPr>
      <w:r>
        <w:rPr>
          <w:rFonts w:ascii="Arial" w:cs="Arial" w:eastAsia="Arial" w:hAnsi="Arial"/>
          <w:sz w:val="16"/>
          <w:szCs w:val="16"/>
          <w:b w:val="1"/>
          <w:bCs w:val="1"/>
          <w:color w:val="00274E"/>
        </w:rPr>
        <w:t xml:space="preserve">Investment Regulation </w:t>
      </w:r>
      <w:r>
        <w:rPr>
          <w:rFonts w:ascii="Arial" w:cs="Arial" w:eastAsia="Arial" w:hAnsi="Arial"/>
          <w:sz w:val="13"/>
          <w:szCs w:val="13"/>
          <w:color w:val="000000"/>
        </w:rPr>
        <w:t>Investments must comply with applicable laws and regulations that prescribe the kind, quality and concentration of investments. In general, these laws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regulations permit investments in federal, state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municipal obligations, corporate bonds, preferred and common equity securities, mortgage loans, real estate and certain other investments, subject to specified limits and certain other qualifications.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Federal Regulation</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Although the federal government and its regulatory agencies generally do not directly regulate the business of insurance, federal legislation and administrative rules adopted apply to AFG’s business. For instance, privacy laws, such as the Gramm-Leach-Bliley Act and the Fair Credit Reporting Act, affect AFG’s day-to-day operations. AFG is also subject to other federal laws, such as the Terrorism Risk Insurance Act, the Nonadmitted and Reinsurance Reform Act, the U.S. Foreign Corrupt Practices Act and the rules and regulations of the Office of Foreign Assets Control.</w:t>
      </w:r>
    </w:p>
    <w:p>
      <w:pPr>
        <w:spacing w:after="0" w:line="328"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The Dodd-Frank Wall Street Reform and Consumer Protection Act of 2010 (“Dodd-Frank”), contains insurance industry-specific provisions, including establishment of the Federal Insurance Office (“FIO”) and streamlining the regulation and taxation of surplus lines insurance and reinsurance among the states. The FIO, part of the U.S. Department of the Treasury, has limited authority and no direct regulatory authority over the business of insurance. The FIO’s principal mandates include monitoring the insurance industry, monitoring the extent to which traditionally underserved communities and consumers have access to affordable non-health insurance products, collecting insurance industry information and data and representing the U.S. with international insurance regulators.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International Regulation</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3"/>
          <w:szCs w:val="13"/>
          <w:color w:val="auto"/>
        </w:rPr>
        <w:t>AFG operates in limited foreign jurisdictions where its operations are subject to regulation and supervision of the various jurisdictions. These regulations, which vary depending on the jurisdiction, include, among others, solvency and market conduct regulations, including Solvency II; anti-corruption and anti-terrorist financing guidelines, laws and regulations; various privacy, insurance, tax, tariff, trade and sanctions laws and regulations, including the EU and UK General Data Protection Regulation (“GDPR”); and corporate, employment, intellectual property and investment laws and regulations. AFG has foreign insurance company subsidiaries domiciled in the United Kingdom, Ireland, Mexico, Bermuda, and the Cayman Islands and branch operations in Canada and Singapore, all of which are subject to regulation by the insurance regulator of such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1A. Risk Factors</w:t>
      </w:r>
    </w:p>
    <w:p>
      <w:pPr>
        <w:spacing w:after="0" w:line="210" w:lineRule="exact"/>
        <w:rPr>
          <w:sz w:val="20"/>
          <w:szCs w:val="20"/>
          <w:color w:val="auto"/>
        </w:rPr>
      </w:pPr>
    </w:p>
    <w:p>
      <w:pPr>
        <w:ind w:right="160"/>
        <w:spacing w:after="0" w:line="269" w:lineRule="auto"/>
        <w:rPr>
          <w:sz w:val="20"/>
          <w:szCs w:val="20"/>
          <w:color w:val="auto"/>
        </w:rPr>
      </w:pPr>
      <w:r>
        <w:rPr>
          <w:rFonts w:ascii="Arial" w:cs="Arial" w:eastAsia="Arial" w:hAnsi="Arial"/>
          <w:sz w:val="13"/>
          <w:szCs w:val="13"/>
          <w:color w:val="auto"/>
        </w:rPr>
        <w:t xml:space="preserve">In addition to the other information set forth in this report, particularly information under </w:t>
      </w:r>
      <w:r>
        <w:rPr>
          <w:rFonts w:ascii="Arial" w:cs="Arial" w:eastAsia="Arial" w:hAnsi="Arial"/>
          <w:sz w:val="13"/>
          <w:szCs w:val="13"/>
          <w:i w:val="1"/>
          <w:iCs w:val="1"/>
          <w:color w:val="auto"/>
        </w:rPr>
        <w:t>“Forward-Looking Statements”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“Management’s Discussion and Analysis of Financial Condition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Results of Operations,” </w:t>
      </w:r>
      <w:r>
        <w:rPr>
          <w:rFonts w:ascii="Arial" w:cs="Arial" w:eastAsia="Arial" w:hAnsi="Arial"/>
          <w:sz w:val="13"/>
          <w:szCs w:val="13"/>
          <w:color w:val="auto"/>
        </w:rPr>
        <w:t>the following are the material factors affecting AFG’s business. Any one of these factors, or multiple factors in combination, could cause AFG’s actual results to</w:t>
      </w:r>
      <w:r>
        <w:rPr>
          <w:rFonts w:ascii="Arial" w:cs="Arial" w:eastAsia="Arial" w:hAnsi="Arial"/>
          <w:sz w:val="13"/>
          <w:szCs w:val="13"/>
          <w:i w:val="1"/>
          <w:iCs w:val="1"/>
          <w:color w:val="auto"/>
        </w:rPr>
        <w:t xml:space="preserve"> </w:t>
      </w:r>
      <w:r>
        <w:rPr>
          <w:rFonts w:ascii="Arial" w:cs="Arial" w:eastAsia="Arial" w:hAnsi="Arial"/>
          <w:sz w:val="13"/>
          <w:szCs w:val="13"/>
          <w:color w:val="auto"/>
        </w:rPr>
        <w:t>vary materially from recent results or from anticipated future results. Additional risks and uncertainties not currently known to AFG or that AFG currently deems to be immaterial also may materially adversely affect AFG’s business,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AFG’S INSURANCE OPERATIONS, DISTRIBUTION AND PRODUCTS</w:t>
      </w:r>
    </w:p>
    <w:p>
      <w:pPr>
        <w:spacing w:after="0" w:line="83" w:lineRule="exact"/>
        <w:rPr>
          <w:sz w:val="20"/>
          <w:szCs w:val="20"/>
          <w:color w:val="auto"/>
        </w:rPr>
      </w:pPr>
    </w:p>
    <w:p>
      <w:pPr>
        <w:ind w:right="540"/>
        <w:spacing w:after="0" w:line="271" w:lineRule="auto"/>
        <w:rPr>
          <w:sz w:val="20"/>
          <w:szCs w:val="20"/>
          <w:color w:val="auto"/>
        </w:rPr>
      </w:pPr>
      <w:r>
        <w:rPr>
          <w:rFonts w:ascii="Arial" w:cs="Arial" w:eastAsia="Arial" w:hAnsi="Arial"/>
          <w:sz w:val="16"/>
          <w:szCs w:val="16"/>
          <w:b w:val="1"/>
          <w:bCs w:val="1"/>
          <w:color w:val="auto"/>
        </w:rPr>
        <w:t>AFG’s results of operations could be adversely impacted by catastrophes, both natural and man-made, pandemics, severe weather conditions or climate change.</w:t>
      </w:r>
    </w:p>
    <w:p>
      <w:pPr>
        <w:ind w:right="160"/>
        <w:spacing w:after="0" w:line="276" w:lineRule="auto"/>
        <w:rPr>
          <w:sz w:val="20"/>
          <w:szCs w:val="20"/>
          <w:color w:val="auto"/>
        </w:rPr>
      </w:pPr>
      <w:r>
        <w:rPr>
          <w:rFonts w:ascii="Arial" w:cs="Arial" w:eastAsia="Arial" w:hAnsi="Arial"/>
          <w:sz w:val="13"/>
          <w:szCs w:val="13"/>
          <w:color w:val="auto"/>
        </w:rPr>
        <w:t>Catastrophes can be caused by unpredictable natural events such as hurricanes, windstorms, severe storms, tornadoes, floods, hailstorms, earthquakes, explosions and fire, and by other events, such as war, terrorist attacks and civil unrest, as well as pandemics and other similar outbreaks in many parts of the world. These events may have a material adverse effect on AFG’s workforce and business operations as well as the workforce and operations of AFG’s customers, business partners and independent agents.</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extent of gross losses for AFG’s insurance operations from a catastrophe event is a function of both the total amount of insured exposure in the area affected by the event and the severity of the event. In addition, certain catastrophes could result in both property and non-property claims from the same event. AFG purchases traditional catastrophe reinsurance and has issued a fully collateralized catastrophe bond to mitigate the impact of catastrophe losses. Traditional reinsurance is subject to the adequacy and counterparty reinsurance risks described below under “The inability to obtain reinsurance or to collect on ceded reinsurance could adversely affect AFG’s results of operations.” A severe catastrophe or a series of catastrophes could result in losses exceeding AFG’s reinsurance protection and may have a material adverse impact on its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color w:val="auto"/>
        </w:rPr>
        <w:t>Changing weather patterns, whether as a result of global climate change caused by human activities or otherwise, have added to the unpredictability, frequency and severity of weather-related catastrophes and other losses, such as wildfires, storms or flooding, incurred by the industry in recent years. Changing weather patterns also make it more difficult for AFG to predict and model catastrophic events, reducing AFG’s ability to accurately price its exposure to such events and mitigate its risks. In addition, claims for catastrophic events, or an unusual frequency of smaller losses in a particular period, such as from lower severity convective storms, could expose AFG to large losses, cause substantial volatility in its results of operations and could have a material adverse effect on its ability to renew business or write new business if AFG is not able to adequately assess and reserve for the increased frequency and severity of catastrophes resulting from these environmental factors. In addition, any increase in the frequency or severity of catastrophic events may result in losses exceeding AFG’s reinsurance protection or may result in substantial volatility in or materially impact AFG’s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in crop prices or yields, as a result of weather conditions or other events, could adversely impact AFG’s results of operations.</w:t>
      </w:r>
    </w:p>
    <w:p>
      <w:pPr>
        <w:spacing w:after="0" w:line="41" w:lineRule="exact"/>
        <w:rPr>
          <w:sz w:val="20"/>
          <w:szCs w:val="20"/>
          <w:color w:val="auto"/>
        </w:rPr>
      </w:pPr>
    </w:p>
    <w:p>
      <w:pPr>
        <w:ind w:right="100"/>
        <w:spacing w:after="0" w:line="265" w:lineRule="auto"/>
        <w:rPr>
          <w:sz w:val="20"/>
          <w:szCs w:val="20"/>
          <w:color w:val="auto"/>
        </w:rPr>
      </w:pPr>
      <w:r>
        <w:rPr>
          <w:rFonts w:ascii="Arial" w:cs="Arial" w:eastAsia="Arial" w:hAnsi="Arial"/>
          <w:sz w:val="13"/>
          <w:szCs w:val="13"/>
          <w:color w:val="auto"/>
        </w:rPr>
        <w:t>Weather conditions, including too much moisture (flooding or excessive rain), not enough moisture (droughts), and the level of crop yields and prices in the commodities market heavily impact AFG’s crop insurance business. These factors are inherently unpredictable and could result in significant volatility in the results of the crop insurance business from one year to the next. AFG’s crop results could also be negatively impacted by pests and plant disease. In addition, government policies, action, or regulation, whether by the United States or foreign governments, could directly or indirectly impact commodity prices. A large decline in the commodity prices of one or more of the major crops that AFG insures could have a material adverse effect on AFG’s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results of operations and revenues may fluctuate as a result of many factors, including cyclical changes in the insurance industry.</w:t>
      </w:r>
    </w:p>
    <w:p>
      <w:pPr>
        <w:spacing w:after="0" w:line="4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results of operations of companies in the property and casualty insurance industry historically have been subject to fluctuations and uncertainties from many factors, including competitive pressures, rising loss costs and changes in the level of reinsurance pricing and capacity, among others. Such factors often cause cyclical changes in the insurance industry with effects that are not uniform among product lines. The demand for property and casualty insurance, both admitted and excess and surplus lines, can vary significantly, rising as the overall level of economic activity increases and falling as that activity decreases, causing AFG’s revenues to fluctuate. As a result, AFG’s premium levels, renewal rates, expense ratio and other items could be materially adversely impacted. These factors could produce results that would have a negative impact on AFG’s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success will depend on its ability to maintain and enhance effective operating procedures and manage risks on an enterprise-wide basis.</w:t>
      </w:r>
    </w:p>
    <w:p>
      <w:pPr>
        <w:spacing w:after="0" w:line="51"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Operational risk and losses can result from, among other things, fraud, errors, failure to document transactions properly, failure to obtain proper internal authorization, failure to comply with regulatory requirements, information technology failures or other internal or external events, whether experienced by AFG or its business partners. AFG continues to enhance its operating procedures and internal controls to effectively support its business and its regulatory and reporting requirements. The NAIC and state legislatures have increased their focus on risks within an insurer’s holding company system that may pose enterprise risk to insurers. AFG must submit an Own Risk and Solvency Assessment Summary Report (“ORSA”) at least annually to its lead state insurance regulator. The ORSA is a confidential internal assessment of the material and relevant risks associated with an insurer’s current business plan and the sufficiency of capital resources to support those risks.</w:t>
      </w:r>
    </w:p>
    <w:p>
      <w:pPr>
        <w:spacing w:after="0" w:line="159"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AFG operates within an enterprise risk management (“ERM”) framework designed to assess and monitor risks. However, AFG cannot assure that it will effectively identify, review and monitor all risks, that all its employees will operate within the ERM framework or that its ERM framework will result in the Company accurately identifying all risks and accurately limiting its exposures based on its assessments. Any ineffectiveness in AFG’s controls or procedures or failure to manage these risks may have an adverse effect on AFG’s results of operations and financial condition.</w:t>
      </w:r>
    </w:p>
    <w:p>
      <w:pPr>
        <w:spacing w:after="0" w:line="326"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b w:val="1"/>
          <w:bCs w:val="1"/>
          <w:color w:val="auto"/>
        </w:rPr>
        <w:t>AFG could face unanticipated losses from war, terrorism, political unrest and geopolitical uncertainty which could have a material adverse effect on AFG’s financial condition and results of operations.</w:t>
      </w:r>
    </w:p>
    <w:p>
      <w:pPr>
        <w:ind w:right="20"/>
        <w:spacing w:after="0" w:line="269" w:lineRule="auto"/>
        <w:rPr>
          <w:sz w:val="20"/>
          <w:szCs w:val="20"/>
          <w:color w:val="auto"/>
        </w:rPr>
      </w:pPr>
      <w:r>
        <w:rPr>
          <w:rFonts w:ascii="Arial" w:cs="Arial" w:eastAsia="Arial" w:hAnsi="Arial"/>
          <w:sz w:val="13"/>
          <w:szCs w:val="13"/>
          <w:color w:val="auto"/>
        </w:rPr>
        <w:t>AFG has substantial exposure to unexpected losses resulting from war, acts of terrorism, political unrest and geopolitical instability in many regions of the world. Private sector catastrophe reinsurance is limited and generally unavailable for terrorism losses caused by attacks with nuclear, biological, chemical or radiological weapons. In December 2019, the President of the United States signed the Terrorism Risk Insurance Program Reauthorization Act of 2019 (“TRIP"), extending the program through December 31, 2027. Although TRIP provides benefits in the event of certain acts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terrorism, those benefits are subject to a deductible and to other limitations, which could ultimately leave AFG subject to material adverse financial impacts. AFG cannot predict or eliminate its exposure to events of war, terrorism, political unrest or geopolitical uncertainty, and to the extent that losses from such events occur, AFG’s financial condition and results of operations could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international operations expose it to investment, political and economic risks, including foreign currency and credit risk.</w:t>
      </w:r>
    </w:p>
    <w:p>
      <w:pPr>
        <w:spacing w:after="0" w:line="41" w:lineRule="exact"/>
        <w:rPr>
          <w:sz w:val="20"/>
          <w:szCs w:val="20"/>
          <w:color w:val="auto"/>
        </w:rPr>
      </w:pPr>
    </w:p>
    <w:p>
      <w:pPr>
        <w:jc w:val="both"/>
        <w:ind w:right="80"/>
        <w:spacing w:after="0" w:line="284" w:lineRule="auto"/>
        <w:rPr>
          <w:sz w:val="20"/>
          <w:szCs w:val="20"/>
          <w:color w:val="auto"/>
        </w:rPr>
      </w:pPr>
      <w:r>
        <w:rPr>
          <w:rFonts w:ascii="Arial" w:cs="Arial" w:eastAsia="Arial" w:hAnsi="Arial"/>
          <w:sz w:val="13"/>
          <w:szCs w:val="13"/>
          <w:color w:val="auto"/>
        </w:rPr>
        <w:t>AFG’s international operations expose AFG to additional risks including restrictions such as price controls, capital controls, currency exchange limits, ownership limits and other restrictive or anti-competitive governmental actions or requirements, which could have an adverse effect on AFG’s business and reputation. AFG’s business activities outside the United States may also be subject to political and economic risks, including foreign currency and credit risk.</w:t>
      </w:r>
    </w:p>
    <w:p>
      <w:pPr>
        <w:spacing w:after="0" w:line="148"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AFG’s business activities outside the United States subject AFG to additional domestic and foreign laws and regulations, including the Foreign Corrupt Practices Act, the UK Bribery Act and similar laws in other countries that prohibit the making of improper payments to foreign officials. Although AFG has policies and controls in place that are designed to ensure compliance with these laws, if those controls are ineffective and an employee or intermediary fails to comply with applicable laws and regulations, AFG could suffer civil and criminal penalties and AFG’s business and reputation could be adversely affected. Some countries have laws and regulations that lack clarity and, even with local expertise and effective controls, it can be difficult to determine the exact requirements of, and potential liability for non-compliance under, the local laws. Failure to comply with local laws in a particular market may result in substantial liability and could have a significant and negative effect not only on AFG’s business in that market but also on AFG’s reputation generally.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THE INSURANCE INDUSTRY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could adversely affect AFG’s results of operations.</w:t>
      </w:r>
    </w:p>
    <w:p>
      <w:pPr>
        <w:spacing w:after="0" w:line="51"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The property and casualty insurance segment operates in a highly competitive industry that is affected by many factors that can cause significant fluctuations in its results of operations. The lines of business in this segment compete with other individual insurers, state funds and insurance groups of varying sizes, some of which are mutual insurance companies possessing competitive advantages in that all their profits inure to their policyholders. The property and casualty insurance segment also competes with self-insurance plans, captive programs and risk retention groups. In addition, certain foreign insurers may be taxed at lower rates, which may result in a competitive advantage over AFG.</w:t>
      </w:r>
    </w:p>
    <w:p>
      <w:pPr>
        <w:spacing w:after="0" w:line="157" w:lineRule="exact"/>
        <w:rPr>
          <w:sz w:val="20"/>
          <w:szCs w:val="20"/>
          <w:color w:val="auto"/>
        </w:rPr>
      </w:pPr>
    </w:p>
    <w:p>
      <w:pPr>
        <w:ind w:right="140"/>
        <w:spacing w:after="0" w:line="275" w:lineRule="auto"/>
        <w:rPr>
          <w:sz w:val="20"/>
          <w:szCs w:val="20"/>
          <w:color w:val="auto"/>
        </w:rPr>
      </w:pPr>
      <w:r>
        <w:rPr>
          <w:rFonts w:ascii="Arial" w:cs="Arial" w:eastAsia="Arial" w:hAnsi="Arial"/>
          <w:sz w:val="13"/>
          <w:szCs w:val="13"/>
          <w:color w:val="auto"/>
        </w:rPr>
        <w:t>In recent years, various types of investors have increasingly sought to participate in the property and casualty insurance industry. Well-capitalized new entrants to the property and casualty insurance industry, or existing competitors that receive substantial infusions of capital or access to third-party capital, provide increasing competition, which may adversely impact AFG’s business and profitability. Further, technology companies or other third parties have created, and may in the future create, technology-enabled business models, processes, platforms or alternate distribution channels that may adversely impact AFG’s competitive position in some parts of its business.</w:t>
      </w:r>
    </w:p>
    <w:p>
      <w:pPr>
        <w:spacing w:after="0" w:line="153" w:lineRule="exact"/>
        <w:rPr>
          <w:sz w:val="20"/>
          <w:szCs w:val="20"/>
          <w:color w:val="auto"/>
        </w:rPr>
      </w:pPr>
    </w:p>
    <w:p>
      <w:pPr>
        <w:ind w:right="120"/>
        <w:spacing w:after="0" w:line="267" w:lineRule="auto"/>
        <w:rPr>
          <w:sz w:val="20"/>
          <w:szCs w:val="20"/>
          <w:color w:val="auto"/>
        </w:rPr>
      </w:pPr>
      <w:r>
        <w:rPr>
          <w:rFonts w:ascii="Arial" w:cs="Arial" w:eastAsia="Arial" w:hAnsi="Arial"/>
          <w:sz w:val="13"/>
          <w:szCs w:val="13"/>
          <w:color w:val="auto"/>
        </w:rPr>
        <w:t>Competition is based on many factors, including service to policyholders and agents, product design, reputation for claims handling, price, commissions, ratings and financial strength. The property and casualty market has experienced periods characterized by increased competition, resulting in less restrictive underwriting standards and relatively low premium rates, followed by periods of relatively lower levels of competition, more selective underwriting standards and relatively high premium rates. During periods in which price competition is high or industry underwriting standards have loosened or degraded, AFG may lose business to competitors offering competitive insurance products at lower prices or more favorable terms. Some of AFG’s competitors have more capital and greater resources than AFG and may offer a broader range of products, lower prices or better terms than AFG offers. If competition limits AFG’s ability to write new or renewal business at adequate rates, its results of operations will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revenues could be adversely affected if it is not able to attract and retain independent agents.</w:t>
      </w:r>
    </w:p>
    <w:p>
      <w:pPr>
        <w:spacing w:after="0" w:line="5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AFG’s reliance on the independent agency market makes it vulnerable to a reduction in the amount of business written by agents. Many of AFG’s competitors also rely significantly on the independent agency market. Some of AFG’s competitors offer a wider variety of products or higher commissions. AFG also faces credit risk with respect to its independent agents, as they may not pay all the premiums owed to AFG and it may be difficult or impossible to recover such amounts. A reduction in the number of independent agencies marketing AFG’s products, the failure of agencies to successfully market AFG’s products, disruption to relationships with agencies, changes in the strategy or operations of agencies (including through agency consolidation or the financing of agencies by private equity or other capital providers), the inability of AFG to collect amounts owed by agencies or the choice of agencies to reduce their writings of AFG products could adversely affect AFG’s revenues and profitability.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ESTIMATES, ASSUMPTIONS AND VALUATIONS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property and casualty reserves may be inadequate, which could have a material adverse effect on AFG’s results of operations.</w:t>
      </w:r>
    </w:p>
    <w:p>
      <w:pPr>
        <w:spacing w:after="0" w:line="5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Liabilities for unpaid losses and loss adjustment expenses (“LAE”) do not represent an exact calculation of liability but instead represent management estimates of what the ultimate settlement and administration of claims will cost, supported by actuarial expertise and projection techniques, at a given accounting date. The process of estimating unpaid losses and LAE reserves involves a high degree of judgment and is subject to numerous internal and external factors. Variability is introduced by numerous factors, such as changes in claims handling procedures, the impact of general and wage inflation (including impacts on medical costs and property and transportation vehicle parts and values) on loss cost trends, increasing litigation and erosion of causation and coverage defenses for insurance claims, legislative actions, evolving mass tort issues and varying judgments and viewpoints of the individuals involved in the estimation process, among others. The impact of many of these items on ultimate costs for unpaid losses and LAE is inherently uncertain and difficult to estimate. Unpaid losses and LAE reserve estimation difficulties also differ significantly by product line due to differences in claim complexity, the volume of claims, the potential severity of individual claims, the determination of an occurrence date for a claim and lags in the time between damage, loss or injury and when a claim is actually reported to the insurer. In addition, the historic development of AFG’s liability for unpaid losses and LAE may not necessarily reflect future trends in the development of these amounts. To the extent that reserves are inadequate and are strengthened, AFG’s profitability would be adversely affected because the amount of any such increase would be treated as a charge to earnings in the period in which the deficiency is recognized.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AFG uses analytical models to assist in its underwriting, reserving and reinsurance purchasing decision-making, and actual results may differ materially from the model outputs and related analyses.</w:t>
      </w:r>
    </w:p>
    <w:p>
      <w:pPr>
        <w:ind w:right="100"/>
        <w:spacing w:after="0" w:line="263" w:lineRule="auto"/>
        <w:rPr>
          <w:sz w:val="20"/>
          <w:szCs w:val="20"/>
          <w:color w:val="auto"/>
        </w:rPr>
      </w:pPr>
      <w:r>
        <w:rPr>
          <w:rFonts w:ascii="Arial" w:cs="Arial" w:eastAsia="Arial" w:hAnsi="Arial"/>
          <w:sz w:val="13"/>
          <w:szCs w:val="13"/>
          <w:color w:val="auto"/>
        </w:rPr>
        <w:t>AFG uses various modeling techniques and data analytics to analyze and estimate exposures, loss trends and other risks associated with its assets and liabilities. AFG uses the modeled outputs and related analyses to assist in decision-making in areas such as underwriting, claims, reserving, reinsurance and catastrophe risk. The modeled outputs and related analyses are subject to various assumptions, uncertainties, model errors and the inherent limitations of any statistical analysis, including the use of historical internal and industry data. In addition, the modeled outputs and related analyses may from time to time contain inaccuracies, perhaps in material respects, including as a result of inaccurate inputs or applications thereof. Consequently, actual results may differ materially from AFG’s modeled results. AFG may also utilize artificial intelligence or machine learning technologies (“AI”) to assist with modeled outputs and related analyses, the results of which may be unintentionally deficient, arbitrary, inaccurate or misleading. If, based upon these models or other factors, AFG underestimates the frequency and/or severity of loss events or overestimates the risks it is exposed to, new business growth and retention of AFG’s existing business may be adversely affected which could have an adverse effect on AFG’s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 may be exposed to significant risks due to its use or its business partners’ use of AI.</w:t>
      </w:r>
    </w:p>
    <w:p>
      <w:pPr>
        <w:spacing w:after="0" w:line="51"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AFG uses, and may increasingly rely on, AI technologies in its business operations and may utilize AI in connection with its products and services. AI systems may not perform as intended, may produce flawed, inaccurate, biased, incomplete or otherwise unreliable outputs or analytics, or may be implemented or monitored ineffectively. These issues could cause AFG to write business it would not have otherwise written, misprice policies, assume unintended risks, overpay claims or otherwise experience operational disruptions or financial losses. AFG may incur operational, technological, security, reputational, legal and regulatory risks related to its use of AI. Among other causes, these risks may arise from the misuse or inadvertent disclosure of personal data or sensitive or confidential information; AI-related ethical considerations; vulnerabilities that increase exposure to cyber incidents; failures or limitations in oversight, governance or controls relating to AI systems; or potential intellectual property, contractual or other legal issues associated with AI use. AFG’s business partners, independent agents or other third parties may also develop or utilize AI in their own operations. If such systems fail, malfunction or are improperly designed or monitored, AFG’s operations could be disrupted or there could be direct or indirect adverse impacts to the Company, including to its relationships and reputation.</w:t>
      </w:r>
    </w:p>
    <w:p>
      <w:pPr>
        <w:spacing w:after="0" w:line="164" w:lineRule="exact"/>
        <w:rPr>
          <w:sz w:val="20"/>
          <w:szCs w:val="20"/>
          <w:color w:val="auto"/>
        </w:rPr>
      </w:pPr>
    </w:p>
    <w:p>
      <w:pPr>
        <w:ind w:right="120"/>
        <w:spacing w:after="0" w:line="314" w:lineRule="auto"/>
        <w:rPr>
          <w:sz w:val="20"/>
          <w:szCs w:val="20"/>
          <w:color w:val="auto"/>
        </w:rPr>
      </w:pPr>
      <w:r>
        <w:rPr>
          <w:rFonts w:ascii="Arial" w:cs="Arial" w:eastAsia="Arial" w:hAnsi="Arial"/>
          <w:sz w:val="13"/>
          <w:szCs w:val="13"/>
          <w:color w:val="auto"/>
        </w:rPr>
        <w:t>AFG’s existing competitors, new market entrants, technology companies or other third parties may adopt or integrate AI into their business, products and services more rapidly or effectively than AFG, which could make the Company less competitive and negatively impact its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Any of these risks or other, unanticipated AI-related risks could materially adversely affect AFG’s business, financial condition or results of operation.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to mass tort claims could materially adversely affect AFG’s results of operations and financial condition.</w:t>
      </w:r>
    </w:p>
    <w:p>
      <w:pPr>
        <w:spacing w:after="0" w:line="5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AFG has current exposures and may in the future have additional exposures arising from its insurance operations and former railroad and manufacturing operations, including those relating to asbestos and environmental matters (“A&amp;E”), as well as other potentially harmful products or substances, such as per- and polyfluoroalkyl substances (“PFAS”), talc and opioids, or cumulative trauma (e.g., concussion/abuse). Establishing A&amp;E liabilities is subject to uncertainties that are significantly greater than those presented by other types of liabilities. Uncertainties include the long delays between exposure and manifestation of any bodily injury or property damage, difficulty in identifying the source of the asbestos or environmental contamination, long reporting delays, the risks inherent in complex litigation and difficulty in properly allocating liability for the asbestos or environmental damage. As a result, A&amp;E liabilities are subject to revision as new information becomes available and as claims are made and develop. Claimants continue to assert new and novel theories of recovery and make efforts to expand the right to sue, judicial interpretations continue to evolve, and from time to time, there may be unfavorable changes to state and federal legislation regarding mass tort claim liability and claims administration. In addition, third party funding of litigation has continued to grow, which may increase the number of claims and result in higher jury awards and settlements. If AFG has not established adequate reserves to cover future claims, AFG’s results of operations and financial condition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RELATING TO ECONOMIC, POLITICAL AND GLOBAL MARKET CONDITIONS</w:t>
      </w:r>
    </w:p>
    <w:p>
      <w:pPr>
        <w:spacing w:after="0" w:line="8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color w:val="auto"/>
        </w:rPr>
        <w:t>AFG’s investment portfolio is subject to market risk, including changes in interest rates, which could have a material adverse effect on AFG’s results of operations and financial condition.</w:t>
      </w:r>
    </w:p>
    <w:p>
      <w:pPr>
        <w:ind w:right="460"/>
        <w:spacing w:after="0" w:line="297" w:lineRule="auto"/>
        <w:rPr>
          <w:sz w:val="20"/>
          <w:szCs w:val="20"/>
          <w:color w:val="auto"/>
        </w:rPr>
      </w:pPr>
      <w:r>
        <w:rPr>
          <w:rFonts w:ascii="Arial" w:cs="Arial" w:eastAsia="Arial" w:hAnsi="Arial"/>
          <w:sz w:val="13"/>
          <w:szCs w:val="13"/>
          <w:color w:val="auto"/>
        </w:rPr>
        <w:t>Investment returns are an important part of AFG’s profitability. AFG’s investments are subject to market-wide risks and fluctuations, including in the fixed maturity and equity securities markets, which could impair its profitability, financial condition and cash flows.</w:t>
      </w:r>
    </w:p>
    <w:p>
      <w:pPr>
        <w:spacing w:after="0" w:line="139"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AFG’s investment portfolio is highly concentrated in fixed maturity investments that are sensitive to changes in interest rates. Changes in interest rates may materially adversely affect the performance of some of AFG’s investments, including by materially reducing the fair value of and net investment income from fixed maturities and increasing unrealized losses in AFG’s investment portfolio. AFG’s fixed maturity portfolio is also subject to credit risk as certain investments may default or become impaired due to deterioration in the financial condition of issuers of those investments. In addition to the risks applicable to the entire fixed maturity investment portfolio, changes in interest rates can expose AFG to prepayment risks on its mortgage-backed securities. In periods of declining interest rates, mortgage prepayments generally increase and mortgage-backed securities are paid down more quickly, which may require AFG to reinvest the proceeds at lower interest rates.</w:t>
      </w:r>
    </w:p>
    <w:p>
      <w:pPr>
        <w:spacing w:after="0" w:line="157"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auto"/>
        </w:rPr>
        <w:t>General economic, financial market and political conditions and conditions in the markets in which AFG operates may materially adversely affect its investment portfolio, results of operations, financial condition and stock price.</w:t>
      </w:r>
    </w:p>
    <w:p>
      <w:pPr>
        <w:spacing w:after="0" w:line="267" w:lineRule="auto"/>
        <w:rPr>
          <w:sz w:val="20"/>
          <w:szCs w:val="20"/>
          <w:color w:val="auto"/>
        </w:rPr>
      </w:pPr>
      <w:r>
        <w:rPr>
          <w:rFonts w:ascii="Arial" w:cs="Arial" w:eastAsia="Arial" w:hAnsi="Arial"/>
          <w:sz w:val="13"/>
          <w:szCs w:val="13"/>
          <w:color w:val="auto"/>
        </w:rPr>
        <w:t>General economic, financial market and political conditions and conditions in the markets in which AFG operates could have a material adverse effect on its results of operations and financial condition. Limited availability of credit, deteriorations of the domestic or global equity, debt, mortgage and real estate markets; declines in consumer confidence and consumer spending; increases in prices or in the rate of inflation; periods of high unemployment, labor supply shortages or low labor force participation; lower business investment; persistently low, rapidly increasing or volatile interest rates; disruptive actions or policies by the U.S. or foreign governments; disruptive geopolitical events and other events outside of AFG’s control, such as a major epidemic or another pandemic, could contribute to increased volatility and diminished expectations for the economy and the financial markets, including the value of AFG’s investment portfolio and the market for its stock.</w:t>
      </w:r>
    </w:p>
    <w:p>
      <w:pPr>
        <w:spacing w:after="0" w:line="157"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b w:val="1"/>
          <w:bCs w:val="1"/>
          <w:color w:val="auto"/>
        </w:rPr>
        <w:t>AFG’s alternative investments may be illiquid and volatile in terms of value and returns, which could negatively affect AFG’s investment income and liquidity.</w:t>
      </w:r>
    </w:p>
    <w:p>
      <w:pPr>
        <w:ind w:right="60"/>
        <w:spacing w:after="0" w:line="269" w:lineRule="auto"/>
        <w:rPr>
          <w:sz w:val="20"/>
          <w:szCs w:val="20"/>
          <w:color w:val="auto"/>
        </w:rPr>
      </w:pPr>
      <w:r>
        <w:rPr>
          <w:rFonts w:ascii="Arial" w:cs="Arial" w:eastAsia="Arial" w:hAnsi="Arial"/>
          <w:sz w:val="13"/>
          <w:szCs w:val="13"/>
          <w:color w:val="auto"/>
        </w:rPr>
        <w:t>AFG has invested, and intends to continue to invest in, alternative investments, such as limited partnerships and subordinate tranches of collateralized loan obligations, for which changes in value are reported in net earnings. These and other similar investments may have different, more significant risk characteristics than investments in fixed maturity securities, lack quoted prices, may be subject to changing tax laws and regulatory oversight, may be more volatile and may be illiquid due to restrictions on sales, transfers and redemption terms, all of which could negatively affect AFG’s investment income and overall portfolio liquidity.</w:t>
      </w:r>
    </w:p>
    <w:p>
      <w:pPr>
        <w:spacing w:after="0" w:line="157" w:lineRule="exact"/>
        <w:rPr>
          <w:sz w:val="20"/>
          <w:szCs w:val="20"/>
          <w:color w:val="auto"/>
        </w:rPr>
      </w:pPr>
    </w:p>
    <w:p>
      <w:pPr>
        <w:ind w:right="20"/>
        <w:spacing w:after="0" w:line="314" w:lineRule="auto"/>
        <w:rPr>
          <w:sz w:val="20"/>
          <w:szCs w:val="20"/>
          <w:color w:val="auto"/>
        </w:rPr>
      </w:pPr>
      <w:r>
        <w:rPr>
          <w:rFonts w:ascii="Arial" w:cs="Arial" w:eastAsia="Arial" w:hAnsi="Arial"/>
          <w:sz w:val="13"/>
          <w:szCs w:val="13"/>
          <w:color w:val="auto"/>
        </w:rPr>
        <w:t>AFG has also invested, and intends to continue to invest in, limited partnerships and other entities that AFG does not control. AFG does not have management or operational control over the investees, which may limit AFG’s ability to take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actions that could protect or increase the value of the investment. In addition, these investments may be illiquid due to contractual provisions, and AFG may be unable to obtain liquidity through distributions from these investments in a timely manner or on favorable terms.</w:t>
      </w:r>
    </w:p>
    <w:p>
      <w:pPr>
        <w:spacing w:after="0" w:line="139" w:lineRule="exact"/>
        <w:rPr>
          <w:sz w:val="20"/>
          <w:szCs w:val="20"/>
          <w:color w:val="auto"/>
        </w:rPr>
      </w:pPr>
    </w:p>
    <w:p>
      <w:pPr>
        <w:ind w:right="420"/>
        <w:spacing w:after="0" w:line="314" w:lineRule="auto"/>
        <w:rPr>
          <w:sz w:val="20"/>
          <w:szCs w:val="20"/>
          <w:color w:val="auto"/>
        </w:rPr>
      </w:pPr>
      <w:r>
        <w:rPr>
          <w:rFonts w:ascii="Arial" w:cs="Arial" w:eastAsia="Arial" w:hAnsi="Arial"/>
          <w:sz w:val="13"/>
          <w:szCs w:val="13"/>
          <w:color w:val="auto"/>
        </w:rPr>
        <w:t>Alternative or “other” investments may not meet regulatory admissibility requirements or may result in increased regulatory capital charges to the insurance subsidiaries that hold these investments, which could limit those subsidiaries’ ability to pay dividends and negatively impact AFG’s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access to capital may be limited or may not be available on favorable terms.</w:t>
      </w:r>
    </w:p>
    <w:p>
      <w:pPr>
        <w:spacing w:after="0" w:line="41"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AFG’s future capital requirements depend on many factors, including rating agency and regulatory requirements, the performance of the investment portfolio, the ability to write new business successfully and the ability to establish premium rates and loss reserves at levels sufficient to cover losses. Financial markets in the U.S. and elsewhere can experience extreme volatility, which exerts downward pressure on stock prices and limits access to the equity and debt markets for certain issuers, including AFG. While AFG can borrow up to $450 million under its revolving credit facility, AFG’s access to funds through its credit facility is dependent on the ability of its banks to meet their funding commitments. There were no borrowings outstanding under the credit facility or any other parent company short-term borrowing arrangements during 2025. If AFG cannot obtain adequate capital or sources of credit on favorable terms, or at all, its business, operating results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RELATED TO TECHNOLOGY, DATA SECURITY AND PRIVACY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AFG or third parties may experience difficulties with technology or data security, which could have an adverse effect on AFG’s business or reputation.</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AFG uses computer systems and services, which may include or utilize AI applications, to store, retrieve, evaluate and utilize company and customer data and information. Systems failures or outages could compromise AFG’s ability to perform business functions in a timely manner, which could harm its ability to conduct business and hurt its relationships with business partners and customers. In the event of a disaster such as a natural catastrophe, an industrial accident, a blackout, a malicious software attack, a terrorist attack or war, AFG’s systems may be inaccessible to employees, customers or business partners for an extended period of time. Even if AFG’s employees are able to report to work, they may be unable to perform their duties for an extended period of time if AFG’s data or systems are disabled or destroyed.</w:t>
      </w:r>
    </w:p>
    <w:p>
      <w:pPr>
        <w:spacing w:after="0" w:line="156"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Businesses in the United States and in other countries have increasingly become the targets of “cyber-attacks,” “ransomware,” “phishing,” “hacking,” “social engineering” or similar illegal or unauthorized intrusions into computer systems and networks. Such events are often highly publicized, can result in significant disruptions to information technology systems and the theft of significant amounts of information as well as funds from online financial accounts, and can cause negative publicity and extensive damage to the reputation of the targeted business, in addition to leading to significant expenses associated with investigation, remediation, customer protection measures and potential litigation. The sophistication of cybersecurity threats, including through the use of AI, continues to increase and proliferate, increasing and intensifying the potential risks. Like others in the insurance industry, AFG experiences cyber-attacks and other attempts to gain unauthorized access to its systems on a regular basis and anticipates continuing to be subject to such attempts. AFG’s administrative and technical controls as well as other preventative actions used to reduce the risk of cyber incidents and protect AFG’s information may be insufficient to detect or prevent future unauthorized access, other physical and electronic break-ins, cyber-attacks or other security breaches to AFG’s computer systems or those of third parties with whom AFG does business. Third parties with which AFG conducts business have also experienced, and may experience in the future, similar illegal or unauthorized intrusions into their computer systems and networks, which could adversely affect AFG’s ability to conduct business, its results of operations and reputation, in addition to exposing it to legal liability or regulatory action.</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AFG has outsourced certain technology and business process functions to third parties over which it has no control and may continue to do so in the future. Outsourcing of certain technology and business process functions to third parties may expose AFG to increased risk related to data security or service disruptions. If AFG does not effectively develop, implement and monitor these relationships, third-party providers do not perform as anticipated, technological or other problems are incurred, or outsourcing relationships relevant to AFG’s business process functions are terminated or interrupted, AFG may not realize expected productivity improvements or cost efficiencies and may experience operational difficulties, increased costs and a loss of business.</w:t>
      </w:r>
    </w:p>
    <w:p>
      <w:pPr>
        <w:spacing w:after="0" w:line="320"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The increased risks identified above could expose AFG to data loss, disruption of service, monetary and reputational damages, competitive disadvantage and significant increases in compliance costs and costs to improve the security and resiliency of AFG’s computer systems. The compromise of personal, confidential or proprietary information could also subject AFG to legal liability or regulatory action under evolving cyber-security, data protection and privacy laws and regulations enacted by the U.S. federal and state governments, Canada, the EU or other jurisdictions or by various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regulatory organizations or exchanges. As a result, AFG’s ability to conduct business and its results of operations might be materially and adversely affected.</w:t>
      </w:r>
    </w:p>
    <w:p>
      <w:pPr>
        <w:spacing w:after="0" w:line="19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b w:val="1"/>
          <w:bCs w:val="1"/>
          <w:color w:val="auto"/>
        </w:rPr>
        <w:t>Any failure to appropriately collect, administer and protect consumer information could adversely affect AFG’s reputation, subject AFG to fines, claims and penalties, and have a material adverse effect on AFG’s business, financial condition and results of operations.</w:t>
      </w:r>
    </w:p>
    <w:p>
      <w:pPr>
        <w:spacing w:after="0" w:line="264" w:lineRule="auto"/>
        <w:rPr>
          <w:sz w:val="20"/>
          <w:szCs w:val="20"/>
          <w:color w:val="auto"/>
        </w:rPr>
      </w:pPr>
      <w:r>
        <w:rPr>
          <w:rFonts w:ascii="Arial" w:cs="Arial" w:eastAsia="Arial" w:hAnsi="Arial"/>
          <w:sz w:val="13"/>
          <w:szCs w:val="13"/>
          <w:color w:val="auto"/>
        </w:rPr>
        <w:t>AFG and its business partners collect and store sensitive data in the ordinary course of AFG’s and their business, including personally identifiable information of our and their employees and customers, business partners, investors and other third parties and may include health information (collectively, “confidential information”). Laws and regulations in this area are evolving at an international, national and state level and are generally becoming more rigorous, including through the adoption of more stringent subject matter-specific laws, such as the California Consumer Privacy Act of 2018 (as amended by the California Privacy Rights Act of 2020), the New York Department of Financial Services’ Cybersecurity Regulation and Ohio’s insurance data security law, which regulate the collection and use of data and security and data breach obligations. The use of AI by AFG or its business partners may also result in potential breaches of existing or future laws or regulations related to privacy or data security. If any disruption or security breach suffered by AFG or its business partners results in a loss or damage to AFG’s data, or inappropriate disclosure of AFG’s confidential information or that of others — whether by AFG or its business partners — it could damage AFG’s reputation, affect its relationships with customers, clients, business partners and regulators, lead to claims against AFG, result in regulatory action and harm AFG’s business. In addition, AFG may be required to incur significant costs to mitigate the damage caused by any security breach or to protect against future damage.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RISKS RELATED TO FINANCIAL STRENGTH, CREDIT AND COUNTERPARTIES</w:t>
      </w:r>
    </w:p>
    <w:p>
      <w:pPr>
        <w:spacing w:after="0" w:line="83" w:lineRule="exact"/>
        <w:rPr>
          <w:sz w:val="20"/>
          <w:szCs w:val="20"/>
          <w:color w:val="auto"/>
        </w:rPr>
      </w:pPr>
    </w:p>
    <w:p>
      <w:pPr>
        <w:ind w:right="720"/>
        <w:spacing w:after="0" w:line="271" w:lineRule="auto"/>
        <w:rPr>
          <w:sz w:val="20"/>
          <w:szCs w:val="20"/>
          <w:color w:val="auto"/>
        </w:rPr>
      </w:pPr>
      <w:r>
        <w:rPr>
          <w:rFonts w:ascii="Arial" w:cs="Arial" w:eastAsia="Arial" w:hAnsi="Arial"/>
          <w:sz w:val="16"/>
          <w:szCs w:val="16"/>
          <w:b w:val="1"/>
          <w:bCs w:val="1"/>
          <w:color w:val="auto"/>
        </w:rPr>
        <w:t>A downgrade or potential downgrade in AFG’s financial strength and/or credit ratings by one or more rating agencies could adversely affect its business, financial condition, results of operations and/or cash flows.</w:t>
      </w:r>
    </w:p>
    <w:p>
      <w:pPr>
        <w:ind w:right="60"/>
        <w:spacing w:after="0" w:line="284" w:lineRule="auto"/>
        <w:rPr>
          <w:sz w:val="20"/>
          <w:szCs w:val="20"/>
          <w:color w:val="auto"/>
        </w:rPr>
      </w:pPr>
      <w:r>
        <w:rPr>
          <w:rFonts w:ascii="Arial" w:cs="Arial" w:eastAsia="Arial" w:hAnsi="Arial"/>
          <w:sz w:val="13"/>
          <w:szCs w:val="13"/>
          <w:color w:val="auto"/>
        </w:rPr>
        <w:t>Financial strength ratings are an important factor in establishing the competitive position of insurance companies and may have an effect on an insurance company’s sales. A downgrade out of the “A” category in AFG’s insurance subsidiaries’ claims-paying and financial strength ratings could significantly reduce AFG’s business volumes in certain lines of business, adversely impact AFG’s ability to access the capital markets and increase AFG’s borrowing costs.</w:t>
      </w:r>
    </w:p>
    <w:p>
      <w:pPr>
        <w:spacing w:after="0" w:line="148"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In addition to the financial strength ratings of AFG’s principal insurance company subsidiaries, various rating agencies also publish credit ratings for AFG. Credit ratings are indicators of a debt issuer’s ability to meet the terms of debt obligations in a timely manner, are part of AFG’s overall financial profile and affect AFG’s ability to access and the associated cost of certain types of capital. A downgrade in AFG’s credit ratings could have a material adverse effect on AFG’s financial condition and results of operations and cash flows in a number of ways, including adversely limiting access to capital markets, potentially increasing the cost of debt or increasing borrowing costs under AFG’s current revolving credit facility, and subjecting AFG to more restrictive debt and revolving credit facility terms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inability to obtain reinsurance or to collect on ceded reinsurance could adversely affect AFG’s results of operations.</w:t>
      </w:r>
    </w:p>
    <w:p>
      <w:pPr>
        <w:spacing w:after="0" w:line="51" w:lineRule="exact"/>
        <w:rPr>
          <w:sz w:val="20"/>
          <w:szCs w:val="20"/>
          <w:color w:val="auto"/>
        </w:rPr>
      </w:pPr>
    </w:p>
    <w:p>
      <w:pPr>
        <w:ind w:right="100"/>
        <w:spacing w:after="0" w:line="263" w:lineRule="auto"/>
        <w:rPr>
          <w:sz w:val="20"/>
          <w:szCs w:val="20"/>
          <w:color w:val="auto"/>
        </w:rPr>
      </w:pPr>
      <w:r>
        <w:rPr>
          <w:rFonts w:ascii="Arial" w:cs="Arial" w:eastAsia="Arial" w:hAnsi="Arial"/>
          <w:sz w:val="13"/>
          <w:szCs w:val="13"/>
          <w:color w:val="auto"/>
        </w:rPr>
        <w:t>AFG purchases reinsurance to limit the amount of risk it retains. Market conditions determine the availability and cost of the reinsurance protection AFG purchases, which affects the level of AFG’s business and profitability, as well as the level and types of risk AFG retains. If AFG is unable to obtain sufficient reinsurance at a cost AFG deems acceptable, AFG may opt to reduce the volume of its underwriting. AFG is also subject to credit risk with respect to its reinsurers, as AFG will remain liable to its insureds regardless of whether a reinsurer is able to meet its obligations under agreements covering the reinsurance ceded. As of December 31, 2025, AFG has $5.53 billion of recoverables from reinsurers on its balance sheet. The collectability of recoverables from reinsurers is subject to uncertainty arising from a number of factors, including a reinsurers’ financial capacity and willingness to make payments under the terms of a reinsurance treaty or contract and changes in market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REGULATORY AND LEGAL RISKS</w:t>
      </w:r>
    </w:p>
    <w:p>
      <w:pPr>
        <w:spacing w:after="0" w:line="8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auto"/>
        </w:rPr>
        <w:t>AFG may suffer losses from litigation, including from effects of emerging claim and coverage issues, which could materially and adversely affect AFG’s financial condition and business operations.</w:t>
      </w:r>
    </w:p>
    <w:p>
      <w:pPr>
        <w:spacing w:after="0" w:line="297" w:lineRule="auto"/>
        <w:rPr>
          <w:sz w:val="20"/>
          <w:szCs w:val="20"/>
          <w:color w:val="auto"/>
        </w:rPr>
      </w:pPr>
      <w:r>
        <w:rPr>
          <w:rFonts w:ascii="Arial" w:cs="Arial" w:eastAsia="Arial" w:hAnsi="Arial"/>
          <w:sz w:val="13"/>
          <w:szCs w:val="13"/>
          <w:color w:val="auto"/>
        </w:rPr>
        <w:t>AFG is involved in routine legal proceedings incidental to its insurance operations and litigation related to asbestos and environmental claims from its historical operations. Litigation by nature is unpredictable, and the outcome of any case is uncertain and could result in liabilities that vary from the amounts AFG has currently recorded. Pervasive or significant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changes in the judicial environment relating to matters such as trends in the size of jury awards, developments in the law relating to the liability of insurers or tort defendants, and rulings concerning the availability or amount of certain types of damages could cause AFG’s ultimate liabilities to change from current expectations. As industry practices and legal, judicial, legislative, social and other environmental conditions change, unexpected and unintended exposures related to claims and coverage may emerge. These exposures may adversely affect AFG’s business, including by extending coverage beyond contractual terms or underwriting intent, extending or eliminating statutes of limitation, or by increasing the number, size or types of claims as a result of, among other things, plaintiffs targeting property and casualty insurers in purported class action litigation relating to claims-handling and other practices; increased claims or exposures due to third party funding of litigation; and social inflation and legal system abuse influencing trends like more frequent claims, judgments that are unfavorable for insurers and an increase in “nuclear verdicts” leading to higher judgments and settlements. Changes in the federal or state tort environments or laws could have a similar effect. It is not possible to predict changes in the judicial and legislative environment, including in connection with asbestos and environmental claims. In addition, potential exposure to losses related to emerging exposures such as PFAS, whether through AFG’s insurance operations or its former railroad and manufacturing operations, are inherently difficult to forecast or estimate, as many factors could influence potential liability for any such losses. These factors may include developments in PFAS-related litigation, including the establishment or expansion of theories of causation and liability; new or enhanced rules, regulations and enforcement actions by the U.S. federal government and its agencies, including the Environmental Protection Agency, as well as state governments and agencies; and medical or research findings pertaining to actual or potential harm or illness to human health resulting from PFAS. New technology, including AI, could also create unforeseen exposures or coverage issues under policies written by AFG, as well as increase and aggravate claims fraud and cybercrime. AFG’s business, financial condition, results of operations and liquidity could also be adversely affected if judicial, legislative or other developments cause AFG’s ultimate liabilities to increase from current expectations.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 is subject to comprehensive regulation, and its ability to earn profits may be restricted by these regulations.</w:t>
      </w:r>
    </w:p>
    <w:p>
      <w:pPr>
        <w:spacing w:after="0" w:line="41"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is subject to comprehensive regulation by government agencies in the states and countries where its insurance company subsidiaries are domiciled and where these subsidiaries issue policies and handle claims. Most insurance regulations are designed to protect the interests of AFG’s policyholders and third-party claimants as opposed to its investors.</w:t>
      </w:r>
    </w:p>
    <w:p>
      <w:pPr>
        <w:spacing w:after="0" w:line="150"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While the federal government’s role in regulating insurance companies is currently limited, the Dodd-Frank Act established a Federal Insurance Office within the U.S. Department of Treasury to collect data on the insurance industry, recommend changes to the state system of insurance regulation and preempt certain state insurance laws. The potential impact on AFG remains unclear, but the implementation of any federal insurance regulations that constrain AFG’s business opportunities or reduce investment flexibility could change the competitive landscape of the financial services sector or the insurance industry, make it more expensive for AFG to conduct its business and otherwise have a material adverse effect on AFG’s financial condition and results of operations.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Company may be subject to increasing regulation imposing mandatory disclosure of sustainability and climate-related data in the United States and foreign jurisdictions. Compliance with such requirements may require significant effort and resources. AFG is subject to complex and changing laws, regulation and public policy debates relating to climate change that are difficult to predict and quantify and may have an adverse impact on its business. Changes in regulations relating to climate change may result in an increase in the cost of doing business or a decrease in premiums in certain lines of business.</w:t>
      </w:r>
    </w:p>
    <w:p>
      <w:pPr>
        <w:spacing w:after="0" w:line="157"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As a participant in the federal crop insurance program, AFG could also be impacted by regulatory, executive and legislative actions or changes that directly or indirectly affect that program. For example, the reinsurance levels that the federal government provides to authorized carriers could be reduced by future legislation. AFG will continue to monitor new and changing federal regulations and the potential impact, if any, on its insurance company subsidiaries.</w:t>
      </w:r>
    </w:p>
    <w:p>
      <w:pPr>
        <w:spacing w:after="0" w:line="148"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Both state and federal regulators in the U.S., as well as regulators in the EU and other foreign jurisdictions, have enacted and will continue to evaluate and assess potential laws and regulations relating to companies’ use of AI, and enact new and expanding bases of liability for businesses utilizing AI. Such laws and regulations may limit or prevent AFG’s development and use of AI applications, create potential legal and compliance issues or eliminate or restrict the confidentiality of AFG’s proprietary technology, which could adversely affect the Company, including by reducing the utility of AFG’s products, increasing its costs and exposing the Company to litigation or other liabilities.</w:t>
      </w:r>
    </w:p>
    <w:p>
      <w:pPr>
        <w:spacing w:after="0" w:line="168"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Existing insurance-related laws and regulations may become more restrictive in the future or new restrictive laws may be enacted; it is not possible to predict the potential effects of these laws and regulations. The costs of compliance or the failure to comply with existing or future regulations could impose significant burdens on AFG.</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 holding company, AFG is dependent on the operations of its insurance company subsidiaries to meet its obligations and pay future dividends.</w:t>
      </w:r>
    </w:p>
    <w:p>
      <w:pPr>
        <w:spacing w:after="0" w:line="51"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AFG is a holding company and a legal entity separate and distinct from its insurance company subsidiaries. As a holding company without significant operations of its own, AFG’s principal sources of funds are dividends and other distributions from its insurance company subsidiaries. State insurance laws differ from state to state but may, absent advance regulatory approval, restrict the maximum amount of dividends that may be paid by an insurer to its shareholders in any twelve-month period. AFG’s rights to participate in any distribution of assets of its insurance company subsidiaries are subject to prior claims of policyholders and creditors (except to the extent that its rights, if any, as a creditor are recognized). Consequently, AFG’s ability to pay its debts, expenses and dividends to its shareholders may be limited.</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Statutory capital requirements set by the NAIC and the various state insurance regulatory bodies establish regulations that provide minimum capitalization requirements based on risk-based capital (“RBC”) ratios for insurance companies. Statutory surplus and RBC ratios may change in a given year based on a number of factors, including statutory earnings/losses, reserve changes, excess capital held to support growth, equity market and interest rate changes, the value of investment securities and changes to the RBC formulas. Increases in the amount of capital or reserves that AFG’s larger insurance subsidiaries are required to hold could reduce the amount of future dividends such subsidiaries are able to distribute to the holding company or require capital contributions. Any reduction in the RBC ratios of AFG’s insurance subsidiaries could also adversely affect their financial strength ratings as determined by rating agencies. A downgrade or change in the measurement of the insurance subsidiaries’ financial strength ratings could adversely impact their business and limit their ability to make dividends or other distributions to AFG, which could materially adversely affect AFG’s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 could be adversely impacted by changes to the U.S. Federal income tax laws.</w:t>
      </w:r>
    </w:p>
    <w:p>
      <w:pPr>
        <w:spacing w:after="0" w:line="31" w:lineRule="exact"/>
        <w:rPr>
          <w:sz w:val="20"/>
          <w:szCs w:val="20"/>
          <w:color w:val="auto"/>
        </w:rPr>
      </w:pPr>
    </w:p>
    <w:p>
      <w:pPr>
        <w:ind w:right="140"/>
        <w:spacing w:after="0" w:line="279" w:lineRule="auto"/>
        <w:rPr>
          <w:sz w:val="20"/>
          <w:szCs w:val="20"/>
          <w:color w:val="auto"/>
        </w:rPr>
      </w:pPr>
      <w:r>
        <w:rPr>
          <w:rFonts w:ascii="Arial" w:cs="Arial" w:eastAsia="Arial" w:hAnsi="Arial"/>
          <w:sz w:val="13"/>
          <w:szCs w:val="13"/>
          <w:color w:val="auto"/>
        </w:rPr>
        <w:t>Changes in domestic or foreign tax laws or interpretations of such laws could increase AFG’s corporate taxes and reduce earnings. For example, on August 16, 2022, the U.S. government enacted the Inflation Reduction Act (“IRA”) which, among other changes, created a new corporate alternative minimum tax (“CAMT”) based on adjusted financial statement income. Any changes in federal income tax laws could adversely affect the federal income taxation of AFG’s ongoing operations and have a material adverse impact on its financial condition and results of operations.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rules or changes to existing accounting standards could adversely impact AFG’s reported results of operations.</w:t>
      </w:r>
    </w:p>
    <w:p>
      <w:pPr>
        <w:spacing w:after="0" w:line="51"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As a U.S.-based SEC registrant, AFG prepares its financial statements in accordance with GAAP, as promulgated by the Financial Accounting Standards Board, subject to the accounting-related rules and interpretations of the SEC. New accounting rules or changes in accounting standards, particularly those that specifically apply to insurance company operations, may impact AFG’s reported financial results and could cause increased volatility in reported earnings, result in other adverse impacts on AFG’s ratings and cost of capital, and decrease the understandability of AFG’s financial results as well as the comparability of AFG’s reported results with other insurers.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274E"/>
        </w:rPr>
        <w:t>GENERAL RISK FACTORS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shareholders exercise substantial control over AFG’s affairs, which may impede a change of control transaction.</w:t>
      </w:r>
    </w:p>
    <w:p>
      <w:pPr>
        <w:spacing w:after="0" w:line="4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As of December 31, 2025, Carl H. Lindner III and S. Craig Lindner (each of whom are Co-Chief Executive Officers and Directors of AFG) and members of their respective families, directly or indirectly through trusts or other entities, together with employees of the Company, collectively owned approximately 24% of AFG’s outstanding Common Stock. As a result, the Lindner family and AFG’s employees have the ability to exercise significant influence over AFG and over matters requiring shareholder approval. Such influence could prevent an acquisition of AFG at a price and upon terms that other shareholders may find attractive.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AFG’s business and operations may be negatively impacted by its and its business partners’ failure to recruit and retain key employees.</w:t>
      </w:r>
    </w:p>
    <w:p>
      <w:pPr>
        <w:spacing w:after="0" w:line="41"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The expertise and experience of AFG’s employees is a critical component of the Company’s success. The continuation of such success depends, in large part, on AFG’s ability to attract and retain key individuals. There can be intense competition for qualified candidates in the activities that AFG conducts and in the markets that it serves, both within the insurance industry and from businesses outside the industry. This is particularly acute in certain specialized positions and areas of expertise, such as underwriting, claims, data and analytics and AI and technology-related fields. Competition for employees may increase AFG’s expenses and may result in the company not being able to hire or retain key employees. If AFG is unable to hire qualified candidates or retain its key personnel, AFG may be unable to execute its business strategies and may suffer material adverse consequences to its business, operations and financial condition.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0"/>
        <w:spacing w:after="0" w:line="271" w:lineRule="auto"/>
        <w:rPr>
          <w:sz w:val="20"/>
          <w:szCs w:val="20"/>
          <w:color w:val="auto"/>
        </w:rPr>
      </w:pPr>
      <w:r>
        <w:rPr>
          <w:rFonts w:ascii="Arial" w:cs="Arial" w:eastAsia="Arial" w:hAnsi="Arial"/>
          <w:sz w:val="16"/>
          <w:szCs w:val="16"/>
          <w:b w:val="1"/>
          <w:bCs w:val="1"/>
          <w:color w:val="auto"/>
        </w:rPr>
        <w:t>The price of AFG Common Stock may fluctuate significantly, which may make it difficult for holders to resell Common Stock when they want or at a price they find attractive.</w:t>
      </w:r>
    </w:p>
    <w:p>
      <w:pPr>
        <w:ind w:right="140"/>
        <w:spacing w:after="0" w:line="275" w:lineRule="auto"/>
        <w:rPr>
          <w:sz w:val="20"/>
          <w:szCs w:val="20"/>
          <w:color w:val="auto"/>
        </w:rPr>
      </w:pPr>
      <w:r>
        <w:rPr>
          <w:rFonts w:ascii="Arial" w:cs="Arial" w:eastAsia="Arial" w:hAnsi="Arial"/>
          <w:sz w:val="13"/>
          <w:szCs w:val="13"/>
          <w:color w:val="auto"/>
        </w:rPr>
        <w:t>The price of AFG Common Stock, which is listed on the NYSE, constantly changes. AFG’s Common Stock price could materially fluctuate or decrease in response to a number of events or factors discussed in this section in addition to other events or factors, including quarterly variations in AFG’s operating results; operating and stock price performance of comparable companies; and negative publicity relating to AFG or its competitors. In addition, broad market and industry fluctuations may materially and adversely affect the trading price or volume of AFG Common Stock, regardless of AFG’s business, operating performance or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1B. Unresolved Staff Comments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1C. Cybersecurity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Risk Management and Strategy</w:t>
      </w:r>
    </w:p>
    <w:p>
      <w:pPr>
        <w:spacing w:after="0" w:line="51"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AFG recognizes the importance of assessing, identifying and managing material risks associated with cybersecurity threats as defined by the Securities and Exchange Commission. Like all businesses, AFG is a target for “cyber-attacks,” “ransomware,” “phishing,” “hacking,” “social engineering” and similar illegal or unauthorized intrusions into computer systems and networks. Such events can result in significant disruptions to information technology systems, the theft of information and financial assets and reputational harm. AFG could also incur significant expenses associated with investigating and remediating any such event.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As discussed below, AFG’s enterprise risk management (“ERM”) process considers cybersecurity threat risks alongside other company risks as part of the overall risk assessment process.</w:t>
      </w:r>
    </w:p>
    <w:p>
      <w:pPr>
        <w:spacing w:after="0" w:line="211"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AFG has adopted the National Institute of Standards and Technology (“NIST”) Cybersecurity Framework which provides a comprehensive method for developing a flexible, repeatable, performance-based and cost-effective approach to identifying and managing cybersecurity risks. The Company uses the framework to assess and improve its security posture.</w:t>
      </w:r>
    </w:p>
    <w:p>
      <w:pPr>
        <w:spacing w:after="0" w:line="139" w:lineRule="exact"/>
        <w:rPr>
          <w:sz w:val="20"/>
          <w:szCs w:val="20"/>
          <w:color w:val="auto"/>
        </w:rPr>
      </w:pPr>
    </w:p>
    <w:p>
      <w:pPr>
        <w:ind w:right="320"/>
        <w:spacing w:after="0" w:line="265" w:lineRule="auto"/>
        <w:rPr>
          <w:sz w:val="20"/>
          <w:szCs w:val="20"/>
          <w:color w:val="auto"/>
        </w:rPr>
      </w:pPr>
      <w:r>
        <w:rPr>
          <w:rFonts w:ascii="Arial" w:cs="Arial" w:eastAsia="Arial" w:hAnsi="Arial"/>
          <w:sz w:val="13"/>
          <w:szCs w:val="13"/>
          <w:color w:val="auto"/>
        </w:rPr>
        <w:t>AFG utilizes a variety of techniques to provide for the availability of critical data and systems, maintain regulatory compliance, manage its material risks from cybersecurity threats and to protect against, detect, and respond to cybersecurity incidents including, but not limited to, the following:</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Conducts regular phishing testing of all employees and all members of the Board of Directors;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Utilizes full-desk encryption on all Company laptops and desktops;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Maintains a defense in depth (“DiD”) security control strategy that is tested against high risk threats such as ransomware and other trending attack vectors;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Performs annual security awareness training and other routinely scheduled educational programming for employees;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Validates compliance with internal data security controls through the use of security monitoring utilities and internal and external audits;</w:t>
      </w:r>
    </w:p>
    <w:p>
      <w:pPr>
        <w:spacing w:after="0" w:line="9" w:lineRule="exact"/>
        <w:rPr>
          <w:rFonts w:ascii="Arial" w:cs="Arial" w:eastAsia="Arial" w:hAnsi="Arial"/>
          <w:sz w:val="13"/>
          <w:szCs w:val="13"/>
          <w:color w:val="auto"/>
        </w:rPr>
      </w:pPr>
    </w:p>
    <w:p>
      <w:pPr>
        <w:ind w:left="520" w:right="100" w:hanging="260"/>
        <w:spacing w:after="0" w:line="264"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Performs self-assessments measured against industry-leading cybersecurity frameworks for standards, guidelines and best practices, including the NIST Cybersecurity Framework, which now incorporates assessments of AI-related technologies and processes;</w:t>
      </w:r>
    </w:p>
    <w:p>
      <w:pPr>
        <w:ind w:left="520" w:right="200" w:hanging="260"/>
        <w:spacing w:after="0" w:line="255"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Maintains a Third-Party Risk Management program that includes an overarching approach for evaluating security controls and risks of third-party and cloud vendors, as well as for reviewing contracts to ensure appropriate security provisions are included;</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Regularly scans external websites and internal applications;</w:t>
      </w:r>
    </w:p>
    <w:p>
      <w:pPr>
        <w:spacing w:after="0" w:line="9" w:lineRule="exact"/>
        <w:rPr>
          <w:rFonts w:ascii="Arial" w:cs="Arial" w:eastAsia="Arial" w:hAnsi="Arial"/>
          <w:sz w:val="13"/>
          <w:szCs w:val="13"/>
          <w:color w:val="auto"/>
        </w:rPr>
      </w:pPr>
    </w:p>
    <w:p>
      <w:pPr>
        <w:ind w:left="520" w:right="40" w:hanging="260"/>
        <w:spacing w:after="0" w:line="259"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Engages an external third-party to conduct an annual penetration test consisting of advanced adversarial attacks against company systems and from which findings are investigated, ranked by risk level and tracked through appropriate mediation levels;</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Utilizes user protections including stringent password requirements, two-factor authentication, and timed logoffs;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Conducts regular network and endpoint monitoring;</w:t>
      </w:r>
    </w:p>
    <w:p>
      <w:pPr>
        <w:spacing w:after="0" w:line="9" w:lineRule="exact"/>
        <w:rPr>
          <w:rFonts w:ascii="Arial" w:cs="Arial" w:eastAsia="Arial" w:hAnsi="Arial"/>
          <w:sz w:val="13"/>
          <w:szCs w:val="13"/>
          <w:color w:val="auto"/>
        </w:rPr>
      </w:pPr>
    </w:p>
    <w:p>
      <w:pPr>
        <w:ind w:left="520" w:hanging="260"/>
        <w:spacing w:after="0" w:line="255" w:lineRule="auto"/>
        <w:tabs>
          <w:tab w:leader="none" w:pos="514"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Performs regular tabletop exercises, utilizing a third-party data security firm as a facilitator, to simulate a response to a cybersecurity incident where the Company uses the findings to improve its processes and technologies; and</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Purchases information security risk insurance from a third-party insurer that provides protection against the potential losses arising from a cybersecurity incident.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360"/>
        <w:spacing w:after="0" w:line="276" w:lineRule="auto"/>
        <w:rPr>
          <w:sz w:val="20"/>
          <w:szCs w:val="20"/>
          <w:color w:val="auto"/>
        </w:rPr>
      </w:pPr>
      <w:r>
        <w:rPr>
          <w:rFonts w:ascii="Arial" w:cs="Arial" w:eastAsia="Arial" w:hAnsi="Arial"/>
          <w:sz w:val="13"/>
          <w:szCs w:val="13"/>
          <w:color w:val="auto"/>
        </w:rPr>
        <w:t>AFG continues to integrate assessing cybersecurity threat risks associated with its use of third-party service providers, generally at the initial engagement or renewal of the relationship. When conducting these assessments, AFG’s Enterprise Information Security Group (“EISG”) considers the risk profile of the vendor or supplier, assesses security controls with the third parties and engages in contractual review to ensure appropriate security controls are in place.</w:t>
      </w:r>
    </w:p>
    <w:p>
      <w:pPr>
        <w:spacing w:after="0" w:line="163"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AFG describes whether and how risks from identified cybersecurity threats are reasonably likely to materially affect the Company, including its business strategy, results of operations, or financial condition in its risk factor disclosures in Item 1A of this Annual Report on Form 10-K, which disclosures are incorporated by reference in this Item 1C.</w:t>
      </w:r>
    </w:p>
    <w:p>
      <w:pPr>
        <w:spacing w:after="0" w:line="139" w:lineRule="exact"/>
        <w:rPr>
          <w:sz w:val="20"/>
          <w:szCs w:val="20"/>
          <w:color w:val="auto"/>
        </w:rPr>
      </w:pPr>
    </w:p>
    <w:p>
      <w:pPr>
        <w:ind w:right="220"/>
        <w:spacing w:after="0" w:line="288" w:lineRule="auto"/>
        <w:rPr>
          <w:sz w:val="20"/>
          <w:szCs w:val="20"/>
          <w:color w:val="auto"/>
        </w:rPr>
      </w:pPr>
      <w:r>
        <w:rPr>
          <w:rFonts w:ascii="Arial" w:cs="Arial" w:eastAsia="Arial" w:hAnsi="Arial"/>
          <w:sz w:val="13"/>
          <w:szCs w:val="13"/>
          <w:color w:val="auto"/>
        </w:rPr>
        <w:t>Like others in the insurance industry, AFG experiences cyber-attacks and other attempts to gain unauthorized access to its systems on a regular basis and anticipates continuing to be subject to such attempts. Over the last three years, AFG has not experienced any material adverse events and has not paid any penalties or settlements related to an information security breach.</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Governance</w:t>
      </w:r>
    </w:p>
    <w:p>
      <w:pPr>
        <w:spacing w:after="0" w:line="41"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color w:val="auto"/>
        </w:rPr>
        <w:t>AFG’s Audit Committee is responsible for the oversight of risks from cybersecurity threats. At least annually, the full Board of Directors receives and at least quarterly, the Audit Committee receives an overview from the Chief Information Security Officer (“CISO”) or another senior member of the EISG of the Company’s cybersecurity threat risk management and strategy processes covering topics such as data security posture, results from third-party assessments, progress towards predetermined risk-mitigation-related goals, incident response planning and material cybersecurity threat risks or incidents and developments, as well as the steps management has taken to respond to such risks. In such sessions, materials including a cybersecurity scorecard and other information indicating current and emerging material cybersecurity threat risks and describing the Company’s ability to mitigate those risks are provided. Members of the Board also regularly receive educational materials and engage in ad hoc conversations with management on cybersecurity-related news events and discuss any updates to AFG’s cybersecurity risk management and strategy programs.</w:t>
      </w:r>
    </w:p>
    <w:p>
      <w:pPr>
        <w:spacing w:after="0" w:line="160" w:lineRule="exact"/>
        <w:rPr>
          <w:sz w:val="20"/>
          <w:szCs w:val="20"/>
          <w:color w:val="auto"/>
        </w:rPr>
      </w:pPr>
    </w:p>
    <w:p>
      <w:pPr>
        <w:ind w:right="120"/>
        <w:spacing w:after="0" w:line="268" w:lineRule="auto"/>
        <w:rPr>
          <w:sz w:val="20"/>
          <w:szCs w:val="20"/>
          <w:color w:val="auto"/>
        </w:rPr>
      </w:pPr>
      <w:r>
        <w:rPr>
          <w:rFonts w:ascii="Arial" w:cs="Arial" w:eastAsia="Arial" w:hAnsi="Arial"/>
          <w:sz w:val="13"/>
          <w:szCs w:val="13"/>
          <w:color w:val="auto"/>
        </w:rPr>
        <w:t>AFG has designed its ERM program to reinforce the way the Company operates its business and reflects its culture, organizational structure and risks. The AFG Enterprise Risk Committee (“ERC”), consisting of AFG’s Chief Administrative Officer and Chief Human Resources Officer, AFG’s Chief Financial Officer, AFG’s General Counsel and Great American’s President, oversees the ERM process including risk identification, risk impact and mitigation strategies. Each member of the ERC directly reports to AFG’s Co-CEOs. On a day-to-day basis, the Company’s ERM process is overseen by an AFG Enterprise Risk Officer, who regularly meets with senior leaders, including the CISO, representing key areas throughout the organization. Cybersecurity risk has been identified as a significant risk monitored under the ERM program. In addition, Ms. Murray, one of AFG’s independent Directors, completed the National Association of Corporate Directors’ Cyber-Risk Oversight Program and received the CERT Certificate in Cybersecurity Oversight issued by the Software Engineering Institute at Carnegie Mellon University.</w:t>
      </w:r>
    </w:p>
    <w:p>
      <w:pPr>
        <w:spacing w:after="0" w:line="325"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AFG has also adopted a Security Incident Response Plan (“SIRP”) that is designed to provide a management framework across Company functions for a coordinated assessment and response to potential security incidents. The AFG CISO leads and facilitates the SIRP team, which also includes AFG’s Chief Administrative Officer and Chief Human Resources Officer, AFG’s Chief Financial Officer, AFG’s Chief Information Officer, AFG’s General Counsel and Great American’s President and its General Counsel.</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The SIRP provides for the interaction and coordination of executive, strategic and tactical teams, depending on the severity level of the incident, aimed at facilitating coordination across multiple units and departments of the Company. The incident response plan is reviewed, updated and tested at least annually. The SIRP covers the major phases of incident response process, including preparation; detection and analysis; containment and investigation; where required, notification to federal or state regulators; eradication and recovery; and incident closure and post-incident analysis.</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AFG’s cybersecurity program is directed by its EISG leadership team that is headed by the AFG CISO and three divisional officers who report to the CISO. This leadership group has collectively over 70 years of cybersecurity work experience, over 90 years of Information Technology (“IT”) experience and over 20 years of IT audit experience. This experience involved various roles related to managing information security; developing cybersecurity strategy; implementing and monitoring effective cybersecurity controls and penetration testing. These individuals hold many industry-standard certifications including but not limited to Certified Information Systems Security Professional, Information Systems Security Management Professional, G2700 certification, GIAC Security Leadership Certification, Certified in Risk and Information Systems Control®, Certified Information Security Manager, ITL certification and others. The CISO also holds a master’s degree in information security. All members of this leadership team are active in their local cybersecurity communities and national conferences. They speak at local universities, local conferences, national conferences, and have conducted training sessions at international conferences like Black Hat, an internationally recognized cybersecurity event series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340"/>
        <w:spacing w:after="0" w:line="297" w:lineRule="auto"/>
        <w:rPr>
          <w:sz w:val="20"/>
          <w:szCs w:val="20"/>
          <w:color w:val="auto"/>
        </w:rPr>
      </w:pPr>
      <w:r>
        <w:rPr>
          <w:rFonts w:ascii="Arial" w:cs="Arial" w:eastAsia="Arial" w:hAnsi="Arial"/>
          <w:sz w:val="13"/>
          <w:szCs w:val="13"/>
          <w:color w:val="auto"/>
        </w:rPr>
        <w:t>providing the most technical and relevant information security research. Their work has also been used in various best practice case studies by industry leading consulting and research firms.</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2. Properties</w:t>
      </w:r>
    </w:p>
    <w:p>
      <w:pPr>
        <w:spacing w:after="0" w:line="210"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AFG and its insurance subsidiaries lease the majority of their office and storage facilities in numerous cities throughout the United States and internationally, including the Company’s headquarters in Cincinnati, Ohio. Subsidiaries of AFG own several other buildings in downtown Cincinnati. AFG and its affiliates occupy approximately half of the aggregate 640,000 square feet of commercial and office space in these buildings.</w:t>
      </w:r>
    </w:p>
    <w:p>
      <w:pPr>
        <w:spacing w:after="0" w:line="148" w:lineRule="exact"/>
        <w:rPr>
          <w:sz w:val="20"/>
          <w:szCs w:val="20"/>
          <w:color w:val="auto"/>
        </w:rPr>
      </w:pPr>
    </w:p>
    <w:p>
      <w:pPr>
        <w:ind w:right="640"/>
        <w:spacing w:after="0" w:line="297" w:lineRule="auto"/>
        <w:rPr>
          <w:sz w:val="20"/>
          <w:szCs w:val="20"/>
          <w:color w:val="auto"/>
        </w:rPr>
      </w:pPr>
      <w:r>
        <w:rPr>
          <w:rFonts w:ascii="Arial" w:cs="Arial" w:eastAsia="Arial" w:hAnsi="Arial"/>
          <w:sz w:val="13"/>
          <w:szCs w:val="13"/>
          <w:color w:val="auto"/>
        </w:rPr>
        <w:t>Property and casualty subsidiaries own and occupy approximately 90% of the 281,000 square feet of rentable office space on 17.5 acres of land in Richfield, Ohio and 100% of the 135,000 square feet of rentable office space on 1.3 acres of land in Lakeland, Florida.</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3. Legal Proceedings</w:t>
      </w:r>
    </w:p>
    <w:p>
      <w:pPr>
        <w:spacing w:after="0" w:line="210" w:lineRule="exact"/>
        <w:rPr>
          <w:sz w:val="20"/>
          <w:szCs w:val="20"/>
          <w:color w:val="auto"/>
        </w:rPr>
      </w:pPr>
    </w:p>
    <w:p>
      <w:pPr>
        <w:jc w:val="both"/>
        <w:ind w:right="120"/>
        <w:spacing w:after="0" w:line="284" w:lineRule="auto"/>
        <w:rPr>
          <w:sz w:val="20"/>
          <w:szCs w:val="20"/>
          <w:color w:val="auto"/>
        </w:rPr>
      </w:pPr>
      <w:r>
        <w:rPr>
          <w:rFonts w:ascii="Arial" w:cs="Arial" w:eastAsia="Arial" w:hAnsi="Arial"/>
          <w:sz w:val="13"/>
          <w:szCs w:val="13"/>
          <w:color w:val="auto"/>
        </w:rPr>
        <w:t>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Except for the following, management believes that none of the litigation meets the threshold for disclosure under this Item.</w:t>
      </w:r>
    </w:p>
    <w:p>
      <w:pPr>
        <w:spacing w:after="0" w:line="148"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AFG’s insurance company subsidiaries and its 100%-owned subsidiary, APU Consolidated, Inc. (including its subsidiaries, “APU”), are parties to litigation and receive claims alleging injuries and damages from asbestos, environmental and other substances and workplace hazards and have established loss accruals for such potential liabilities. None of such litigation or claims is individually material to AFG; however, the ultimate loss for these claims may vary materially from amounts currently recorded as the conditions surrounding resolution of these claims continue to change.</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APU is a party or named as a potentially responsible party in a number of proceedings and claims by regulatory agencies and private parties under various environmental protection laws, including the Comprehensive Environmental Response, Compensation and Liability Act, seeking to impose responsibility on APU for hazardous waste or discharge remediation costs at certain railroad sites formerly owned by its predecessor, Penn Central Transportation Company (“PCTC”), and at certain other sites where hazardous waste or discharge allegedly generated by PCTC’s railroad operations and APU’s former manufacturing operations is present. It is difficult to estimate APU’s liability for remediation costs at these sites for a number of reasons, including the number and financial resources of other potentially responsible parties involved at a given site, the varying availability of evidence by which to allocate responsibility among such parties, the wide range of costs for possible remediation alternatives, changing technology and the period of time over which these matters develop. Nevertheless, APU believes that its accruals for potential environmental liabilities are adequate to cover the probable amount of such liabilities, based on APU’s estimates of remediation costs and related expenses and its estimates of the portions of such costs that will be borne by other parties. Such estimates are based on information currently available to APU and are subject to future change as additional information becomes available.</w:t>
      </w:r>
    </w:p>
    <w:p>
      <w:pPr>
        <w:spacing w:after="0" w:line="321"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4. Mine Safety Disclosures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II</w:t>
      </w:r>
    </w:p>
    <w:p>
      <w:pPr>
        <w:spacing w:after="0" w:line="32" w:lineRule="exact"/>
        <w:rPr>
          <w:sz w:val="20"/>
          <w:szCs w:val="20"/>
          <w:color w:val="auto"/>
        </w:rPr>
      </w:pPr>
    </w:p>
    <w:p>
      <w:pPr>
        <w:ind w:right="440"/>
        <w:spacing w:after="0" w:line="282" w:lineRule="auto"/>
        <w:rPr>
          <w:sz w:val="20"/>
          <w:szCs w:val="20"/>
          <w:color w:val="auto"/>
        </w:rPr>
      </w:pPr>
      <w:r>
        <w:rPr>
          <w:rFonts w:ascii="Arial" w:cs="Arial" w:eastAsia="Arial" w:hAnsi="Arial"/>
          <w:sz w:val="28"/>
          <w:szCs w:val="28"/>
          <w:b w:val="1"/>
          <w:bCs w:val="1"/>
          <w:color w:val="00274E"/>
        </w:rPr>
        <w:t>Item 5. Market for Registrant’s Common Equity, Related Stockholder Matters and Issuer Purchases of Equity Securities</w:t>
      </w:r>
    </w:p>
    <w:p>
      <w:pPr>
        <w:spacing w:after="0" w:line="87" w:lineRule="exact"/>
        <w:rPr>
          <w:sz w:val="20"/>
          <w:szCs w:val="20"/>
          <w:color w:val="auto"/>
        </w:rPr>
      </w:pPr>
    </w:p>
    <w:p>
      <w:pPr>
        <w:ind w:right="520"/>
        <w:spacing w:after="0" w:line="314" w:lineRule="auto"/>
        <w:rPr>
          <w:sz w:val="20"/>
          <w:szCs w:val="20"/>
          <w:color w:val="auto"/>
        </w:rPr>
      </w:pPr>
      <w:r>
        <w:rPr>
          <w:rFonts w:ascii="Arial" w:cs="Arial" w:eastAsia="Arial" w:hAnsi="Arial"/>
          <w:sz w:val="13"/>
          <w:szCs w:val="13"/>
          <w:color w:val="auto"/>
        </w:rPr>
        <w:t>AFG Common Stock is listed and traded on the New York Stock Exchange under the symbol AFG. There were approximately 4,100 shareholders of record of AFG Common Stock at February 1, 2026.</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Issuer Purchases of Equity Securities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AFG repurchased shares of its Common Stock during 2025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rPr>
              <w:t>Total Number</w:t>
            </w:r>
          </w:p>
        </w:tc>
        <w:tc>
          <w:tcPr>
            <w:tcW w:w="8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1"/>
                <w:szCs w:val="11"/>
                <w:color w:val="auto"/>
              </w:rPr>
              <w:t>Maximum Number</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7"/>
              </w:rPr>
              <w:t>Total</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jc w:val="center"/>
              <w:spacing w:after="0" w:line="113" w:lineRule="exact"/>
              <w:rPr>
                <w:sz w:val="20"/>
                <w:szCs w:val="20"/>
                <w:color w:val="auto"/>
              </w:rPr>
            </w:pPr>
            <w:r>
              <w:rPr>
                <w:rFonts w:ascii="Arial" w:cs="Arial" w:eastAsia="Arial" w:hAnsi="Arial"/>
                <w:sz w:val="11"/>
                <w:szCs w:val="11"/>
                <w:color w:val="auto"/>
              </w:rPr>
              <w:t>of Shares</w:t>
            </w:r>
          </w:p>
        </w:tc>
        <w:tc>
          <w:tcPr>
            <w:tcW w:w="80" w:type="dxa"/>
            <w:vAlign w:val="bottom"/>
          </w:tcPr>
          <w:p>
            <w:pPr>
              <w:spacing w:after="0"/>
              <w:rPr>
                <w:sz w:val="9"/>
                <w:szCs w:val="9"/>
                <w:color w:val="auto"/>
              </w:rPr>
            </w:pPr>
          </w:p>
        </w:tc>
        <w:tc>
          <w:tcPr>
            <w:tcW w:w="1680" w:type="dxa"/>
            <w:vAlign w:val="bottom"/>
          </w:tcPr>
          <w:p>
            <w:pPr>
              <w:jc w:val="center"/>
              <w:spacing w:after="0" w:line="113" w:lineRule="exact"/>
              <w:rPr>
                <w:sz w:val="20"/>
                <w:szCs w:val="20"/>
                <w:color w:val="auto"/>
              </w:rPr>
            </w:pPr>
            <w:r>
              <w:rPr>
                <w:rFonts w:ascii="Arial" w:cs="Arial" w:eastAsia="Arial" w:hAnsi="Arial"/>
                <w:sz w:val="11"/>
                <w:szCs w:val="11"/>
                <w:color w:val="auto"/>
              </w:rPr>
              <w:t>of Shares</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6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restart"/>
          </w:tcPr>
          <w:p>
            <w:pPr>
              <w:jc w:val="right"/>
              <w:ind w:right="338"/>
              <w:spacing w:after="0"/>
              <w:rPr>
                <w:sz w:val="20"/>
                <w:szCs w:val="20"/>
                <w:color w:val="auto"/>
              </w:rPr>
            </w:pPr>
            <w:r>
              <w:rPr>
                <w:rFonts w:ascii="Arial" w:cs="Arial" w:eastAsia="Arial" w:hAnsi="Arial"/>
                <w:sz w:val="11"/>
                <w:szCs w:val="11"/>
                <w:color w:val="auto"/>
              </w:rPr>
              <w:t>Average</w:t>
            </w:r>
          </w:p>
        </w:tc>
        <w:tc>
          <w:tcPr>
            <w:tcW w:w="380" w:type="dxa"/>
            <w:vAlign w:val="bottom"/>
          </w:tcPr>
          <w:p>
            <w:pPr>
              <w:spacing w:after="0"/>
              <w:rPr>
                <w:sz w:val="9"/>
                <w:szCs w:val="9"/>
                <w:color w:val="auto"/>
              </w:rPr>
            </w:pPr>
          </w:p>
        </w:tc>
        <w:tc>
          <w:tcPr>
            <w:tcW w:w="1600" w:type="dxa"/>
            <w:vAlign w:val="bottom"/>
          </w:tcPr>
          <w:p>
            <w:pPr>
              <w:jc w:val="center"/>
              <w:spacing w:after="0" w:line="111" w:lineRule="exact"/>
              <w:rPr>
                <w:sz w:val="20"/>
                <w:szCs w:val="20"/>
                <w:color w:val="auto"/>
              </w:rPr>
            </w:pPr>
            <w:r>
              <w:rPr>
                <w:rFonts w:ascii="Arial" w:cs="Arial" w:eastAsia="Arial" w:hAnsi="Arial"/>
                <w:sz w:val="11"/>
                <w:szCs w:val="11"/>
                <w:color w:val="auto"/>
              </w:rPr>
              <w:t>Purchased as</w:t>
            </w:r>
          </w:p>
        </w:tc>
        <w:tc>
          <w:tcPr>
            <w:tcW w:w="80" w:type="dxa"/>
            <w:vAlign w:val="bottom"/>
          </w:tcPr>
          <w:p>
            <w:pPr>
              <w:spacing w:after="0"/>
              <w:rPr>
                <w:sz w:val="9"/>
                <w:szCs w:val="9"/>
                <w:color w:val="auto"/>
              </w:rPr>
            </w:pPr>
          </w:p>
        </w:tc>
        <w:tc>
          <w:tcPr>
            <w:tcW w:w="1680" w:type="dxa"/>
            <w:vAlign w:val="bottom"/>
          </w:tcPr>
          <w:p>
            <w:pPr>
              <w:jc w:val="center"/>
              <w:spacing w:after="0" w:line="111" w:lineRule="exact"/>
              <w:rPr>
                <w:sz w:val="20"/>
                <w:szCs w:val="20"/>
                <w:color w:val="auto"/>
              </w:rPr>
            </w:pPr>
            <w:r>
              <w:rPr>
                <w:rFonts w:ascii="Arial" w:cs="Arial" w:eastAsia="Arial" w:hAnsi="Arial"/>
                <w:sz w:val="11"/>
                <w:szCs w:val="11"/>
                <w:color w:val="auto"/>
              </w:rPr>
              <w:t>that May</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80" w:type="dxa"/>
            <w:vAlign w:val="bottom"/>
          </w:tcPr>
          <w:p>
            <w:pPr>
              <w:spacing w:after="0"/>
              <w:rPr>
                <w:sz w:val="9"/>
                <w:szCs w:val="9"/>
                <w:color w:val="auto"/>
              </w:rPr>
            </w:pPr>
          </w:p>
        </w:tc>
        <w:tc>
          <w:tcPr>
            <w:tcW w:w="1280" w:type="dxa"/>
            <w:vAlign w:val="bottom"/>
            <w:gridSpan w:val="2"/>
          </w:tcPr>
          <w:p>
            <w:pPr>
              <w:jc w:val="center"/>
              <w:ind w:right="80"/>
              <w:spacing w:after="0" w:line="113" w:lineRule="exact"/>
              <w:rPr>
                <w:sz w:val="20"/>
                <w:szCs w:val="20"/>
                <w:color w:val="auto"/>
              </w:rPr>
            </w:pPr>
            <w:r>
              <w:rPr>
                <w:rFonts w:ascii="Arial" w:cs="Arial" w:eastAsia="Arial" w:hAnsi="Arial"/>
                <w:sz w:val="11"/>
                <w:szCs w:val="11"/>
                <w:color w:val="auto"/>
              </w:rPr>
              <w:t>Number</w:t>
            </w: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jc w:val="center"/>
              <w:spacing w:after="0" w:line="113" w:lineRule="exact"/>
              <w:rPr>
                <w:sz w:val="20"/>
                <w:szCs w:val="20"/>
                <w:color w:val="auto"/>
              </w:rPr>
            </w:pPr>
            <w:r>
              <w:rPr>
                <w:rFonts w:ascii="Arial" w:cs="Arial" w:eastAsia="Arial" w:hAnsi="Arial"/>
                <w:sz w:val="11"/>
                <w:szCs w:val="11"/>
                <w:color w:val="auto"/>
              </w:rPr>
              <w:t>Part of Publicly</w:t>
            </w:r>
          </w:p>
        </w:tc>
        <w:tc>
          <w:tcPr>
            <w:tcW w:w="80" w:type="dxa"/>
            <w:vAlign w:val="bottom"/>
          </w:tcPr>
          <w:p>
            <w:pPr>
              <w:spacing w:after="0"/>
              <w:rPr>
                <w:sz w:val="9"/>
                <w:szCs w:val="9"/>
                <w:color w:val="auto"/>
              </w:rPr>
            </w:pPr>
          </w:p>
        </w:tc>
        <w:tc>
          <w:tcPr>
            <w:tcW w:w="1680" w:type="dxa"/>
            <w:vAlign w:val="bottom"/>
          </w:tcPr>
          <w:p>
            <w:pPr>
              <w:jc w:val="center"/>
              <w:spacing w:after="0" w:line="113" w:lineRule="exact"/>
              <w:rPr>
                <w:sz w:val="20"/>
                <w:szCs w:val="20"/>
                <w:color w:val="auto"/>
              </w:rPr>
            </w:pPr>
            <w:r>
              <w:rPr>
                <w:rFonts w:ascii="Arial" w:cs="Arial" w:eastAsia="Arial" w:hAnsi="Arial"/>
                <w:sz w:val="11"/>
                <w:szCs w:val="11"/>
                <w:color w:val="auto"/>
              </w:rPr>
              <w:t>Yet be Purchased</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280" w:type="dxa"/>
            <w:vAlign w:val="bottom"/>
            <w:gridSpan w:val="2"/>
          </w:tcPr>
          <w:p>
            <w:pPr>
              <w:jc w:val="center"/>
              <w:ind w:right="80"/>
              <w:spacing w:after="0" w:line="117" w:lineRule="exact"/>
              <w:rPr>
                <w:sz w:val="20"/>
                <w:szCs w:val="20"/>
                <w:color w:val="auto"/>
              </w:rPr>
            </w:pPr>
            <w:r>
              <w:rPr>
                <w:rFonts w:ascii="Arial" w:cs="Arial" w:eastAsia="Arial" w:hAnsi="Arial"/>
                <w:sz w:val="11"/>
                <w:szCs w:val="11"/>
                <w:color w:val="auto"/>
              </w:rPr>
              <w:t>of Shares</w:t>
            </w:r>
          </w:p>
        </w:tc>
        <w:tc>
          <w:tcPr>
            <w:tcW w:w="220" w:type="dxa"/>
            <w:vAlign w:val="bottom"/>
          </w:tcPr>
          <w:p>
            <w:pPr>
              <w:spacing w:after="0"/>
              <w:rPr>
                <w:sz w:val="10"/>
                <w:szCs w:val="10"/>
                <w:color w:val="auto"/>
              </w:rPr>
            </w:pPr>
          </w:p>
        </w:tc>
        <w:tc>
          <w:tcPr>
            <w:tcW w:w="980" w:type="dxa"/>
            <w:vAlign w:val="bottom"/>
          </w:tcPr>
          <w:p>
            <w:pPr>
              <w:jc w:val="right"/>
              <w:ind w:right="278"/>
              <w:spacing w:after="0" w:line="117" w:lineRule="exact"/>
              <w:rPr>
                <w:sz w:val="20"/>
                <w:szCs w:val="20"/>
                <w:color w:val="auto"/>
              </w:rPr>
            </w:pPr>
            <w:r>
              <w:rPr>
                <w:rFonts w:ascii="Arial" w:cs="Arial" w:eastAsia="Arial" w:hAnsi="Arial"/>
                <w:sz w:val="11"/>
                <w:szCs w:val="11"/>
                <w:color w:val="auto"/>
              </w:rPr>
              <w:t>Price Paid</w:t>
            </w:r>
          </w:p>
        </w:tc>
        <w:tc>
          <w:tcPr>
            <w:tcW w:w="380" w:type="dxa"/>
            <w:vAlign w:val="bottom"/>
          </w:tcPr>
          <w:p>
            <w:pPr>
              <w:spacing w:after="0"/>
              <w:rPr>
                <w:sz w:val="10"/>
                <w:szCs w:val="10"/>
                <w:color w:val="auto"/>
              </w:rPr>
            </w:pPr>
          </w:p>
        </w:tc>
        <w:tc>
          <w:tcPr>
            <w:tcW w:w="1600" w:type="dxa"/>
            <w:vAlign w:val="bottom"/>
          </w:tcPr>
          <w:p>
            <w:pPr>
              <w:jc w:val="center"/>
              <w:spacing w:after="0" w:line="117" w:lineRule="exact"/>
              <w:rPr>
                <w:sz w:val="20"/>
                <w:szCs w:val="20"/>
                <w:color w:val="auto"/>
              </w:rPr>
            </w:pPr>
            <w:r>
              <w:rPr>
                <w:rFonts w:ascii="Arial" w:cs="Arial" w:eastAsia="Arial" w:hAnsi="Arial"/>
                <w:sz w:val="11"/>
                <w:szCs w:val="11"/>
                <w:color w:val="auto"/>
              </w:rPr>
              <w:t>Announced Plans</w:t>
            </w:r>
          </w:p>
        </w:tc>
        <w:tc>
          <w:tcPr>
            <w:tcW w:w="80" w:type="dxa"/>
            <w:vAlign w:val="bottom"/>
          </w:tcPr>
          <w:p>
            <w:pPr>
              <w:spacing w:after="0"/>
              <w:rPr>
                <w:sz w:val="10"/>
                <w:szCs w:val="10"/>
                <w:color w:val="auto"/>
              </w:rPr>
            </w:pPr>
          </w:p>
        </w:tc>
        <w:tc>
          <w:tcPr>
            <w:tcW w:w="1680" w:type="dxa"/>
            <w:vAlign w:val="bottom"/>
          </w:tcPr>
          <w:p>
            <w:pPr>
              <w:jc w:val="center"/>
              <w:spacing w:after="0" w:line="117" w:lineRule="exact"/>
              <w:rPr>
                <w:sz w:val="20"/>
                <w:szCs w:val="20"/>
                <w:color w:val="auto"/>
              </w:rPr>
            </w:pPr>
            <w:r>
              <w:rPr>
                <w:rFonts w:ascii="Arial" w:cs="Arial" w:eastAsia="Arial" w:hAnsi="Arial"/>
                <w:sz w:val="11"/>
                <w:szCs w:val="11"/>
                <w:color w:val="auto"/>
              </w:rPr>
              <w:t>Under the Plans</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Purchased</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color w:val="auto"/>
              </w:rPr>
              <w:t>Per Share</w:t>
            </w:r>
          </w:p>
        </w:tc>
        <w:tc>
          <w:tcPr>
            <w:tcW w:w="3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or Programs</w:t>
            </w: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or Programs</w:t>
            </w: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First quarter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462,398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123.86</w:t>
            </w: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462,398</w:t>
            </w:r>
          </w:p>
        </w:tc>
        <w:tc>
          <w:tcPr>
            <w:tcW w:w="17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5,266,612</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Second quarter</w:t>
            </w:r>
          </w:p>
        </w:tc>
        <w:tc>
          <w:tcPr>
            <w:tcW w:w="1200" w:type="dxa"/>
            <w:vAlign w:val="bottom"/>
          </w:tcPr>
          <w:p>
            <w:pPr>
              <w:jc w:val="right"/>
              <w:spacing w:after="0"/>
              <w:rPr>
                <w:sz w:val="20"/>
                <w:szCs w:val="20"/>
                <w:color w:val="auto"/>
              </w:rPr>
            </w:pPr>
            <w:r>
              <w:rPr>
                <w:rFonts w:ascii="Arial" w:cs="Arial" w:eastAsia="Arial" w:hAnsi="Arial"/>
                <w:sz w:val="13"/>
                <w:szCs w:val="13"/>
                <w:color w:val="auto"/>
              </w:rPr>
              <w:t>319,736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120.59</w:t>
            </w: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319,736</w:t>
            </w:r>
          </w:p>
        </w:tc>
        <w:tc>
          <w:tcPr>
            <w:tcW w:w="1760" w:type="dxa"/>
            <w:vAlign w:val="bottom"/>
            <w:gridSpan w:val="2"/>
          </w:tcPr>
          <w:p>
            <w:pPr>
              <w:jc w:val="right"/>
              <w:ind w:right="3"/>
              <w:spacing w:after="0"/>
              <w:rPr>
                <w:sz w:val="20"/>
                <w:szCs w:val="20"/>
                <w:color w:val="auto"/>
              </w:rPr>
            </w:pPr>
            <w:r>
              <w:rPr>
                <w:rFonts w:ascii="Arial" w:cs="Arial" w:eastAsia="Arial" w:hAnsi="Arial"/>
                <w:sz w:val="13"/>
                <w:szCs w:val="13"/>
                <w:color w:val="auto"/>
              </w:rPr>
              <w:t>4,946,876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Third quarter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122.81</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7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4,940,876</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Fourth quarter: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October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129.70</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6,406</w:t>
            </w:r>
          </w:p>
        </w:tc>
        <w:tc>
          <w:tcPr>
            <w:tcW w:w="17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4,934,470</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ind w:left="140"/>
              <w:spacing w:after="0"/>
              <w:rPr>
                <w:sz w:val="20"/>
                <w:szCs w:val="20"/>
                <w:color w:val="auto"/>
              </w:rPr>
            </w:pPr>
            <w:r>
              <w:rPr>
                <w:rFonts w:ascii="Arial" w:cs="Arial" w:eastAsia="Arial" w:hAnsi="Arial"/>
                <w:sz w:val="13"/>
                <w:szCs w:val="13"/>
                <w:color w:val="auto"/>
              </w:rPr>
              <w:t>November</w:t>
            </w:r>
          </w:p>
        </w:tc>
        <w:tc>
          <w:tcPr>
            <w:tcW w:w="1200" w:type="dxa"/>
            <w:vAlign w:val="bottom"/>
          </w:tcPr>
          <w:p>
            <w:pPr>
              <w:jc w:val="right"/>
              <w:spacing w:after="0"/>
              <w:rPr>
                <w:sz w:val="20"/>
                <w:szCs w:val="20"/>
                <w:color w:val="auto"/>
              </w:rPr>
            </w:pPr>
            <w:r>
              <w:rPr>
                <w:rFonts w:ascii="Arial" w:cs="Arial" w:eastAsia="Arial" w:hAnsi="Arial"/>
                <w:sz w:val="13"/>
                <w:szCs w:val="13"/>
                <w:color w:val="auto"/>
              </w:rPr>
              <w:t>4,858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129.30</w:t>
            </w: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4,858</w:t>
            </w:r>
          </w:p>
        </w:tc>
        <w:tc>
          <w:tcPr>
            <w:tcW w:w="1760" w:type="dxa"/>
            <w:vAlign w:val="bottom"/>
            <w:gridSpan w:val="2"/>
          </w:tcPr>
          <w:p>
            <w:pPr>
              <w:jc w:val="right"/>
              <w:ind w:right="3"/>
              <w:spacing w:after="0"/>
              <w:rPr>
                <w:sz w:val="20"/>
                <w:szCs w:val="20"/>
                <w:color w:val="auto"/>
              </w:rPr>
            </w:pPr>
            <w:r>
              <w:rPr>
                <w:rFonts w:ascii="Arial" w:cs="Arial" w:eastAsia="Arial" w:hAnsi="Arial"/>
                <w:sz w:val="13"/>
                <w:szCs w:val="13"/>
                <w:color w:val="auto"/>
              </w:rPr>
              <w:t>4,929,612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5,000,000</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62"/>
        </w:trPr>
        <w:tc>
          <w:tcPr>
            <w:tcW w:w="4680" w:type="dxa"/>
            <w:vAlign w:val="bottom"/>
          </w:tcPr>
          <w:p>
            <w:pPr>
              <w:ind w:left="280"/>
              <w:spacing w:after="0"/>
              <w:rPr>
                <w:sz w:val="20"/>
                <w:szCs w:val="20"/>
                <w:color w:val="auto"/>
              </w:rPr>
            </w:pPr>
            <w:r>
              <w:rPr>
                <w:rFonts w:ascii="Arial" w:cs="Arial" w:eastAsia="Arial" w:hAnsi="Arial"/>
                <w:sz w:val="13"/>
                <w:szCs w:val="13"/>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799,398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122.63</w:t>
            </w:r>
          </w:p>
        </w:tc>
        <w:tc>
          <w:tcPr>
            <w:tcW w:w="380" w:type="dxa"/>
            <w:vAlign w:val="bottom"/>
          </w:tcPr>
          <w:p>
            <w:pPr>
              <w:ind w:left="20"/>
              <w:spacing w:after="0"/>
              <w:rPr>
                <w:sz w:val="20"/>
                <w:szCs w:val="20"/>
                <w:color w:val="auto"/>
              </w:rPr>
            </w:pPr>
            <w:r>
              <w:rPr>
                <w:rFonts w:ascii="Arial" w:cs="Arial" w:eastAsia="Arial" w:hAnsi="Arial"/>
                <w:sz w:val="13"/>
                <w:szCs w:val="13"/>
                <w:color w:val="auto"/>
              </w:rPr>
              <w:t>(a)</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799,398</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right="280" w:hanging="315"/>
        <w:spacing w:after="0" w:line="272" w:lineRule="auto"/>
        <w:tabs>
          <w:tab w:leader="none" w:pos="314" w:val="left"/>
        </w:tabs>
        <w:numPr>
          <w:ilvl w:val="0"/>
          <w:numId w:val="11"/>
        </w:numPr>
        <w:rPr>
          <w:rFonts w:ascii="Arial" w:cs="Arial" w:eastAsia="Arial" w:hAnsi="Arial"/>
          <w:sz w:val="13"/>
          <w:szCs w:val="13"/>
          <w:color w:val="auto"/>
        </w:rPr>
      </w:pPr>
      <w:r>
        <w:rPr>
          <w:rFonts w:ascii="Arial" w:cs="Arial" w:eastAsia="Arial" w:hAnsi="Arial"/>
          <w:sz w:val="13"/>
          <w:szCs w:val="13"/>
          <w:color w:val="auto"/>
        </w:rPr>
        <w:t>AFG declared special dividends totaling $4.00 per share of its Common Stock in 2025. Adjusted for the special dividends, the average price paid per share was $119.47 for 2025. In addition, at December 31, 2025, AFG has a $1 million payable related to the excise tax on share repurchases.</w:t>
      </w:r>
    </w:p>
    <w:p>
      <w:pPr>
        <w:ind w:left="320" w:right="320" w:hanging="315"/>
        <w:spacing w:after="0" w:line="314" w:lineRule="auto"/>
        <w:tabs>
          <w:tab w:leader="none" w:pos="314"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the remaining shares that may be repurchased until December 31, 2030 under the Plan authorized by AFG’s Board of Directors in December 2025. In December 2025, AFG’s Board of Directors authorized the repurchase of five million shares and the Plan authorized by AFG’s Board of Directors in May 2021 expired.</w:t>
      </w:r>
    </w:p>
    <w:p>
      <w:pPr>
        <w:spacing w:after="0" w:line="150" w:lineRule="exact"/>
        <w:rPr>
          <w:sz w:val="20"/>
          <w:szCs w:val="20"/>
          <w:color w:val="auto"/>
        </w:rPr>
      </w:pPr>
    </w:p>
    <w:p>
      <w:pPr>
        <w:ind w:right="500"/>
        <w:spacing w:after="0" w:line="297" w:lineRule="auto"/>
        <w:rPr>
          <w:sz w:val="20"/>
          <w:szCs w:val="20"/>
          <w:color w:val="auto"/>
        </w:rPr>
      </w:pPr>
      <w:r>
        <w:rPr>
          <w:rFonts w:ascii="Arial" w:cs="Arial" w:eastAsia="Arial" w:hAnsi="Arial"/>
          <w:sz w:val="13"/>
          <w:szCs w:val="13"/>
          <w:color w:val="auto"/>
        </w:rPr>
        <w:t>In connection with its stock incentive plan, AFG acquired 43,387 shares of its Common Stock (at an average of $120.73 per share) in the first nine months of 2025 and 118 shares (at $137.21 per share) in December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Stock Performance Graph</w:t>
      </w:r>
    </w:p>
    <w:p>
      <w:pPr>
        <w:spacing w:after="0" w:line="17" w:lineRule="exact"/>
        <w:rPr>
          <w:sz w:val="20"/>
          <w:szCs w:val="20"/>
          <w:color w:val="auto"/>
        </w:rPr>
      </w:pPr>
    </w:p>
    <w:p>
      <w:pPr>
        <w:jc w:val="both"/>
        <w:ind w:right="100"/>
        <w:spacing w:after="0" w:line="275" w:lineRule="auto"/>
        <w:rPr>
          <w:sz w:val="20"/>
          <w:szCs w:val="20"/>
          <w:color w:val="auto"/>
        </w:rPr>
      </w:pPr>
      <w:r>
        <w:rPr>
          <w:rFonts w:ascii="Arial" w:cs="Arial" w:eastAsia="Arial" w:hAnsi="Arial"/>
          <w:sz w:val="13"/>
          <w:szCs w:val="13"/>
          <w:color w:val="auto"/>
        </w:rPr>
        <w:t>The following graph compares the performance of AFG Common Stock during the five year period from December 31, 2020 through December 31, 2025 with the performance of (i) the S&amp;P 500 Composite Stock Index (“S&amp;P 500 Index”) and (ii) the S&amp;P 500 Property &amp; Casualty Insurance Index. The graph assumes that an initial investment of $100 was made on December 31, 2020 and all dividends were reinvested. The stock price performance presented below is not intended to be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-12700</wp:posOffset>
            </wp:positionV>
            <wp:extent cx="4594860" cy="3234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9486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color w:val="auto"/>
              </w:rPr>
              <w:t>As of December 31,</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54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color w:val="auto"/>
              </w:rPr>
              <w:t>2025</w:t>
            </w:r>
          </w:p>
        </w:tc>
      </w:tr>
      <w:tr>
        <w:trPr>
          <w:trHeight w:val="164"/>
        </w:trPr>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AFG</w:t>
            </w:r>
          </w:p>
        </w:tc>
        <w:tc>
          <w:tcPr>
            <w:tcW w:w="4960" w:type="dxa"/>
            <w:vAlign w:val="bottom"/>
            <w:gridSpan w:val="2"/>
            <w:shd w:val="clear" w:color="auto" w:fill="CCEEFF"/>
          </w:tcPr>
          <w:p>
            <w:pPr>
              <w:jc w:val="right"/>
              <w:ind w:right="52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r>
      <w:tr>
        <w:trPr>
          <w:trHeight w:val="169"/>
        </w:trPr>
        <w:tc>
          <w:tcPr>
            <w:tcW w:w="540" w:type="dxa"/>
            <w:vAlign w:val="bottom"/>
          </w:tcPr>
          <w:p>
            <w:pPr>
              <w:ind w:left="20"/>
              <w:spacing w:after="0"/>
              <w:rPr>
                <w:sz w:val="20"/>
                <w:szCs w:val="20"/>
                <w:color w:val="auto"/>
              </w:rPr>
            </w:pPr>
            <w:r>
              <w:rPr>
                <w:rFonts w:ascii="Arial" w:cs="Arial" w:eastAsia="Arial" w:hAnsi="Arial"/>
                <w:sz w:val="13"/>
                <w:szCs w:val="13"/>
                <w:color w:val="auto"/>
                <w:w w:val="97"/>
              </w:rPr>
              <w:t>S&amp;P 500</w:t>
            </w:r>
          </w:p>
        </w:tc>
        <w:tc>
          <w:tcPr>
            <w:tcW w:w="4960" w:type="dxa"/>
            <w:vAlign w:val="bottom"/>
            <w:gridSpan w:val="2"/>
          </w:tcPr>
          <w:p>
            <w:pPr>
              <w:ind w:left="20"/>
              <w:spacing w:after="0"/>
              <w:rPr>
                <w:sz w:val="20"/>
                <w:szCs w:val="20"/>
                <w:color w:val="auto"/>
              </w:rPr>
            </w:pPr>
            <w:r>
              <w:rPr>
                <w:rFonts w:ascii="Arial" w:cs="Arial" w:eastAsia="Arial" w:hAnsi="Arial"/>
                <w:sz w:val="13"/>
                <w:szCs w:val="13"/>
                <w:color w:val="auto"/>
              </w:rPr>
              <w:t>Index</w:t>
            </w:r>
          </w:p>
        </w:tc>
        <w:tc>
          <w:tcPr>
            <w:tcW w:w="32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71"/>
        </w:trPr>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S&amp;P 500</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P&amp;C Index (b)</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bl>
    <w:p>
      <w:pPr>
        <w:spacing w:after="0" w:line="110" w:lineRule="exact"/>
        <w:rPr>
          <w:sz w:val="20"/>
          <w:szCs w:val="20"/>
          <w:color w:val="auto"/>
        </w:rPr>
      </w:pPr>
    </w:p>
    <w:p>
      <w:pPr>
        <w:ind w:left="320" w:right="20" w:hanging="315"/>
        <w:spacing w:after="0" w:line="297" w:lineRule="auto"/>
        <w:tabs>
          <w:tab w:leader="none" w:pos="314" w:val="left"/>
        </w:tabs>
        <w:numPr>
          <w:ilvl w:val="0"/>
          <w:numId w:val="12"/>
        </w:numPr>
        <w:rPr>
          <w:rFonts w:ascii="Arial" w:cs="Arial" w:eastAsia="Arial" w:hAnsi="Arial"/>
          <w:sz w:val="13"/>
          <w:szCs w:val="13"/>
          <w:color w:val="auto"/>
        </w:rPr>
      </w:pPr>
      <w:r>
        <w:rPr>
          <w:rFonts w:ascii="Arial" w:cs="Arial" w:eastAsia="Arial" w:hAnsi="Arial"/>
          <w:sz w:val="13"/>
          <w:szCs w:val="13"/>
          <w:color w:val="auto"/>
        </w:rPr>
        <w:t>Cumulative total shareholder return measures the performance of a company’s stock (or an index) over time and is calculated as the change in the stock price plus cumulative dividends (assuming dividends are reinvested) over a specific period of time divided by the stock price at the beginning of the time period.</w:t>
      </w:r>
    </w:p>
    <w:p>
      <w:pPr>
        <w:spacing w:after="0" w:line="33" w:lineRule="exact"/>
        <w:rPr>
          <w:rFonts w:ascii="Arial" w:cs="Arial" w:eastAsia="Arial" w:hAnsi="Arial"/>
          <w:sz w:val="13"/>
          <w:szCs w:val="13"/>
          <w:color w:val="auto"/>
        </w:rPr>
      </w:pPr>
    </w:p>
    <w:p>
      <w:pPr>
        <w:ind w:left="320" w:right="60" w:hanging="315"/>
        <w:spacing w:after="0" w:line="276" w:lineRule="auto"/>
        <w:tabs>
          <w:tab w:leader="none" w:pos="314"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S&amp;P 500 Property &amp; Casualty Insurance Index included the following companies at December 31, 2025 (weighted by market capitalization): The Allstate Corporation, American International Group, Inc., Arch Capital Group Ltd., Assurant, Inc., Chubb Limited, Cincinnati Financial Corporation, Erie Indemnity Company, The Hartford Insurance Group, Inc., Loews Corporation, The Progressive Corporation, The Travelers Companies, Inc. and W.R. Berkley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6. Reserved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00"/>
        <w:spacing w:after="0" w:line="303" w:lineRule="auto"/>
        <w:rPr>
          <w:sz w:val="20"/>
          <w:szCs w:val="20"/>
          <w:color w:val="auto"/>
        </w:rPr>
      </w:pPr>
      <w:r>
        <w:rPr>
          <w:rFonts w:ascii="Arial" w:cs="Arial" w:eastAsia="Arial" w:hAnsi="Arial"/>
          <w:sz w:val="28"/>
          <w:szCs w:val="28"/>
          <w:b w:val="1"/>
          <w:bCs w:val="1"/>
          <w:color w:val="00274E"/>
        </w:rPr>
        <w:t>Item 7. Management’s Discussion and Analysis of Financial Condition and 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274E"/>
        </w:rPr>
        <w:t>INDEX TO MD&amp;A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w w:val="89"/>
              </w:rPr>
              <w:t>Page</w:t>
            </w:r>
          </w:p>
        </w:tc>
        <w:tc>
          <w:tcPr>
            <w:tcW w:w="44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w w:val="96"/>
              </w:rPr>
              <w:t>Page</w:t>
            </w:r>
          </w:p>
        </w:tc>
      </w:tr>
      <w:tr>
        <w:trPr>
          <w:trHeight w:val="182"/>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Objective</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0000FF"/>
              </w:rPr>
              <w:t>31</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w:t>
            </w:r>
          </w:p>
        </w:tc>
        <w:tc>
          <w:tcPr>
            <w:tcW w:w="134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0000FF"/>
              </w:rPr>
              <w:t>48</w:t>
            </w:r>
          </w:p>
        </w:tc>
        <w:tc>
          <w:tcPr>
            <w:tcW w:w="20" w:type="dxa"/>
            <w:vAlign w:val="bottom"/>
          </w:tcPr>
          <w:p>
            <w:pPr>
              <w:spacing w:after="0"/>
              <w:rPr>
                <w:sz w:val="15"/>
                <w:szCs w:val="15"/>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Overview</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31</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General</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48</w:t>
            </w:r>
          </w:p>
        </w:tc>
        <w:tc>
          <w:tcPr>
            <w:tcW w:w="20" w:type="dxa"/>
            <w:vAlign w:val="bottom"/>
          </w:tcPr>
          <w:p>
            <w:pPr>
              <w:spacing w:after="0"/>
              <w:rPr>
                <w:sz w:val="14"/>
                <w:szCs w:val="14"/>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Critical Accounting Policies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32</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 — Fourth Quarter</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50</w:t>
            </w:r>
          </w:p>
        </w:tc>
        <w:tc>
          <w:tcPr>
            <w:tcW w:w="20" w:type="dxa"/>
            <w:vAlign w:val="bottom"/>
          </w:tcPr>
          <w:p>
            <w:pPr>
              <w:spacing w:after="0"/>
              <w:rPr>
                <w:sz w:val="14"/>
                <w:szCs w:val="14"/>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Liquidity and Capital Resources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32</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Segmented Statement of Earnings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50</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Ratios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32</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Property and Casualty Insurance</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51</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Condensed Consolidated Cash Flows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32</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Holding Company, Other and Unallocated</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59</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Parent and Subsidiary Liquidity</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34</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Results of Operations — Full Year</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62</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Condensed Parent Only Cash Flows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35</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Segmented Statement of Earnings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62</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Off-Balance Sheet Arrangements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35</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Property and Casualty Insurance</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64</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Investments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36</w:t>
            </w:r>
          </w:p>
        </w:tc>
        <w:tc>
          <w:tcPr>
            <w:tcW w:w="4460" w:type="dxa"/>
            <w:vAlign w:val="bottom"/>
          </w:tcPr>
          <w:p>
            <w:pPr>
              <w:ind w:left="600"/>
              <w:spacing w:after="0"/>
              <w:rPr>
                <w:sz w:val="20"/>
                <w:szCs w:val="20"/>
                <w:color w:val="auto"/>
              </w:rPr>
            </w:pPr>
            <w:r>
              <w:rPr>
                <w:rFonts w:ascii="Arial" w:cs="Arial" w:eastAsia="Arial" w:hAnsi="Arial"/>
                <w:sz w:val="13"/>
                <w:szCs w:val="13"/>
                <w:b w:val="1"/>
                <w:bCs w:val="1"/>
                <w:color w:val="0000FF"/>
              </w:rPr>
              <w:t>Holding Company, Other and Unallocated</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74</w:t>
            </w:r>
          </w:p>
        </w:tc>
        <w:tc>
          <w:tcPr>
            <w:tcW w:w="20" w:type="dxa"/>
            <w:vAlign w:val="bottom"/>
          </w:tcPr>
          <w:p>
            <w:pPr>
              <w:spacing w:after="0"/>
              <w:rPr>
                <w:sz w:val="14"/>
                <w:szCs w:val="14"/>
                <w:color w:val="auto"/>
              </w:rPr>
            </w:pPr>
          </w:p>
        </w:tc>
      </w:tr>
      <w:tr>
        <w:trPr>
          <w:trHeight w:val="170"/>
        </w:trPr>
        <w:tc>
          <w:tcPr>
            <w:tcW w:w="4860" w:type="dxa"/>
            <w:vAlign w:val="bottom"/>
          </w:tcPr>
          <w:p>
            <w:pPr>
              <w:ind w:left="280"/>
              <w:spacing w:after="0"/>
              <w:rPr>
                <w:sz w:val="20"/>
                <w:szCs w:val="20"/>
                <w:color w:val="auto"/>
              </w:rPr>
            </w:pPr>
            <w:r>
              <w:rPr>
                <w:rFonts w:ascii="Arial" w:cs="Arial" w:eastAsia="Arial" w:hAnsi="Arial"/>
                <w:sz w:val="13"/>
                <w:szCs w:val="13"/>
                <w:b w:val="1"/>
                <w:bCs w:val="1"/>
                <w:color w:val="0000FF"/>
              </w:rPr>
              <w:t>Uncertainties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39</w:t>
            </w:r>
          </w:p>
        </w:tc>
        <w:tc>
          <w:tcPr>
            <w:tcW w:w="4460" w:type="dxa"/>
            <w:vAlign w:val="bottom"/>
          </w:tcPr>
          <w:p>
            <w:pPr>
              <w:ind w:left="360"/>
              <w:spacing w:after="0"/>
              <w:rPr>
                <w:sz w:val="20"/>
                <w:szCs w:val="20"/>
                <w:color w:val="auto"/>
              </w:rPr>
            </w:pPr>
            <w:r>
              <w:rPr>
                <w:rFonts w:ascii="Arial" w:cs="Arial" w:eastAsia="Arial" w:hAnsi="Arial"/>
                <w:sz w:val="13"/>
                <w:szCs w:val="13"/>
                <w:b w:val="1"/>
                <w:bCs w:val="1"/>
                <w:color w:val="0000FF"/>
              </w:rPr>
              <w:t>Recent Accounting Standards</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0000FF"/>
              </w:rPr>
              <w:t>77</w:t>
            </w:r>
          </w:p>
        </w:tc>
        <w:tc>
          <w:tcPr>
            <w:tcW w:w="20" w:type="dxa"/>
            <w:vAlign w:val="bottom"/>
          </w:tcPr>
          <w:p>
            <w:pPr>
              <w:spacing w:after="0"/>
              <w:rPr>
                <w:sz w:val="14"/>
                <w:szCs w:val="14"/>
                <w:color w:val="auto"/>
              </w:rPr>
            </w:pPr>
          </w:p>
        </w:tc>
      </w:tr>
      <w:tr>
        <w:trPr>
          <w:trHeight w:val="173"/>
        </w:trPr>
        <w:tc>
          <w:tcPr>
            <w:tcW w:w="4860" w:type="dxa"/>
            <w:vAlign w:val="bottom"/>
          </w:tcPr>
          <w:p>
            <w:pPr>
              <w:ind w:left="20"/>
              <w:spacing w:after="0"/>
              <w:rPr>
                <w:sz w:val="20"/>
                <w:szCs w:val="20"/>
                <w:color w:val="auto"/>
              </w:rPr>
            </w:pPr>
            <w:r>
              <w:rPr>
                <w:rFonts w:ascii="Arial" w:cs="Arial" w:eastAsia="Arial" w:hAnsi="Arial"/>
                <w:sz w:val="13"/>
                <w:szCs w:val="13"/>
                <w:b w:val="1"/>
                <w:bCs w:val="1"/>
                <w:color w:val="0000FF"/>
              </w:rPr>
              <w:t>Managed Investment Entities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00FF"/>
              </w:rPr>
              <w:t>45</w:t>
            </w:r>
          </w:p>
        </w:tc>
        <w:tc>
          <w:tcPr>
            <w:tcW w:w="4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
        </w:trPr>
        <w:tc>
          <w:tcPr>
            <w:tcW w:w="4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OBJECTIVE</w:t>
      </w:r>
    </w:p>
    <w:p>
      <w:pPr>
        <w:spacing w:after="0" w:line="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3"/>
          <w:szCs w:val="13"/>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F-1.</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Financial Condition</w:t>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Through the operations of its subsidiaries, AFG is engaged primarily in property and casualty insurance, focusing on specialized commercial products for businesses.</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reported net earnings of $299 million ($3.58 per share, diluted) for the fourth quarter of 2025 compared to $255 million ($3.03 per share, diluted) for the fourth quarter of 2024, reflecting higher underwriting profit, partially offset by lower net investment income from AFG’s alternative investment portfolio.</w:t>
      </w:r>
    </w:p>
    <w:p>
      <w:pPr>
        <w:spacing w:after="0" w:line="139" w:lineRule="exact"/>
        <w:rPr>
          <w:sz w:val="20"/>
          <w:szCs w:val="20"/>
          <w:color w:val="auto"/>
        </w:rPr>
      </w:pPr>
    </w:p>
    <w:p>
      <w:pPr>
        <w:ind w:right="100"/>
        <w:spacing w:after="0" w:line="314" w:lineRule="auto"/>
        <w:rPr>
          <w:sz w:val="20"/>
          <w:szCs w:val="20"/>
          <w:color w:val="auto"/>
        </w:rPr>
      </w:pPr>
      <w:r>
        <w:rPr>
          <w:rFonts w:ascii="Arial" w:cs="Arial" w:eastAsia="Arial" w:hAnsi="Arial"/>
          <w:sz w:val="13"/>
          <w:szCs w:val="13"/>
          <w:color w:val="auto"/>
        </w:rPr>
        <w:t>Full year 2025 net earnings were $842 million ($10.08 per share, diluted) compared to $887 million ($10.57 per share, diluted) in 2024. Higher underwriting profit and the favorable impact of higher yields and average balances on net investment income from fixed income investments were more than offset by lower net investment income from alternative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Outlook</w:t>
      </w:r>
    </w:p>
    <w:p>
      <w:pPr>
        <w:spacing w:after="0" w:line="17"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Management expects overall premium growth and strong underwriting results in the current property and casualty insurance market. In addition, management anticipates improved returns on alternative investments relative to the 2.5% earned in 2025 will have a positive impact on net investment income beginning in the second half of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 xml:space="preserve">AFG’s financial condition, results of operations and cash flows are impacted by the economic, legal and regulatory environment. Economic inflation, social inflation and other economic conditions may impact premium levels, loss cost trends and investment returns. For a more comprehensive list of risks, see </w:t>
      </w:r>
      <w:r>
        <w:rPr>
          <w:rFonts w:ascii="Arial" w:cs="Arial" w:eastAsia="Arial" w:hAnsi="Arial"/>
          <w:sz w:val="13"/>
          <w:szCs w:val="13"/>
          <w:i w:val="1"/>
          <w:iCs w:val="1"/>
          <w:color w:val="auto"/>
        </w:rPr>
        <w:t>“Item 1A — Risk Factors.”</w:t>
      </w:r>
    </w:p>
    <w:p>
      <w:pPr>
        <w:spacing w:after="0" w:line="139" w:lineRule="exact"/>
        <w:rPr>
          <w:sz w:val="20"/>
          <w:szCs w:val="20"/>
          <w:color w:val="auto"/>
        </w:rPr>
      </w:pPr>
    </w:p>
    <w:p>
      <w:pPr>
        <w:ind w:right="260"/>
        <w:spacing w:after="0" w:line="284" w:lineRule="auto"/>
        <w:rPr>
          <w:sz w:val="20"/>
          <w:szCs w:val="20"/>
          <w:color w:val="auto"/>
        </w:rPr>
      </w:pPr>
      <w:r>
        <w:rPr>
          <w:rFonts w:ascii="Arial" w:cs="Arial" w:eastAsia="Arial" w:hAnsi="Arial"/>
          <w:sz w:val="13"/>
          <w:szCs w:val="13"/>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CRITICAL ACCOUNTING POLICIES</w:t>
      </w:r>
    </w:p>
    <w:p>
      <w:pPr>
        <w:spacing w:after="0" w:line="211" w:lineRule="exact"/>
        <w:rPr>
          <w:sz w:val="20"/>
          <w:szCs w:val="20"/>
          <w:color w:val="auto"/>
        </w:rPr>
      </w:pPr>
    </w:p>
    <w:p>
      <w:pPr>
        <w:ind w:right="200"/>
        <w:spacing w:after="0" w:line="260" w:lineRule="auto"/>
        <w:rPr>
          <w:sz w:val="20"/>
          <w:szCs w:val="20"/>
          <w:color w:val="auto"/>
        </w:rPr>
      </w:pPr>
      <w:r>
        <w:rPr>
          <w:rFonts w:ascii="Arial" w:cs="Arial" w:eastAsia="Arial" w:hAnsi="Arial"/>
          <w:sz w:val="13"/>
          <w:szCs w:val="13"/>
          <w:color w:val="auto"/>
        </w:rPr>
        <w:t xml:space="preserve">Significant accounting policies are summarized in </w:t>
      </w:r>
      <w:r>
        <w:rPr>
          <w:rFonts w:ascii="Arial" w:cs="Arial" w:eastAsia="Arial" w:hAnsi="Arial"/>
          <w:sz w:val="13"/>
          <w:szCs w:val="13"/>
          <w:i w:val="1"/>
          <w:iCs w:val="1"/>
          <w:color w:val="auto"/>
        </w:rPr>
        <w:t>Note A — “Accounting Policies”</w:t>
      </w:r>
      <w:r>
        <w:rPr>
          <w:rFonts w:ascii="Arial" w:cs="Arial" w:eastAsia="Arial" w:hAnsi="Arial"/>
          <w:sz w:val="13"/>
          <w:szCs w:val="13"/>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spacing w:after="0" w:line="1"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valuation of investments, including the determination of impairment allowances,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establishment of insurance reserves, especially asbestos and environmental-related reserves,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recoverability of reinsurance, and</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establishment of asbestos and environmental liabilities of former railroad and manufacturing operations.</w:t>
      </w:r>
    </w:p>
    <w:p>
      <w:pPr>
        <w:spacing w:after="0" w:line="189" w:lineRule="exact"/>
        <w:rPr>
          <w:sz w:val="20"/>
          <w:szCs w:val="20"/>
          <w:color w:val="auto"/>
        </w:rPr>
      </w:pPr>
    </w:p>
    <w:p>
      <w:pPr>
        <w:ind w:right="580"/>
        <w:spacing w:after="0" w:line="297"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Uncertainties”</w:t>
      </w:r>
      <w:r>
        <w:rPr>
          <w:rFonts w:ascii="Arial" w:cs="Arial" w:eastAsia="Arial" w:hAnsi="Arial"/>
          <w:sz w:val="13"/>
          <w:szCs w:val="13"/>
          <w:color w:val="auto"/>
        </w:rPr>
        <w:t xml:space="preserve"> for a discussion of insurance reserves, recoverables from reinsurers and contingencies related to APU Consolidated’s former operations and </w:t>
      </w:r>
      <w:r>
        <w:rPr>
          <w:rFonts w:ascii="Arial" w:cs="Arial" w:eastAsia="Arial" w:hAnsi="Arial"/>
          <w:sz w:val="13"/>
          <w:szCs w:val="13"/>
          <w:i w:val="1"/>
          <w:iCs w:val="1"/>
          <w:color w:val="auto"/>
        </w:rPr>
        <w:t>“Liquidity and Capital Resources — Investments”</w:t>
      </w:r>
      <w:r>
        <w:rPr>
          <w:rFonts w:ascii="Arial" w:cs="Arial" w:eastAsia="Arial" w:hAnsi="Arial"/>
          <w:sz w:val="13"/>
          <w:szCs w:val="13"/>
          <w:color w:val="auto"/>
        </w:rPr>
        <w:t xml:space="preserve"> for a discussion of the allowance for credit losses (impairments) on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Ratios</w:t>
      </w:r>
    </w:p>
    <w:p>
      <w:pPr>
        <w:spacing w:after="0" w:line="17" w:lineRule="exact"/>
        <w:rPr>
          <w:sz w:val="20"/>
          <w:szCs w:val="20"/>
          <w:color w:val="auto"/>
        </w:rPr>
      </w:pPr>
    </w:p>
    <w:p>
      <w:pPr>
        <w:ind w:right="460"/>
        <w:spacing w:after="0" w:line="295" w:lineRule="auto"/>
        <w:rPr>
          <w:sz w:val="20"/>
          <w:szCs w:val="20"/>
          <w:color w:val="auto"/>
        </w:rPr>
      </w:pPr>
      <w:r>
        <w:rPr>
          <w:rFonts w:ascii="Arial" w:cs="Arial" w:eastAsia="Arial" w:hAnsi="Arial"/>
          <w:sz w:val="13"/>
          <w:szCs w:val="13"/>
          <w:color w:val="auto"/>
        </w:rPr>
        <w:t>AFG’s debt to total capital ratio on a consolidated basis is shown below (dollars in millions). Management intends to maintain the ratio of debt to capital at or below 30% and intends to maintain the capital of its significant insurance subsidiaries at or above levels currently indicated by rating agencies as appropriate for the current ratings.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color w:val="auto"/>
              </w:rPr>
              <w:t>December 31,</w:t>
            </w:r>
          </w:p>
        </w:tc>
        <w:tc>
          <w:tcPr>
            <w:tcW w:w="960" w:type="dxa"/>
            <w:vAlign w:val="bottom"/>
            <w:tcBorders>
              <w:bottom w:val="single" w:sz="8" w:color="auto"/>
            </w:tcBorders>
          </w:tcPr>
          <w:p>
            <w:pPr>
              <w:spacing w:after="0"/>
              <w:rPr>
                <w:sz w:val="13"/>
                <w:szCs w:val="13"/>
                <w:color w:val="auto"/>
              </w:rPr>
            </w:pPr>
          </w:p>
        </w:tc>
      </w:tr>
      <w:tr>
        <w:trPr>
          <w:trHeight w:val="150"/>
        </w:trPr>
        <w:tc>
          <w:tcPr>
            <w:tcW w:w="84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color w:val="auto"/>
              </w:rPr>
              <w:t>2024</w:t>
            </w:r>
          </w:p>
        </w:tc>
      </w:tr>
      <w:tr>
        <w:trPr>
          <w:trHeight w:val="164"/>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amount of long-term debt</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1,848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1,498</w:t>
            </w: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capital</w:t>
            </w:r>
          </w:p>
        </w:tc>
        <w:tc>
          <w:tcPr>
            <w:tcW w:w="86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Arial" w:cs="Arial" w:eastAsia="Arial" w:hAnsi="Arial"/>
                <w:sz w:val="13"/>
                <w:szCs w:val="13"/>
                <w:color w:val="auto"/>
              </w:rPr>
              <w:t>6,718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6,204</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Ratio of debt to total capital:</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8400" w:type="dxa"/>
            <w:vAlign w:val="bottom"/>
          </w:tcPr>
          <w:p>
            <w:pPr>
              <w:ind w:left="280"/>
              <w:spacing w:after="0"/>
              <w:rPr>
                <w:sz w:val="20"/>
                <w:szCs w:val="20"/>
                <w:color w:val="auto"/>
              </w:rPr>
            </w:pPr>
            <w:r>
              <w:rPr>
                <w:rFonts w:ascii="Arial" w:cs="Arial" w:eastAsia="Arial" w:hAnsi="Arial"/>
                <w:sz w:val="13"/>
                <w:szCs w:val="13"/>
                <w:color w:val="auto"/>
              </w:rPr>
              <w:t>Including subordinated debt</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Excluding subordinated debt</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bl>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15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NAIC’s model law for risk-based capital (“RBC”) applies to property and casualty companies. RBC formulas determine the amount of capital that an insurance company needs so that it has an acceptable expectation of not becoming financially impaired. At December 31, 2025, the capital ratios of all AFG insurance companies exceeded the RBC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Condensed Consolidated Cash Flows</w:t>
      </w:r>
    </w:p>
    <w:p>
      <w:pPr>
        <w:spacing w:after="0" w:line="28" w:lineRule="exact"/>
        <w:rPr>
          <w:sz w:val="20"/>
          <w:szCs w:val="20"/>
          <w:color w:val="auto"/>
        </w:rPr>
      </w:pPr>
    </w:p>
    <w:p>
      <w:pPr>
        <w:ind w:right="500"/>
        <w:spacing w:after="0" w:line="278" w:lineRule="auto"/>
        <w:rPr>
          <w:sz w:val="20"/>
          <w:szCs w:val="20"/>
          <w:color w:val="auto"/>
        </w:rPr>
      </w:pPr>
      <w:r>
        <w:rPr>
          <w:rFonts w:ascii="Arial" w:cs="Arial" w:eastAsia="Arial" w:hAnsi="Arial"/>
          <w:sz w:val="13"/>
          <w:szCs w:val="13"/>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3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73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color w:val="auto"/>
              </w:rPr>
              <w:t>2023</w:t>
            </w:r>
          </w:p>
        </w:tc>
      </w:tr>
      <w:tr>
        <w:trPr>
          <w:trHeight w:val="164"/>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414</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w:t>
            </w:r>
          </w:p>
        </w:tc>
      </w:tr>
      <w:tr>
        <w:trPr>
          <w:trHeight w:val="162"/>
        </w:trPr>
        <w:tc>
          <w:tcPr>
            <w:tcW w:w="73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820" w:type="dxa"/>
            <w:vAlign w:val="bottom"/>
          </w:tcPr>
          <w:p>
            <w:pPr>
              <w:jc w:val="right"/>
              <w:ind w:right="65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321</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353</w:t>
            </w: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00274E"/>
        </w:rPr>
        <w:t xml:space="preserve">Net Cash Provided by Operating Activities </w:t>
      </w:r>
      <w:r>
        <w:rPr>
          <w:rFonts w:ascii="Arial" w:cs="Arial" w:eastAsia="Arial" w:hAnsi="Arial"/>
          <w:sz w:val="13"/>
          <w:szCs w:val="13"/>
          <w:color w:val="000000"/>
        </w:rPr>
        <w:t>AFG’s property and casualty insurance operations typically produce positive net operating cash flows as premiums collected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$70 million in 2025, reduced cash flows from operating activities by $80 million in 2024 and increased cash flows from operating activities by $305 million in 2023, resulting in a $150 million increase in cash flows from operating activities in 2025 compared to 2024 and a $385 million decrease in cash flows from operating activities in 2024 compared to 2023. As discussed in </w:t>
      </w:r>
      <w:r>
        <w:rPr>
          <w:rFonts w:ascii="Arial" w:cs="Arial" w:eastAsia="Arial" w:hAnsi="Arial"/>
          <w:sz w:val="13"/>
          <w:szCs w:val="13"/>
          <w:i w:val="1"/>
          <w:iCs w:val="1"/>
          <w:color w:val="000000"/>
        </w:rPr>
        <w:t>Note A — “Accounting Policies — Managed Investment Entities”</w:t>
      </w:r>
      <w:r>
        <w:rPr>
          <w:rFonts w:ascii="Arial" w:cs="Arial" w:eastAsia="Arial" w:hAnsi="Arial"/>
          <w:sz w:val="13"/>
          <w:szCs w:val="13"/>
          <w:color w:val="000000"/>
        </w:rPr>
        <w:t xml:space="preserve">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$1.46 billion, $1.23 billion and $1.67 billion in 2025, 2024 and 2023, respectively.</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color w:val="00274E"/>
        </w:rPr>
        <w:t xml:space="preserve">Net Cash Provided by (Used in) Investing Activities </w:t>
      </w:r>
      <w:r>
        <w:rPr>
          <w:rFonts w:ascii="Arial" w:cs="Arial" w:eastAsia="Arial" w:hAnsi="Arial"/>
          <w:sz w:val="13"/>
          <w:szCs w:val="13"/>
          <w:color w:val="000000"/>
        </w:rPr>
        <w:t>AFG’s investing activities consist primarily of the investment of funds provided by its property and casualty businesses.</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Investing activities also include the purchase and disposal of managed investment entity investments, which are presented separately in AFG’s Balance Sheet. Net investment activity in the managed investment entities was a $10 million use of cash in 2025 compared to a $377 million source of cash in 2024, resulting in a $387 million decrease in net cash provided by investing activities in 2025 compared to 2024. See </w:t>
      </w:r>
      <w:r>
        <w:rPr>
          <w:rFonts w:ascii="Arial" w:cs="Arial" w:eastAsia="Arial" w:hAnsi="Arial"/>
          <w:sz w:val="13"/>
          <w:szCs w:val="13"/>
          <w:i w:val="1"/>
          <w:iCs w:val="1"/>
          <w:color w:val="000000"/>
        </w:rPr>
        <w:t>Note A — “Accounting Policies — Managed Investment Entities”</w:t>
      </w:r>
      <w:r>
        <w:rPr>
          <w:rFonts w:ascii="Arial" w:cs="Arial" w:eastAsia="Arial" w:hAnsi="Arial"/>
          <w:sz w:val="13"/>
          <w:szCs w:val="13"/>
          <w:color w:val="000000"/>
        </w:rPr>
        <w:t xml:space="preserve"> and </w:t>
      </w:r>
      <w:r>
        <w:rPr>
          <w:rFonts w:ascii="Arial" w:cs="Arial" w:eastAsia="Arial" w:hAnsi="Arial"/>
          <w:sz w:val="13"/>
          <w:szCs w:val="13"/>
          <w:i w:val="1"/>
          <w:iCs w:val="1"/>
          <w:color w:val="000000"/>
        </w:rPr>
        <w:t>Note G — “Managed Investment Entities”</w:t>
      </w:r>
      <w:r>
        <w:rPr>
          <w:rFonts w:ascii="Arial" w:cs="Arial" w:eastAsia="Arial" w:hAnsi="Arial"/>
          <w:sz w:val="13"/>
          <w:szCs w:val="13"/>
          <w:color w:val="000000"/>
        </w:rPr>
        <w:t xml:space="preserve"> to the financial statements. Excluding the activity of the managed investment entities, investing activities resulted in uses of cash of $825 million in 2025 and $282 million in 2024, an increase of $543 million reflecting the investment of cash in fixed maturity investments.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Net cash provided by investing activities was $95 million in 2024 compared to $414 million in 2023, a decrease of $319 million. Net investment activity in the managed investment entities was a $377 million source of cash in 2024 compared to $762 million in 2023, resulting in a $385 million decrease in net cash provided by investing activities in 2024 compared to 2023. Investing activities for 2024 include the fourth quarter acquisitions of an insurance agency and a consulting business for $9 million in cash. Investing activities for 2023 include the July 2023 acquisition of Crop Risk Services (“CRS”) for $234 million in cash. Excluding these acquisitions and the activity of the managed investment entities, investing activities resulted in uses of cash of $273 million in 2024 and $114 million in 2023.</w:t>
      </w:r>
    </w:p>
    <w:p>
      <w:pPr>
        <w:spacing w:after="0" w:line="15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00274E"/>
        </w:rPr>
        <w:t xml:space="preserve">Net Cash Used in Financing Activities </w:t>
      </w:r>
      <w:r>
        <w:rPr>
          <w:rFonts w:ascii="Arial" w:cs="Arial" w:eastAsia="Arial" w:hAnsi="Arial"/>
          <w:sz w:val="13"/>
          <w:szCs w:val="13"/>
          <w:color w:val="000000"/>
        </w:rPr>
        <w:t>AFG’s financing activities consist primarily of issuances and retirements of long-term debt, issuances and repurchases of Common Stock</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and dividend payments. Net cash used in financing activities was $377 million in 2025 compared to $1.07 billion in 2024, a decrease of $689 million. The net proceeds from AFG’s issuance of $350 million in 5.00% Senior Notes in September 2025 was a $344 million source of cash in 2025. AFG paid cash dividends totaling $606 million in 2025 compared to $788 million in 2024, resulting in a $182 million decrease in net cash used in financing activities in 2025 compared to 2024. In 2025, AFG repurchased $99 million of its Common Stock compared to no repurchases in 2024. Financing activities also include issuances and retirements of managed investment entity liabilities, which are nonrecourse to AFG and presented separately in AFG’s Balance Sheet. Retirements of managed investment entity liabilities exceeded issuances by $28 million in 2025 compared to $295 million in 2024, resulting in a $267 million decrease in net cash used in financing activities in 2025 compared to 2024. See </w:t>
      </w:r>
      <w:r>
        <w:rPr>
          <w:rFonts w:ascii="Arial" w:cs="Arial" w:eastAsia="Arial" w:hAnsi="Arial"/>
          <w:sz w:val="13"/>
          <w:szCs w:val="13"/>
          <w:i w:val="1"/>
          <w:iCs w:val="1"/>
          <w:color w:val="000000"/>
        </w:rPr>
        <w:t>Note A — “Accounting Policies — Managed Investment Entities”</w:t>
      </w:r>
      <w:r>
        <w:rPr>
          <w:rFonts w:ascii="Arial" w:cs="Arial" w:eastAsia="Arial" w:hAnsi="Arial"/>
          <w:sz w:val="13"/>
          <w:szCs w:val="13"/>
          <w:color w:val="000000"/>
        </w:rPr>
        <w:t xml:space="preserve"> and </w:t>
      </w:r>
      <w:r>
        <w:rPr>
          <w:rFonts w:ascii="Arial" w:cs="Arial" w:eastAsia="Arial" w:hAnsi="Arial"/>
          <w:sz w:val="13"/>
          <w:szCs w:val="13"/>
          <w:i w:val="1"/>
          <w:iCs w:val="1"/>
          <w:color w:val="000000"/>
        </w:rPr>
        <w:t>Note G — “Managed Investment Entities”</w:t>
      </w:r>
      <w:r>
        <w:rPr>
          <w:rFonts w:ascii="Arial" w:cs="Arial" w:eastAsia="Arial" w:hAnsi="Arial"/>
          <w:sz w:val="13"/>
          <w:szCs w:val="13"/>
          <w:color w:val="000000"/>
        </w:rPr>
        <w:t xml:space="preserve"> to the financial statements.</w:t>
      </w:r>
    </w:p>
    <w:p>
      <w:pPr>
        <w:spacing w:after="0" w:line="329"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Net cash used in financing activities was $1.07 billion in 2024 compared to $2.03 billion in 2023, a decrease of $965 million. AFG paid cash dividends totaling $788 million in 2024 compared to $684 million in 2023, resulting in a $104 million increase in net cash used in financing activities in 2024 compared to 2023. There were no debt retirements 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jc w:val="both"/>
        <w:ind w:right="440"/>
        <w:spacing w:after="0" w:line="276" w:lineRule="auto"/>
        <w:rPr>
          <w:sz w:val="20"/>
          <w:szCs w:val="20"/>
          <w:color w:val="auto"/>
        </w:rPr>
      </w:pPr>
      <w:r>
        <w:rPr>
          <w:rFonts w:ascii="Arial" w:cs="Arial" w:eastAsia="Arial" w:hAnsi="Arial"/>
          <w:sz w:val="13"/>
          <w:szCs w:val="13"/>
          <w:color w:val="auto"/>
        </w:rPr>
        <w:t>2024 compared to $21 million in debt retirements in 2023. In 2024, AFG did not repurchase any of its Common Stock compared to repurchases of $213 million in 2023. Retirements of managed investment entity liabilities exceeded issuances by $295 million in 2024 compared to $1.13 billion in 2023, resulting in an $833 million decrease in net cash used in financing activities in 2024 compared to 2023.</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Parent and Subsidiary Liquidity</w:t>
      </w:r>
    </w:p>
    <w:p>
      <w:pPr>
        <w:spacing w:after="0" w:line="194"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b w:val="1"/>
          <w:bCs w:val="1"/>
          <w:color w:val="00274E"/>
        </w:rPr>
        <w:t xml:space="preserve">Parent Holding Company Liquidity </w:t>
      </w:r>
      <w:r>
        <w:rPr>
          <w:rFonts w:ascii="Arial" w:cs="Arial" w:eastAsia="Arial" w:hAnsi="Arial"/>
          <w:sz w:val="13"/>
          <w:szCs w:val="13"/>
          <w:color w:val="000000"/>
        </w:rPr>
        <w:t>Management believes AFG has sufficient resources to meet its liquidity requirements. If funds generated from operations, including dividends,</w:t>
      </w:r>
      <w:r>
        <w:rPr>
          <w:rFonts w:ascii="Arial" w:cs="Arial" w:eastAsia="Arial" w:hAnsi="Arial"/>
          <w:sz w:val="16"/>
          <w:szCs w:val="16"/>
          <w:b w:val="1"/>
          <w:bCs w:val="1"/>
          <w:color w:val="00274E"/>
        </w:rPr>
        <w:t xml:space="preserve"> </w:t>
      </w:r>
      <w:r>
        <w:rPr>
          <w:rFonts w:ascii="Arial" w:cs="Arial" w:eastAsia="Arial" w:hAnsi="Arial"/>
          <w:sz w:val="13"/>
          <w:szCs w:val="13"/>
          <w:color w:val="000000"/>
        </w:rPr>
        <w:t>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In September 2025, AFG issued $350 million in 5.00% Senior Notes due in September 2035. The net proceeds of this offering were used for general corporate purposes.</w:t>
      </w:r>
    </w:p>
    <w:p>
      <w:pPr>
        <w:spacing w:after="0" w:line="211" w:lineRule="exact"/>
        <w:rPr>
          <w:sz w:val="20"/>
          <w:szCs w:val="20"/>
          <w:color w:val="auto"/>
        </w:rPr>
      </w:pPr>
    </w:p>
    <w:p>
      <w:pPr>
        <w:jc w:val="both"/>
        <w:ind w:right="40"/>
        <w:spacing w:after="0" w:line="297" w:lineRule="auto"/>
        <w:rPr>
          <w:sz w:val="20"/>
          <w:szCs w:val="20"/>
          <w:color w:val="auto"/>
        </w:rPr>
      </w:pPr>
      <w:r>
        <w:rPr>
          <w:rFonts w:ascii="Arial" w:cs="Arial" w:eastAsia="Arial" w:hAnsi="Arial"/>
          <w:sz w:val="13"/>
          <w:szCs w:val="13"/>
          <w:color w:val="auto"/>
        </w:rPr>
        <w:t>During 2025, AFG repurchased 799,398 shares of its Common Stock for $99 million and paid special cash dividends totaling $334 million ($2.00 per share in both March and November). On February 3, 2026, AFG declared a special cash dividend of $1.50 per share, payable on February 25, 2026. The aggregate amount of this special dividend will be approximately $125 million.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During 2024, AFG paid special cash dividends totaling $545 million ($2.50 per share in February and $4.00 per share in November).</w:t>
      </w:r>
    </w:p>
    <w:p>
      <w:pPr>
        <w:spacing w:after="0" w:line="201" w:lineRule="exact"/>
        <w:rPr>
          <w:sz w:val="20"/>
          <w:szCs w:val="20"/>
          <w:color w:val="auto"/>
        </w:rPr>
      </w:pPr>
    </w:p>
    <w:p>
      <w:pPr>
        <w:ind w:right="340"/>
        <w:spacing w:after="0" w:line="297" w:lineRule="auto"/>
        <w:rPr>
          <w:sz w:val="20"/>
          <w:szCs w:val="20"/>
          <w:color w:val="auto"/>
        </w:rPr>
      </w:pPr>
      <w:r>
        <w:rPr>
          <w:rFonts w:ascii="Arial" w:cs="Arial" w:eastAsia="Arial" w:hAnsi="Arial"/>
          <w:sz w:val="13"/>
          <w:szCs w:val="13"/>
          <w:color w:val="auto"/>
        </w:rPr>
        <w:t>During 2023, AFG repurchased 1,872,544 shares of its Common Stock for $213 million and paid special cash dividends totaling $466 million ($4.00 per share in February and $1.50 per share in November).</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 During 2023, AFG repurchased $23 million principal amount of its senior notes for $21 million cash.</w:t>
      </w:r>
    </w:p>
    <w:p>
      <w:pPr>
        <w:spacing w:after="0" w:line="153"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All debentures and notes issued by AFG are rated investment grade by two nationally recognized rating agencies. AFG maintains a shelf registration statement under which it can offer additional equity or debt securities. The shelf registration provides AFG with flexibility to access the capital markets from time to time as market and other conditions permit.</w:t>
      </w:r>
    </w:p>
    <w:p>
      <w:pPr>
        <w:spacing w:after="0" w:line="150"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At December 31, 2025, AFG (parent) held approximately $529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2025 or 2024.</w:t>
      </w:r>
    </w:p>
    <w:p>
      <w:pPr>
        <w:spacing w:after="0" w:line="157" w:lineRule="exact"/>
        <w:rPr>
          <w:sz w:val="20"/>
          <w:szCs w:val="20"/>
          <w:color w:val="auto"/>
        </w:rPr>
      </w:pPr>
    </w:p>
    <w:p>
      <w:pPr>
        <w:ind w:right="540"/>
        <w:spacing w:after="0" w:line="297" w:lineRule="auto"/>
        <w:rPr>
          <w:sz w:val="20"/>
          <w:szCs w:val="20"/>
          <w:color w:val="auto"/>
        </w:rPr>
      </w:pPr>
      <w:r>
        <w:rPr>
          <w:rFonts w:ascii="Arial" w:cs="Arial" w:eastAsia="Arial" w:hAnsi="Arial"/>
          <w:sz w:val="13"/>
          <w:szCs w:val="13"/>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48" w:lineRule="exact"/>
        <w:rPr>
          <w:sz w:val="20"/>
          <w:szCs w:val="20"/>
          <w:color w:val="auto"/>
        </w:rPr>
      </w:pPr>
    </w:p>
    <w:p>
      <w:pPr>
        <w:jc w:val="both"/>
        <w:ind w:right="220"/>
        <w:spacing w:after="0" w:line="239" w:lineRule="auto"/>
        <w:rPr>
          <w:sz w:val="20"/>
          <w:szCs w:val="20"/>
          <w:color w:val="auto"/>
        </w:rPr>
      </w:pPr>
      <w:r>
        <w:rPr>
          <w:rFonts w:ascii="Arial" w:cs="Arial" w:eastAsia="Arial" w:hAnsi="Arial"/>
          <w:sz w:val="16"/>
          <w:szCs w:val="16"/>
          <w:b w:val="1"/>
          <w:bCs w:val="1"/>
          <w:color w:val="00274E"/>
        </w:rPr>
        <w:t xml:space="preserve">Subsidiary Liquidity </w:t>
      </w:r>
      <w:r>
        <w:rPr>
          <w:rFonts w:ascii="Arial" w:cs="Arial" w:eastAsia="Arial" w:hAnsi="Arial"/>
          <w:sz w:val="13"/>
          <w:szCs w:val="13"/>
          <w:color w:val="000000"/>
        </w:rPr>
        <w:t>The liquidity requirements of AFG’s insurance subsidiaries relate primarily to the policyholder claims and underwriting expenses and payments of dividends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For statutory accounting purposes, equity securities of non-affiliates are generally carried at fair value. At December 31, 2025, AFG’s insurance companies owned equity securities with a fair value of $785 million. Decreases in market prices could adversely affect the insurance group’s capital, potentially impacting the amount of dividends available or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necessitating a capital contribution. Conversely, increases in market prices could have a favorable impact on the group’s dividend-paying capability.</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Property and casualty reserves for unpaid losses and loss adjustment expenses were $15.09 billion at December 31, 2025 and include case reserves and claims incurred but not reported (“IBNR”). The ultimate amount to be paid to settle reserves is an estimate, subject to significant uncertainty. Actual payments to settle claims cannot be determined until a settlement is reached with the claimant. Final claim settlements may vary significantly from estimated amounts. See “</w:t>
      </w:r>
      <w:r>
        <w:rPr>
          <w:rFonts w:ascii="Arial" w:cs="Arial" w:eastAsia="Arial" w:hAnsi="Arial"/>
          <w:sz w:val="13"/>
          <w:szCs w:val="13"/>
          <w:i w:val="1"/>
          <w:iCs w:val="1"/>
          <w:color w:val="auto"/>
        </w:rPr>
        <w:t>Uncertainties — Property and Casualty Insurance Reserves”</w:t>
      </w:r>
      <w:r>
        <w:rPr>
          <w:rFonts w:ascii="Arial" w:cs="Arial" w:eastAsia="Arial" w:hAnsi="Arial"/>
          <w:sz w:val="13"/>
          <w:szCs w:val="13"/>
          <w:color w:val="auto"/>
        </w:rPr>
        <w:t xml:space="preserve"> below. The timing of future payments for the next twelve months and beyond could vary materially from historical payment patterns due to, among other things, changes in claim reporting and payment patterns and large unanticipated settlements.</w:t>
      </w:r>
    </w:p>
    <w:p>
      <w:pPr>
        <w:spacing w:after="0" w:line="156"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Condensed Parent Only Cash Flows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AFG’s parent holding company only condensed cash flows from operating, investing and financing activities are shown below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225</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800" w:type="dxa"/>
            <w:vAlign w:val="bottom"/>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52</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0"/>
        </w:trPr>
        <w:tc>
          <w:tcPr>
            <w:tcW w:w="7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color w:val="00274E"/>
        </w:rPr>
        <w:t xml:space="preserve">Parent Net Cash Provided by Operating Activities </w:t>
      </w:r>
      <w:r>
        <w:rPr>
          <w:rFonts w:ascii="Arial" w:cs="Arial" w:eastAsia="Arial" w:hAnsi="Arial"/>
          <w:sz w:val="13"/>
          <w:szCs w:val="13"/>
          <w:color w:val="000000"/>
        </w:rPr>
        <w:t>Parent holding company cash flows from operating activities consist primarily of dividends and tax payments received from</w:t>
      </w:r>
      <w:r>
        <w:rPr>
          <w:rFonts w:ascii="Arial" w:cs="Arial" w:eastAsia="Arial" w:hAnsi="Arial"/>
          <w:sz w:val="16"/>
          <w:szCs w:val="16"/>
          <w:b w:val="1"/>
          <w:bCs w:val="1"/>
          <w:color w:val="00274E"/>
        </w:rPr>
        <w:t xml:space="preserve"> </w:t>
      </w:r>
      <w:r>
        <w:rPr>
          <w:rFonts w:ascii="Arial" w:cs="Arial" w:eastAsia="Arial" w:hAnsi="Arial"/>
          <w:sz w:val="13"/>
          <w:szCs w:val="13"/>
          <w:color w:val="000000"/>
        </w:rPr>
        <w:t>AFG’s insurance subsidiaries, reduced by tax payments to the IRS and holding company interest and other expenses. Parent holding company net cash provided by operating activities was $582 million in 2025 compared to $712 million in 2024 and $719 million in 2023. The decrease in net cash provided by operating activities in 2025 compared to 2024 and 2023 was due primarily to lower cash dividends received from subsidiaries.</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00274E"/>
        </w:rPr>
        <w:t xml:space="preserve">Parent Net Cash Provided by (Used in) Investing Activities </w:t>
      </w:r>
      <w:r>
        <w:rPr>
          <w:rFonts w:ascii="Arial" w:cs="Arial" w:eastAsia="Arial" w:hAnsi="Arial"/>
          <w:sz w:val="13"/>
          <w:szCs w:val="13"/>
          <w:color w:val="000000"/>
        </w:rPr>
        <w:t>Parent holding company investing activities consist of capital contributions to and returns of capital from</w:t>
      </w:r>
      <w:r>
        <w:rPr>
          <w:rFonts w:ascii="Arial" w:cs="Arial" w:eastAsia="Arial" w:hAnsi="Arial"/>
          <w:sz w:val="16"/>
          <w:szCs w:val="16"/>
          <w:b w:val="1"/>
          <w:bCs w:val="1"/>
          <w:color w:val="00274E"/>
        </w:rPr>
        <w:t xml:space="preserve"> </w:t>
      </w:r>
      <w:r>
        <w:rPr>
          <w:rFonts w:ascii="Arial" w:cs="Arial" w:eastAsia="Arial" w:hAnsi="Arial"/>
          <w:sz w:val="13"/>
          <w:szCs w:val="13"/>
          <w:color w:val="000000"/>
        </w:rPr>
        <w:t>subsidiaries and parent company investment activity. Parent holding company net cash used in investing activities was $182 million in 2025 compared to net cash provided by investing activities of $72 million in 2024 and $225 million in 2023. The $254 million increase in net cash used in investing activities reflects the investment of cash in fixed maturity securities and lower maturities and redemptions of investments in 2025 compared to 2024. The $153 million decrease in net cash provided by investing activities in 2024 compared to 2023 was due primarily to lower balances of invested assets.</w:t>
      </w:r>
    </w:p>
    <w:p>
      <w:pPr>
        <w:spacing w:after="0" w:line="328"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b w:val="1"/>
          <w:bCs w:val="1"/>
          <w:color w:val="00274E"/>
        </w:rPr>
        <w:t xml:space="preserve">Parent Net Cash Used in Financing Activities </w:t>
      </w:r>
      <w:r>
        <w:rPr>
          <w:rFonts w:ascii="Arial" w:cs="Arial" w:eastAsia="Arial" w:hAnsi="Arial"/>
          <w:sz w:val="13"/>
          <w:szCs w:val="13"/>
          <w:color w:val="000000"/>
        </w:rPr>
        <w:t>Parent company financing activities consist primarily of the issuance and retirement of long-term debt, repurchases of AFG</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Common Stock and dividends to shareholders. Significant long-term debt and Common Stock transactions are discussed above under </w:t>
      </w:r>
      <w:r>
        <w:rPr>
          <w:rFonts w:ascii="Arial" w:cs="Arial" w:eastAsia="Arial" w:hAnsi="Arial"/>
          <w:sz w:val="13"/>
          <w:szCs w:val="13"/>
          <w:i w:val="1"/>
          <w:iCs w:val="1"/>
          <w:color w:val="000000"/>
        </w:rPr>
        <w:t>“Parent Holding Company Liquidity.”</w:t>
      </w:r>
      <w:r>
        <w:rPr>
          <w:rFonts w:ascii="Arial" w:cs="Arial" w:eastAsia="Arial" w:hAnsi="Arial"/>
          <w:sz w:val="13"/>
          <w:szCs w:val="13"/>
          <w:color w:val="000000"/>
        </w:rPr>
        <w:t xml:space="preserve"> Parent holding company net cash used in financing activities was $348 million in 2025 compared to $769 million in 2024 and $901 million in 2023. The $421 million decrease in net cash used in financing activities in 2025 compared to 2024 reflects $344 million in net proceeds from AFG’s issuance of $350 million in 5.00% Senior Notes in September 2025 and lower dividends paid to shareholders (due primarily to special dividends of $4.00 per share in 2025 compared to special dividends of $6.50 per share in 2024), partially offset by $99 million in repurchases of Common Stock in 2025 compared to no repurchases in 2024. The $132 million decrease in net cash used in financing activities in 2024 compared to 2023 reflects no repurchases of Common Stock in 2024 compared to repurchases of Common Stock of $213 million in 2023, partially offset by higher dividends paid to shareholders (due primarily to special dividends of $6.50 per share in 2024 compared to special dividends of $5.50 per share in 2023).</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Off-Balance Sheet Arrangements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O — “Additional Information — Financial Instruments — Unfunded Commitments”</w:t>
      </w:r>
      <w:r>
        <w:rPr>
          <w:rFonts w:ascii="Arial" w:cs="Arial" w:eastAsia="Arial" w:hAnsi="Arial"/>
          <w:sz w:val="13"/>
          <w:szCs w:val="13"/>
          <w:color w:val="auto"/>
        </w:rPr>
        <w:t xml:space="preserve"> to the financial statements</w:t>
      </w:r>
      <w:r>
        <w:rPr>
          <w:rFonts w:ascii="Arial" w:cs="Arial" w:eastAsia="Arial" w:hAnsi="Arial"/>
          <w:sz w:val="13"/>
          <w:szCs w:val="13"/>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Investments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AFG attempts to optimize investment income while building the value of its portfolio, placing emphasis upon total long-term performance.</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AFG’s investment portfolio at December 31, 2025, contained $11.05 billion in fixed maturity securities classified as available for sale and carried at fair value with unrealized gains and losses included in accumulated other comprehensive income (loss) and $91 million in fixed maturities classified as trading with holding gains and losses included in net investment income. In addition, AFG’s investment portfolio includes $567 million in equity securities carried at fair value with holding gains and losses included in realized gains (losses) on securities and</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3"/>
          <w:szCs w:val="13"/>
          <w:color w:val="auto"/>
        </w:rPr>
        <w:t>$218 million in equity securities carried at fair value with holding gains and losses included in net investment income. AFG’s investment portfolio also includes $2.42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Unrealized gains and losses on AFG’s fixed maturity securities are included in shareholders’ equity after adjustments for deferred income taxes.</w:t>
      </w:r>
    </w:p>
    <w:p>
      <w:pPr>
        <w:spacing w:after="0" w:line="201"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Fixed income investment funds are generally invested in securities with intermediate-term maturities with an objective of optimizing total return while allowing flexibility to react to changes in market conditions. At December 31, 2025, the average life of AFG’s fixed maturities was about 4.4 years.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90% was priced using pricing services at December 31, 2025 and 3% was priced using non-binding broker quotes. The remaining 7% was priced internally using a variety of inputs including credit spreads, trade information, prices of comparable securities, estimates of cash flow and other security specific features.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3"/>
          <w:szCs w:val="13"/>
          <w:i w:val="1"/>
          <w:iCs w:val="1"/>
          <w:color w:val="auto"/>
        </w:rPr>
        <w:t>Note D — “Fair Value Measurements”</w:t>
      </w:r>
      <w:r>
        <w:rPr>
          <w:rFonts w:ascii="Arial" w:cs="Arial" w:eastAsia="Arial" w:hAnsi="Arial"/>
          <w:sz w:val="13"/>
          <w:szCs w:val="13"/>
          <w:color w:val="auto"/>
        </w:rPr>
        <w:t xml:space="preserve"> to the financial statements.</w:t>
      </w:r>
    </w:p>
    <w:p>
      <w:pPr>
        <w:spacing w:after="0" w:line="332"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172"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321" w:lineRule="exact"/>
        <w:rPr>
          <w:sz w:val="20"/>
          <w:szCs w:val="20"/>
          <w:color w:val="auto"/>
        </w:rPr>
      </w:pPr>
    </w:p>
    <w:p>
      <w:pPr>
        <w:ind w:right="200"/>
        <w:spacing w:after="0" w:line="284" w:lineRule="auto"/>
        <w:rPr>
          <w:sz w:val="20"/>
          <w:szCs w:val="20"/>
          <w:color w:val="auto"/>
        </w:rPr>
      </w:pPr>
      <w:r>
        <w:rPr>
          <w:rFonts w:ascii="Arial" w:cs="Arial" w:eastAsia="Arial" w:hAnsi="Arial"/>
          <w:sz w:val="13"/>
          <w:szCs w:val="13"/>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December 31, 2025 (dollars in millions). Effects of increases or decreases from the 100 basis points illustrated would be approximately proportional.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fixed maturity portfolio</w:t>
            </w:r>
          </w:p>
        </w:tc>
        <w:tc>
          <w:tcPr>
            <w:tcW w:w="34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11,143</w:t>
            </w:r>
          </w:p>
        </w:tc>
      </w:tr>
      <w:tr>
        <w:trPr>
          <w:trHeight w:val="169"/>
        </w:trPr>
        <w:tc>
          <w:tcPr>
            <w:tcW w:w="6760" w:type="dxa"/>
            <w:vAlign w:val="bottom"/>
          </w:tcPr>
          <w:p>
            <w:pPr>
              <w:ind w:left="20"/>
              <w:spacing w:after="0"/>
              <w:rPr>
                <w:sz w:val="20"/>
                <w:szCs w:val="20"/>
                <w:color w:val="auto"/>
              </w:rPr>
            </w:pPr>
            <w:r>
              <w:rPr>
                <w:rFonts w:ascii="Arial" w:cs="Arial" w:eastAsia="Arial" w:hAnsi="Arial"/>
                <w:sz w:val="13"/>
                <w:szCs w:val="13"/>
                <w:color w:val="auto"/>
              </w:rPr>
              <w:t>Percentage impact on fair value of 100 bps increase in interest rates</w:t>
            </w:r>
          </w:p>
        </w:tc>
        <w:tc>
          <w:tcPr>
            <w:tcW w:w="3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impact on fair value of fixed maturity portfolio</w:t>
            </w:r>
          </w:p>
        </w:tc>
        <w:tc>
          <w:tcPr>
            <w:tcW w:w="34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(334)</w:t>
            </w:r>
          </w:p>
        </w:tc>
      </w:tr>
    </w:tbl>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Approximately 96% of the fixed maturities held by AFG at December 31, 2025, were rated “investment grade” (credit rating of AAA to BBB) by nationally recognized rating agencies, 2% were rated “non-investment grade” and 2% were not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39" w:lineRule="exact"/>
        <w:rPr>
          <w:sz w:val="20"/>
          <w:szCs w:val="20"/>
          <w:color w:val="auto"/>
        </w:rPr>
      </w:pPr>
    </w:p>
    <w:p>
      <w:pPr>
        <w:ind w:right="220"/>
        <w:spacing w:after="0" w:line="314" w:lineRule="auto"/>
        <w:rPr>
          <w:sz w:val="20"/>
          <w:szCs w:val="20"/>
          <w:color w:val="auto"/>
        </w:rPr>
      </w:pPr>
      <w:r>
        <w:rPr>
          <w:rFonts w:ascii="Arial" w:cs="Arial" w:eastAsia="Arial" w:hAnsi="Arial"/>
          <w:sz w:val="13"/>
          <w:szCs w:val="13"/>
          <w:color w:val="auto"/>
        </w:rPr>
        <w:t>AFG has approximately $80 million of direct exposure to office commercial real estate through property ownership, mortgages or equity method investments. AFG’s fixed maturity portfolio includes securities (the majority of which are AAA-rated) with a carrying value of approximately $280 million that have minimal exposure to office commercial real estate.</w:t>
      </w:r>
    </w:p>
    <w:p>
      <w:pPr>
        <w:spacing w:after="0" w:line="129" w:lineRule="exact"/>
        <w:rPr>
          <w:sz w:val="20"/>
          <w:szCs w:val="20"/>
          <w:color w:val="auto"/>
        </w:rPr>
      </w:pPr>
    </w:p>
    <w:p>
      <w:pPr>
        <w:ind w:right="560"/>
        <w:spacing w:after="0" w:line="297" w:lineRule="auto"/>
        <w:rPr>
          <w:sz w:val="20"/>
          <w:szCs w:val="20"/>
          <w:color w:val="auto"/>
        </w:rPr>
      </w:pPr>
      <w:r>
        <w:rPr>
          <w:rFonts w:ascii="Arial" w:cs="Arial" w:eastAsia="Arial" w:hAnsi="Arial"/>
          <w:sz w:val="13"/>
          <w:szCs w:val="13"/>
          <w:color w:val="auto"/>
        </w:rPr>
        <w:t>Summarized information for the unrealized gains and losses recorded in AFG’s Balance Sheet at December 31, 2025, is shown in the following table (dollars in millions). There were $484 million of available for sale fixed maturity securities with no unrealized gains or losses at December 31,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color w:val="auto"/>
              </w:rPr>
              <w:t>Securities</w:t>
            </w:r>
          </w:p>
        </w:tc>
        <w:tc>
          <w:tcPr>
            <w:tcW w:w="240" w:type="dxa"/>
            <w:vAlign w:val="bottom"/>
          </w:tcPr>
          <w:p>
            <w:pPr>
              <w:spacing w:after="0"/>
              <w:rPr>
                <w:sz w:val="10"/>
                <w:szCs w:val="10"/>
                <w:color w:val="auto"/>
              </w:rPr>
            </w:pPr>
          </w:p>
        </w:tc>
        <w:tc>
          <w:tcPr>
            <w:tcW w:w="1060" w:type="dxa"/>
            <w:vAlign w:val="bottom"/>
          </w:tcPr>
          <w:p>
            <w:pPr>
              <w:jc w:val="center"/>
              <w:ind w:right="178"/>
              <w:spacing w:after="0"/>
              <w:rPr>
                <w:sz w:val="20"/>
                <w:szCs w:val="20"/>
                <w:color w:val="auto"/>
              </w:rPr>
            </w:pPr>
            <w:r>
              <w:rPr>
                <w:rFonts w:ascii="Arial" w:cs="Arial" w:eastAsia="Arial" w:hAnsi="Arial"/>
                <w:sz w:val="11"/>
                <w:szCs w:val="11"/>
                <w:color w:val="auto"/>
              </w:rPr>
              <w:t>Securities</w:t>
            </w:r>
          </w:p>
        </w:tc>
      </w:tr>
      <w:tr>
        <w:trPr>
          <w:trHeight w:val="110"/>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w w:val="99"/>
              </w:rPr>
              <w:t>With</w:t>
            </w:r>
          </w:p>
        </w:tc>
        <w:tc>
          <w:tcPr>
            <w:tcW w:w="240" w:type="dxa"/>
            <w:vAlign w:val="bottom"/>
          </w:tcPr>
          <w:p>
            <w:pPr>
              <w:spacing w:after="0"/>
              <w:rPr>
                <w:sz w:val="9"/>
                <w:szCs w:val="9"/>
                <w:color w:val="auto"/>
              </w:rPr>
            </w:pPr>
          </w:p>
        </w:tc>
        <w:tc>
          <w:tcPr>
            <w:tcW w:w="1060" w:type="dxa"/>
            <w:vAlign w:val="bottom"/>
          </w:tcPr>
          <w:p>
            <w:pPr>
              <w:jc w:val="center"/>
              <w:ind w:right="178"/>
              <w:spacing w:after="0" w:line="111" w:lineRule="exact"/>
              <w:rPr>
                <w:sz w:val="20"/>
                <w:szCs w:val="20"/>
                <w:color w:val="auto"/>
              </w:rPr>
            </w:pPr>
            <w:r>
              <w:rPr>
                <w:rFonts w:ascii="Arial" w:cs="Arial" w:eastAsia="Arial" w:hAnsi="Arial"/>
                <w:sz w:val="11"/>
                <w:szCs w:val="11"/>
                <w:color w:val="auto"/>
                <w:w w:val="99"/>
              </w:rPr>
              <w:t>With</w:t>
            </w:r>
          </w:p>
        </w:tc>
      </w:tr>
      <w:tr>
        <w:trPr>
          <w:trHeight w:val="117"/>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20"/>
              <w:spacing w:after="0" w:line="117" w:lineRule="exact"/>
              <w:rPr>
                <w:sz w:val="20"/>
                <w:szCs w:val="20"/>
                <w:color w:val="auto"/>
              </w:rPr>
            </w:pPr>
            <w:r>
              <w:rPr>
                <w:rFonts w:ascii="Arial" w:cs="Arial" w:eastAsia="Arial" w:hAnsi="Arial"/>
                <w:sz w:val="11"/>
                <w:szCs w:val="11"/>
                <w:color w:val="auto"/>
              </w:rPr>
              <w:t>Unrealized</w:t>
            </w:r>
          </w:p>
        </w:tc>
        <w:tc>
          <w:tcPr>
            <w:tcW w:w="240" w:type="dxa"/>
            <w:vAlign w:val="bottom"/>
          </w:tcPr>
          <w:p>
            <w:pPr>
              <w:spacing w:after="0"/>
              <w:rPr>
                <w:sz w:val="10"/>
                <w:szCs w:val="10"/>
                <w:color w:val="auto"/>
              </w:rPr>
            </w:pPr>
          </w:p>
        </w:tc>
        <w:tc>
          <w:tcPr>
            <w:tcW w:w="1060" w:type="dxa"/>
            <w:vAlign w:val="bottom"/>
          </w:tcPr>
          <w:p>
            <w:pPr>
              <w:jc w:val="center"/>
              <w:ind w:right="178"/>
              <w:spacing w:after="0" w:line="117" w:lineRule="exact"/>
              <w:rPr>
                <w:sz w:val="20"/>
                <w:szCs w:val="20"/>
                <w:color w:val="auto"/>
              </w:rPr>
            </w:pPr>
            <w:r>
              <w:rPr>
                <w:rFonts w:ascii="Arial" w:cs="Arial" w:eastAsia="Arial" w:hAnsi="Arial"/>
                <w:sz w:val="11"/>
                <w:szCs w:val="11"/>
                <w:color w:val="auto"/>
              </w:rPr>
              <w:t>Unrealized</w:t>
            </w:r>
          </w:p>
        </w:tc>
      </w:tr>
      <w:tr>
        <w:trPr>
          <w:trHeight w:val="152"/>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color w:val="auto"/>
              </w:rPr>
              <w:t>Gains</w:t>
            </w:r>
          </w:p>
        </w:tc>
        <w:tc>
          <w:tcPr>
            <w:tcW w:w="240" w:type="dxa"/>
            <w:vAlign w:val="bottom"/>
          </w:tcPr>
          <w:p>
            <w:pPr>
              <w:spacing w:after="0"/>
              <w:rPr>
                <w:sz w:val="13"/>
                <w:szCs w:val="13"/>
                <w:color w:val="auto"/>
              </w:rPr>
            </w:pPr>
          </w:p>
        </w:tc>
        <w:tc>
          <w:tcPr>
            <w:tcW w:w="1060" w:type="dxa"/>
            <w:vAlign w:val="bottom"/>
          </w:tcPr>
          <w:p>
            <w:pPr>
              <w:jc w:val="center"/>
              <w:ind w:right="158"/>
              <w:spacing w:after="0"/>
              <w:rPr>
                <w:sz w:val="20"/>
                <w:szCs w:val="20"/>
                <w:color w:val="auto"/>
              </w:rPr>
            </w:pPr>
            <w:r>
              <w:rPr>
                <w:rFonts w:ascii="Arial" w:cs="Arial" w:eastAsia="Arial" w:hAnsi="Arial"/>
                <w:sz w:val="11"/>
                <w:szCs w:val="11"/>
                <w:color w:val="auto"/>
              </w:rPr>
              <w:t>Losses</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858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color w:val="auto"/>
              </w:rPr>
              <w:t>Available for Sale Fixed Maturities</w:t>
            </w: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920" w:type="dxa"/>
            <w:vAlign w:val="bottom"/>
            <w:tcBorders>
              <w:top w:val="single" w:sz="8" w:color="auto"/>
            </w:tcBorders>
          </w:tcPr>
          <w:p>
            <w:pPr>
              <w:ind w:left="260"/>
              <w:spacing w:after="0"/>
              <w:rPr>
                <w:sz w:val="20"/>
                <w:szCs w:val="20"/>
                <w:color w:val="auto"/>
              </w:rPr>
            </w:pPr>
            <w:r>
              <w:rPr>
                <w:rFonts w:ascii="Arial" w:cs="Arial" w:eastAsia="Arial" w:hAnsi="Arial"/>
                <w:sz w:val="13"/>
                <w:szCs w:val="13"/>
                <w:color w:val="auto"/>
              </w:rPr>
              <w:t>Fair value of securities</w:t>
            </w:r>
          </w:p>
        </w:tc>
        <w:tc>
          <w:tcPr>
            <w:tcW w:w="66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CCEEFF"/>
            </w:tcBorders>
          </w:tcPr>
          <w:p>
            <w:pPr>
              <w:jc w:val="right"/>
              <w:ind w:right="98"/>
              <w:spacing w:after="0"/>
              <w:rPr>
                <w:sz w:val="20"/>
                <w:szCs w:val="20"/>
                <w:color w:val="auto"/>
              </w:rPr>
            </w:pPr>
            <w:r>
              <w:rPr>
                <w:rFonts w:ascii="Arial" w:cs="Arial" w:eastAsia="Arial" w:hAnsi="Arial"/>
                <w:sz w:val="13"/>
                <w:szCs w:val="13"/>
                <w:color w:val="auto"/>
              </w:rPr>
              <w:t>6,526</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CCEEFF"/>
            </w:tcBorders>
          </w:tcPr>
          <w:p>
            <w:pPr>
              <w:jc w:val="right"/>
              <w:ind w:right="98"/>
              <w:spacing w:after="0"/>
              <w:rPr>
                <w:sz w:val="20"/>
                <w:szCs w:val="20"/>
                <w:color w:val="auto"/>
              </w:rPr>
            </w:pPr>
            <w:r>
              <w:rPr>
                <w:rFonts w:ascii="Arial" w:cs="Arial" w:eastAsia="Arial" w:hAnsi="Arial"/>
                <w:sz w:val="13"/>
                <w:szCs w:val="13"/>
                <w:color w:val="auto"/>
              </w:rPr>
              <w:t>4,042</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Amortized cost of securities, net of allowance for expected credit losses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6,361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4,235</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Gross unrealized gain (loss)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(193)</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Fair value as % of amortized cost</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Number of security positions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1,102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858</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Number individually exceeding $2 million gain or loss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22</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Concentration of gains (losses) by type or industry (exceeding 5% of unrealized):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Residential mortgage-backed securities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(103)</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500"/>
              <w:spacing w:after="0"/>
              <w:rPr>
                <w:sz w:val="20"/>
                <w:szCs w:val="20"/>
                <w:color w:val="auto"/>
              </w:rPr>
            </w:pPr>
            <w:r>
              <w:rPr>
                <w:rFonts w:ascii="Arial" w:cs="Arial" w:eastAsia="Arial" w:hAnsi="Arial"/>
                <w:sz w:val="13"/>
                <w:szCs w:val="13"/>
                <w:color w:val="auto"/>
              </w:rPr>
              <w:t>Other asset-backed securities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(38)</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Banking</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500"/>
              <w:spacing w:after="0"/>
              <w:rPr>
                <w:sz w:val="20"/>
                <w:szCs w:val="20"/>
                <w:color w:val="auto"/>
              </w:rPr>
            </w:pPr>
            <w:r>
              <w:rPr>
                <w:rFonts w:ascii="Arial" w:cs="Arial" w:eastAsia="Arial" w:hAnsi="Arial"/>
                <w:sz w:val="13"/>
                <w:szCs w:val="13"/>
                <w:color w:val="auto"/>
              </w:rPr>
              <w:t>Asset managers</w:t>
            </w:r>
          </w:p>
        </w:tc>
        <w:tc>
          <w:tcPr>
            <w:tcW w:w="24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(4)</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States and municipalities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w:t>
            </w:r>
          </w:p>
        </w:tc>
      </w:tr>
      <w:tr>
        <w:trPr>
          <w:trHeight w:val="167"/>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Percentage rated investment grade</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96%</w:t>
            </w:r>
          </w:p>
        </w:tc>
      </w:tr>
    </w:tbl>
    <w:p>
      <w:pPr>
        <w:spacing w:after="0" w:line="240" w:lineRule="exact"/>
        <w:rPr>
          <w:sz w:val="20"/>
          <w:szCs w:val="20"/>
          <w:color w:val="auto"/>
        </w:rPr>
      </w:pPr>
    </w:p>
    <w:p>
      <w:pPr>
        <w:ind w:right="260"/>
        <w:spacing w:after="0" w:line="314" w:lineRule="auto"/>
        <w:rPr>
          <w:sz w:val="20"/>
          <w:szCs w:val="20"/>
          <w:color w:val="auto"/>
        </w:rPr>
      </w:pPr>
      <w:r>
        <w:rPr>
          <w:rFonts w:ascii="Arial" w:cs="Arial" w:eastAsia="Arial" w:hAnsi="Arial"/>
          <w:sz w:val="13"/>
          <w:szCs w:val="13"/>
          <w:color w:val="auto"/>
        </w:rPr>
        <w:t>The table below sets forth the scheduled maturities of AFG’s available for sale fixed maturity securities at December 31, 2025, based on their fair values. Securities with sinking funds are reported at average maturity. Actual maturities may differ from contractual maturities because certain securities may be called or prepaid by the issuers.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rPr>
              <w:t>Securities</w:t>
            </w:r>
          </w:p>
        </w:tc>
        <w:tc>
          <w:tcPr>
            <w:tcW w:w="1300" w:type="dxa"/>
            <w:vAlign w:val="bottom"/>
          </w:tcPr>
          <w:p>
            <w:pPr>
              <w:jc w:val="center"/>
              <w:spacing w:after="0"/>
              <w:rPr>
                <w:sz w:val="20"/>
                <w:szCs w:val="20"/>
                <w:color w:val="auto"/>
              </w:rPr>
            </w:pPr>
            <w:r>
              <w:rPr>
                <w:rFonts w:ascii="Arial" w:cs="Arial" w:eastAsia="Arial" w:hAnsi="Arial"/>
                <w:sz w:val="11"/>
                <w:szCs w:val="11"/>
                <w:color w:val="auto"/>
              </w:rPr>
              <w:t>Securities</w:t>
            </w:r>
          </w:p>
        </w:tc>
      </w:tr>
      <w:tr>
        <w:trPr>
          <w:trHeight w:val="117"/>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380" w:type="dxa"/>
            <w:vAlign w:val="bottom"/>
            <w:gridSpan w:val="2"/>
          </w:tcPr>
          <w:p>
            <w:pPr>
              <w:jc w:val="center"/>
              <w:ind w:right="80"/>
              <w:spacing w:after="0" w:line="117" w:lineRule="exact"/>
              <w:rPr>
                <w:sz w:val="20"/>
                <w:szCs w:val="20"/>
                <w:color w:val="auto"/>
              </w:rPr>
            </w:pPr>
            <w:r>
              <w:rPr>
                <w:rFonts w:ascii="Arial" w:cs="Arial" w:eastAsia="Arial" w:hAnsi="Arial"/>
                <w:sz w:val="11"/>
                <w:szCs w:val="11"/>
                <w:color w:val="auto"/>
                <w:w w:val="99"/>
              </w:rPr>
              <w:t>With</w:t>
            </w:r>
          </w:p>
        </w:tc>
        <w:tc>
          <w:tcPr>
            <w:tcW w:w="1300" w:type="dxa"/>
            <w:vAlign w:val="bottom"/>
          </w:tcPr>
          <w:p>
            <w:pPr>
              <w:jc w:val="center"/>
              <w:spacing w:after="0" w:line="117" w:lineRule="exact"/>
              <w:rPr>
                <w:sz w:val="20"/>
                <w:szCs w:val="20"/>
                <w:color w:val="auto"/>
              </w:rPr>
            </w:pPr>
            <w:r>
              <w:rPr>
                <w:rFonts w:ascii="Arial" w:cs="Arial" w:eastAsia="Arial" w:hAnsi="Arial"/>
                <w:sz w:val="11"/>
                <w:szCs w:val="11"/>
                <w:color w:val="auto"/>
                <w:w w:val="99"/>
              </w:rPr>
              <w:t>With</w:t>
            </w:r>
          </w:p>
        </w:tc>
      </w:tr>
      <w:tr>
        <w:trPr>
          <w:trHeight w:val="112"/>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380" w:type="dxa"/>
            <w:vAlign w:val="bottom"/>
            <w:gridSpan w:val="2"/>
          </w:tcPr>
          <w:p>
            <w:pPr>
              <w:jc w:val="center"/>
              <w:ind w:right="80"/>
              <w:spacing w:after="0" w:line="113" w:lineRule="exact"/>
              <w:rPr>
                <w:sz w:val="20"/>
                <w:szCs w:val="20"/>
                <w:color w:val="auto"/>
              </w:rPr>
            </w:pPr>
            <w:r>
              <w:rPr>
                <w:rFonts w:ascii="Arial" w:cs="Arial" w:eastAsia="Arial" w:hAnsi="Arial"/>
                <w:sz w:val="11"/>
                <w:szCs w:val="11"/>
                <w:color w:val="auto"/>
              </w:rPr>
              <w:t>Unrealized</w:t>
            </w:r>
          </w:p>
        </w:tc>
        <w:tc>
          <w:tcPr>
            <w:tcW w:w="1300" w:type="dxa"/>
            <w:vAlign w:val="bottom"/>
          </w:tcPr>
          <w:p>
            <w:pPr>
              <w:jc w:val="center"/>
              <w:spacing w:after="0" w:line="113" w:lineRule="exact"/>
              <w:rPr>
                <w:sz w:val="20"/>
                <w:szCs w:val="20"/>
                <w:color w:val="auto"/>
              </w:rPr>
            </w:pPr>
            <w:r>
              <w:rPr>
                <w:rFonts w:ascii="Arial" w:cs="Arial" w:eastAsia="Arial" w:hAnsi="Arial"/>
                <w:sz w:val="11"/>
                <w:szCs w:val="11"/>
                <w:color w:val="auto"/>
              </w:rPr>
              <w:t>Unrealized</w:t>
            </w: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rPr>
              <w:t>Gains</w:t>
            </w:r>
          </w:p>
        </w:tc>
        <w:tc>
          <w:tcPr>
            <w:tcW w:w="1300" w:type="dxa"/>
            <w:vAlign w:val="bottom"/>
          </w:tcPr>
          <w:p>
            <w:pPr>
              <w:jc w:val="center"/>
              <w:spacing w:after="0"/>
              <w:rPr>
                <w:sz w:val="20"/>
                <w:szCs w:val="20"/>
                <w:color w:val="auto"/>
              </w:rPr>
            </w:pPr>
            <w:r>
              <w:rPr>
                <w:rFonts w:ascii="Arial" w:cs="Arial" w:eastAsia="Arial" w:hAnsi="Arial"/>
                <w:sz w:val="11"/>
                <w:szCs w:val="11"/>
                <w:color w:val="auto"/>
              </w:rPr>
              <w:t>Losses</w:t>
            </w:r>
          </w:p>
        </w:tc>
      </w:tr>
      <w:tr>
        <w:trPr>
          <w:trHeight w:val="130"/>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5"/>
              </w:rPr>
              <w:t>Maturity</w:t>
            </w:r>
          </w:p>
        </w:tc>
        <w:tc>
          <w:tcPr>
            <w:tcW w:w="812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One year or less</w:t>
            </w:r>
          </w:p>
        </w:tc>
        <w:tc>
          <w:tcPr>
            <w:tcW w:w="13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After one year through five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9"/>
        </w:trPr>
        <w:tc>
          <w:tcPr>
            <w:tcW w:w="20" w:type="dxa"/>
            <w:vAlign w:val="bottom"/>
          </w:tcPr>
          <w:p>
            <w:pPr>
              <w:spacing w:after="0"/>
              <w:rPr>
                <w:sz w:val="14"/>
                <w:szCs w:val="14"/>
                <w:color w:val="auto"/>
              </w:rPr>
            </w:pPr>
          </w:p>
        </w:tc>
        <w:tc>
          <w:tcPr>
            <w:tcW w:w="8580" w:type="dxa"/>
            <w:vAlign w:val="bottom"/>
            <w:gridSpan w:val="2"/>
          </w:tcPr>
          <w:p>
            <w:pPr>
              <w:ind w:left="260"/>
              <w:spacing w:after="0"/>
              <w:rPr>
                <w:sz w:val="20"/>
                <w:szCs w:val="20"/>
                <w:color w:val="auto"/>
              </w:rPr>
            </w:pPr>
            <w:r>
              <w:rPr>
                <w:rFonts w:ascii="Arial" w:cs="Arial" w:eastAsia="Arial" w:hAnsi="Arial"/>
                <w:sz w:val="13"/>
                <w:szCs w:val="13"/>
                <w:color w:val="auto"/>
              </w:rPr>
              <w:t>After five years through ten years</w:t>
            </w:r>
          </w:p>
        </w:tc>
        <w:tc>
          <w:tcPr>
            <w:tcW w:w="130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After ten years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2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CLOs and other asset-backed securities (average life of approximately 3.5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20" w:type="dxa"/>
            <w:vAlign w:val="bottom"/>
            <w:tcBorders>
              <w:bottom w:val="single" w:sz="8" w:color="CCEEFF"/>
            </w:tcBorders>
          </w:tcPr>
          <w:p>
            <w:pPr>
              <w:spacing w:after="0"/>
              <w:rPr>
                <w:sz w:val="14"/>
                <w:szCs w:val="14"/>
                <w:color w:val="auto"/>
              </w:rPr>
            </w:pPr>
          </w:p>
        </w:tc>
        <w:tc>
          <w:tcPr>
            <w:tcW w:w="85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Residential mortgage-backed securities (average life of approximately 6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(dollars in millions) summarizes the unrealized gains and losses on fixed maturity securities by dollar amount: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Aggregate</w:t>
            </w:r>
          </w:p>
        </w:tc>
        <w:tc>
          <w:tcPr>
            <w:tcW w:w="200" w:type="dxa"/>
            <w:vAlign w:val="bottom"/>
          </w:tcPr>
          <w:p>
            <w:pPr>
              <w:spacing w:after="0"/>
              <w:rPr>
                <w:sz w:val="10"/>
                <w:szCs w:val="10"/>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Aggregate</w:t>
            </w:r>
          </w:p>
        </w:tc>
        <w:tc>
          <w:tcPr>
            <w:tcW w:w="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4"/>
              </w:rPr>
              <w:t>Fair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center"/>
              <w:ind w:right="300"/>
              <w:spacing w:after="0" w:line="113" w:lineRule="exact"/>
              <w:rPr>
                <w:sz w:val="20"/>
                <w:szCs w:val="20"/>
                <w:color w:val="auto"/>
              </w:rPr>
            </w:pPr>
            <w:r>
              <w:rPr>
                <w:rFonts w:ascii="Arial" w:cs="Arial" w:eastAsia="Arial" w:hAnsi="Arial"/>
                <w:sz w:val="11"/>
                <w:szCs w:val="11"/>
                <w:color w:val="auto"/>
                <w:w w:val="94"/>
              </w:rPr>
              <w:t>Fair</w:t>
            </w:r>
          </w:p>
        </w:tc>
        <w:tc>
          <w:tcPr>
            <w:tcW w:w="200" w:type="dxa"/>
            <w:vAlign w:val="bottom"/>
          </w:tcPr>
          <w:p>
            <w:pPr>
              <w:spacing w:after="0"/>
              <w:rPr>
                <w:sz w:val="9"/>
                <w:szCs w:val="9"/>
                <w:color w:val="auto"/>
              </w:rPr>
            </w:pPr>
          </w:p>
        </w:tc>
        <w:tc>
          <w:tcPr>
            <w:tcW w:w="1000" w:type="dxa"/>
            <w:vAlign w:val="bottom"/>
          </w:tcPr>
          <w:p>
            <w:pPr>
              <w:jc w:val="center"/>
              <w:ind w:right="159"/>
              <w:spacing w:after="0" w:line="113" w:lineRule="exact"/>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9"/>
                <w:szCs w:val="9"/>
                <w:color w:val="auto"/>
              </w:rPr>
            </w:pPr>
          </w:p>
        </w:tc>
        <w:tc>
          <w:tcPr>
            <w:tcW w:w="1300" w:type="dxa"/>
            <w:vAlign w:val="bottom"/>
          </w:tcPr>
          <w:p>
            <w:pPr>
              <w:jc w:val="center"/>
              <w:spacing w:after="0" w:line="113" w:lineRule="exact"/>
              <w:rPr>
                <w:sz w:val="20"/>
                <w:szCs w:val="20"/>
                <w:color w:val="auto"/>
              </w:rPr>
            </w:pPr>
            <w:r>
              <w:rPr>
                <w:rFonts w:ascii="Arial" w:cs="Arial" w:eastAsia="Arial" w:hAnsi="Arial"/>
                <w:sz w:val="11"/>
                <w:szCs w:val="11"/>
                <w:color w:val="auto"/>
                <w:w w:val="98"/>
              </w:rPr>
              <w:t>Value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Value</w:t>
            </w:r>
          </w:p>
        </w:tc>
        <w:tc>
          <w:tcPr>
            <w:tcW w:w="200" w:type="dxa"/>
            <w:vAlign w:val="bottom"/>
          </w:tcPr>
          <w:p>
            <w:pPr>
              <w:spacing w:after="0"/>
              <w:rPr>
                <w:sz w:val="12"/>
                <w:szCs w:val="12"/>
                <w:color w:val="auto"/>
              </w:rPr>
            </w:pPr>
          </w:p>
        </w:tc>
        <w:tc>
          <w:tcPr>
            <w:tcW w:w="1000" w:type="dxa"/>
            <w:vAlign w:val="bottom"/>
          </w:tcPr>
          <w:p>
            <w:pPr>
              <w:jc w:val="center"/>
              <w:ind w:right="159"/>
              <w:spacing w:after="0"/>
              <w:rPr>
                <w:sz w:val="20"/>
                <w:szCs w:val="20"/>
                <w:color w:val="auto"/>
              </w:rPr>
            </w:pPr>
            <w:r>
              <w:rPr>
                <w:rFonts w:ascii="Arial" w:cs="Arial" w:eastAsia="Arial" w:hAnsi="Arial"/>
                <w:sz w:val="11"/>
                <w:szCs w:val="11"/>
                <w:color w:val="auto"/>
              </w:rPr>
              <w:t>Gain (Loss)</w:t>
            </w: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 of Cost</w:t>
            </w:r>
          </w:p>
        </w:tc>
        <w:tc>
          <w:tcPr>
            <w:tcW w:w="0" w:type="dxa"/>
            <w:vAlign w:val="bottom"/>
          </w:tcPr>
          <w:p>
            <w:pPr>
              <w:spacing w:after="0"/>
              <w:rPr>
                <w:sz w:val="1"/>
                <w:szCs w:val="1"/>
                <w:color w:val="auto"/>
              </w:rPr>
            </w:pPr>
          </w:p>
        </w:tc>
      </w:tr>
      <w:tr>
        <w:trPr>
          <w:trHeight w:val="130"/>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20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7"/>
              </w:rPr>
              <w:t>Fixed Maturities at December 31, 2025</w:t>
            </w:r>
          </w:p>
        </w:tc>
        <w:tc>
          <w:tcPr>
            <w:tcW w:w="5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b w:val="1"/>
                <w:bCs w:val="1"/>
                <w:color w:val="auto"/>
              </w:rPr>
              <w:t>Securities with unrealized gains: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Exceeding $500,000 (68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$500,000 or less (1,034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Securities with unrealized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7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Exceeding $500,000 (85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$500,000 or less (773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340"/>
        <w:spacing w:after="0" w:line="297" w:lineRule="auto"/>
        <w:rPr>
          <w:sz w:val="20"/>
          <w:szCs w:val="20"/>
          <w:color w:val="auto"/>
        </w:rPr>
      </w:pPr>
      <w:r>
        <w:rPr>
          <w:rFonts w:ascii="Arial" w:cs="Arial" w:eastAsia="Arial" w:hAnsi="Arial"/>
          <w:sz w:val="13"/>
          <w:szCs w:val="13"/>
          <w:color w:val="auto"/>
        </w:rPr>
        <w:t>The following table (dollars in millions) summarizes the unrealized losses for all securities with unrealized losses by issuer quality and the length of time those securities have been in an unrealized loss position: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Aggregate</w:t>
            </w:r>
          </w:p>
        </w:tc>
        <w:tc>
          <w:tcPr>
            <w:tcW w:w="200" w:type="dxa"/>
            <w:vAlign w:val="bottom"/>
          </w:tcPr>
          <w:p>
            <w:pPr>
              <w:spacing w:after="0"/>
              <w:rPr>
                <w:sz w:val="10"/>
                <w:szCs w:val="10"/>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Aggregate</w:t>
            </w:r>
          </w:p>
        </w:tc>
        <w:tc>
          <w:tcPr>
            <w:tcW w:w="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4"/>
              </w:rPr>
              <w:t>Fair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4"/>
              </w:rPr>
              <w:t>Fair</w:t>
            </w:r>
          </w:p>
        </w:tc>
        <w:tc>
          <w:tcPr>
            <w:tcW w:w="200" w:type="dxa"/>
            <w:vAlign w:val="bottom"/>
          </w:tcPr>
          <w:p>
            <w:pPr>
              <w:spacing w:after="0"/>
              <w:rPr>
                <w:sz w:val="9"/>
                <w:szCs w:val="9"/>
                <w:color w:val="auto"/>
              </w:rPr>
            </w:pPr>
          </w:p>
        </w:tc>
        <w:tc>
          <w:tcPr>
            <w:tcW w:w="1000" w:type="dxa"/>
            <w:vAlign w:val="bottom"/>
          </w:tcPr>
          <w:p>
            <w:pPr>
              <w:jc w:val="center"/>
              <w:ind w:right="159"/>
              <w:spacing w:after="0" w:line="111" w:lineRule="exact"/>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Arial" w:cs="Arial" w:eastAsia="Arial" w:hAnsi="Arial"/>
                <w:sz w:val="11"/>
                <w:szCs w:val="11"/>
                <w:color w:val="auto"/>
                <w:w w:val="98"/>
              </w:rPr>
              <w:t>Value as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color w:val="auto"/>
              </w:rPr>
              <w:t>Value</w:t>
            </w:r>
          </w:p>
        </w:tc>
        <w:tc>
          <w:tcPr>
            <w:tcW w:w="200" w:type="dxa"/>
            <w:vAlign w:val="bottom"/>
          </w:tcPr>
          <w:p>
            <w:pPr>
              <w:spacing w:after="0"/>
              <w:rPr>
                <w:sz w:val="13"/>
                <w:szCs w:val="13"/>
                <w:color w:val="auto"/>
              </w:rPr>
            </w:pPr>
          </w:p>
        </w:tc>
        <w:tc>
          <w:tcPr>
            <w:tcW w:w="1000" w:type="dxa"/>
            <w:vAlign w:val="bottom"/>
          </w:tcPr>
          <w:p>
            <w:pPr>
              <w:jc w:val="center"/>
              <w:ind w:right="139"/>
              <w:spacing w:after="0"/>
              <w:rPr>
                <w:sz w:val="20"/>
                <w:szCs w:val="20"/>
                <w:color w:val="auto"/>
              </w:rPr>
            </w:pPr>
            <w:r>
              <w:rPr>
                <w:rFonts w:ascii="Arial" w:cs="Arial" w:eastAsia="Arial" w:hAnsi="Arial"/>
                <w:sz w:val="11"/>
                <w:szCs w:val="11"/>
                <w:color w:val="auto"/>
              </w:rPr>
              <w:t>Loss</w:t>
            </w:r>
          </w:p>
        </w:tc>
        <w:tc>
          <w:tcPr>
            <w:tcW w:w="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 of Cost</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200" w:type="dxa"/>
            <w:vAlign w:val="bottom"/>
            <w:tcBorders>
              <w:top w:val="single" w:sz="8" w:color="CCEEFF"/>
              <w:bottom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7"/>
              </w:rPr>
              <w:t>Securities with Unrealized Losses at December 31, 2025</w:t>
            </w:r>
          </w:p>
        </w:tc>
        <w:tc>
          <w:tcPr>
            <w:tcW w:w="4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Arial" w:cs="Arial" w:eastAsia="Arial" w:hAnsi="Arial"/>
                <w:sz w:val="13"/>
                <w:szCs w:val="13"/>
                <w:b w:val="1"/>
                <w:bCs w:val="1"/>
                <w:color w:val="auto"/>
              </w:rPr>
              <w:t>Investment grade fixed maturities with losses for:</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Less than one year (100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One year or longer (633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4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Non-investment grade fixed maturities with losses for: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7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Less than one year (34 securities)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One year or longer (91 securities)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4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To evaluate fixed maturities for expected credit losses (impairment), management considers the following:</w:t>
      </w:r>
    </w:p>
    <w:p>
      <w:pPr>
        <w:spacing w:after="0" w:line="201"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whether the unrealized loss is credit-driven or a result of changes in market interest rates,</w:t>
      </w:r>
    </w:p>
    <w:p>
      <w:pPr>
        <w:spacing w:after="0" w:line="26"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extent to which fair value is less than cost basis,</w:t>
      </w:r>
    </w:p>
    <w:p>
      <w:pPr>
        <w:spacing w:after="0" w:line="15"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cash flow projections received from independent sources,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historical operating, balance sheet and cash flow data contained in issuer SEC filings and news releases,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near-term prospects for improvement in the issuer and/or its industry,</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third-party research and communications with industry specialists,</w:t>
      </w:r>
    </w:p>
    <w:p>
      <w:pPr>
        <w:spacing w:after="0" w:line="14"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financial models and forecasts,</w:t>
      </w:r>
    </w:p>
    <w:p>
      <w:pPr>
        <w:spacing w:after="0" w:line="15"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continuity of interest payments, maintenance of investment grade ratings and hybrid nature of certain investments,</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discussions with issuer management, and</w:t>
      </w:r>
    </w:p>
    <w:p>
      <w:pPr>
        <w:spacing w:after="0" w:line="9" w:lineRule="exact"/>
        <w:rPr>
          <w:rFonts w:ascii="Arial" w:cs="Arial" w:eastAsia="Arial" w:hAnsi="Arial"/>
          <w:sz w:val="13"/>
          <w:szCs w:val="13"/>
          <w:color w:val="auto"/>
        </w:rPr>
      </w:pPr>
    </w:p>
    <w:p>
      <w:pPr>
        <w:ind w:left="320" w:hanging="315"/>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ability and intent to hold the investment for a period of time sufficient to allow for anticipated recovery in fair value.</w:t>
      </w:r>
    </w:p>
    <w:p>
      <w:pPr>
        <w:spacing w:after="0" w:line="189" w:lineRule="exact"/>
        <w:rPr>
          <w:sz w:val="20"/>
          <w:szCs w:val="20"/>
          <w:color w:val="auto"/>
        </w:rPr>
      </w:pPr>
    </w:p>
    <w:p>
      <w:pPr>
        <w:ind w:right="200"/>
        <w:spacing w:after="0" w:line="265" w:lineRule="auto"/>
        <w:rPr>
          <w:sz w:val="20"/>
          <w:szCs w:val="20"/>
          <w:color w:val="auto"/>
        </w:rPr>
      </w:pPr>
      <w:r>
        <w:rPr>
          <w:rFonts w:ascii="Arial" w:cs="Arial" w:eastAsia="Arial" w:hAnsi="Arial"/>
          <w:sz w:val="13"/>
          <w:szCs w:val="13"/>
          <w:color w:val="auto"/>
        </w:rPr>
        <w:t xml:space="preserve">Based on its analysis of the factors listed above, management believes AFG will recover its cost basis (net of any allowance) in the fixed maturity securities with unrealized losses and that AFG has the ability to hold the securities until they recover in value and had no intent to sell them at December 31, 2025.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3"/>
          <w:szCs w:val="13"/>
          <w:i w:val="1"/>
          <w:iCs w:val="1"/>
          <w:color w:val="auto"/>
        </w:rPr>
        <w:t>“Results of Operations — Realized Gains (Losses) on Securities.”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Uncertainties</w:t>
      </w:r>
    </w:p>
    <w:p>
      <w:pPr>
        <w:spacing w:after="0" w:line="17" w:lineRule="exact"/>
        <w:rPr>
          <w:sz w:val="20"/>
          <w:szCs w:val="20"/>
          <w:color w:val="auto"/>
        </w:rPr>
      </w:pPr>
    </w:p>
    <w:p>
      <w:pPr>
        <w:ind w:right="800"/>
        <w:spacing w:after="0" w:line="295" w:lineRule="auto"/>
        <w:rPr>
          <w:sz w:val="20"/>
          <w:szCs w:val="20"/>
          <w:color w:val="auto"/>
        </w:rPr>
      </w:pPr>
      <w:r>
        <w:rPr>
          <w:rFonts w:ascii="Arial" w:cs="Arial" w:eastAsia="Arial" w:hAnsi="Arial"/>
          <w:sz w:val="13"/>
          <w:szCs w:val="13"/>
          <w:color w:val="auto"/>
        </w:rPr>
        <w:t>As more fully explained in the following paragraphs, management believes that the areas posing the greatest risk of material loss are the adequacy of its insurance reserves and contingencies arising out of its former railroad and manufacturing operations.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00274E"/>
        </w:rPr>
        <w:t xml:space="preserve">Property and Casualty Insurance Reserves </w:t>
      </w:r>
      <w:r>
        <w:rPr>
          <w:rFonts w:ascii="Arial" w:cs="Arial" w:eastAsia="Arial" w:hAnsi="Arial"/>
          <w:sz w:val="13"/>
          <w:szCs w:val="13"/>
          <w:color w:val="000000"/>
        </w:rPr>
        <w:t>Estimating the liability for unpaid losses and loss adjustment expenses (“LAE”) is inherently judgmental and is influenced by factors</w:t>
      </w:r>
      <w:r>
        <w:rPr>
          <w:rFonts w:ascii="Arial" w:cs="Arial" w:eastAsia="Arial" w:hAnsi="Arial"/>
          <w:sz w:val="16"/>
          <w:szCs w:val="16"/>
          <w:b w:val="1"/>
          <w:bCs w:val="1"/>
          <w:color w:val="00274E"/>
        </w:rPr>
        <w:t xml:space="preserve"> </w:t>
      </w:r>
      <w:r>
        <w:rPr>
          <w:rFonts w:ascii="Arial" w:cs="Arial" w:eastAsia="Arial" w:hAnsi="Arial"/>
          <w:sz w:val="13"/>
          <w:szCs w:val="13"/>
          <w:color w:val="000000"/>
        </w:rPr>
        <w:t>that are subject to significant variation. Determining the liability is a complex process incorporating input from many areas of the Company including actuarial, underwriting, pricing, claims and operations management.</w:t>
      </w:r>
    </w:p>
    <w:p>
      <w:pPr>
        <w:spacing w:after="0" w:line="155"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The estimates of liabilities for unpaid claims and for expenses of investigation and adjustment of unpaid claims are based upon: (i) the accumulation of case estimates for losses reported prior to the close of the accounting periods on direct business written (“case reserves”); (ii) estimates received from ceding reinsurers and insurance pools and associations; (iii) estimates of claims incurred but not reported (including possible development on known claims); (iv) estimates (based on experience) of expense for investigating and adjusting claims; and (v) the current state of law and coverage litigation.</w:t>
      </w:r>
    </w:p>
    <w:p>
      <w:pPr>
        <w:spacing w:after="0" w:line="157" w:lineRule="exact"/>
        <w:rPr>
          <w:sz w:val="20"/>
          <w:szCs w:val="20"/>
          <w:color w:val="auto"/>
        </w:rPr>
      </w:pPr>
    </w:p>
    <w:p>
      <w:pPr>
        <w:jc w:val="both"/>
        <w:ind w:right="80"/>
        <w:spacing w:after="0" w:line="284" w:lineRule="auto"/>
        <w:rPr>
          <w:sz w:val="20"/>
          <w:szCs w:val="20"/>
          <w:color w:val="auto"/>
        </w:rPr>
      </w:pPr>
      <w:r>
        <w:rPr>
          <w:rFonts w:ascii="Arial" w:cs="Arial" w:eastAsia="Arial" w:hAnsi="Arial"/>
          <w:sz w:val="13"/>
          <w:szCs w:val="13"/>
          <w:color w:val="auto"/>
        </w:rPr>
        <w:t xml:space="preserve">The process used to determine the total reserve for liabilities involves estimating the ultimate incurred losses and LAE, adjusted for amounts already paid on the claims. The IBNR reserve is derived by estimating the ultimate unpaid reserve liability and subtracting case reserves for loss and LAE. See </w:t>
      </w:r>
      <w:r>
        <w:rPr>
          <w:rFonts w:ascii="Arial" w:cs="Arial" w:eastAsia="Arial" w:hAnsi="Arial"/>
          <w:sz w:val="13"/>
          <w:szCs w:val="13"/>
          <w:i w:val="1"/>
          <w:iCs w:val="1"/>
          <w:color w:val="auto"/>
        </w:rPr>
        <w:t>Note N — “Insurance — Insurance Reserves”</w:t>
      </w:r>
      <w:r>
        <w:rPr>
          <w:rFonts w:ascii="Arial" w:cs="Arial" w:eastAsia="Arial" w:hAnsi="Arial"/>
          <w:sz w:val="13"/>
          <w:szCs w:val="13"/>
          <w:color w:val="auto"/>
        </w:rPr>
        <w:t xml:space="preserve"> to the financial statements for a discussion of the factors considered and actuarial methods used in determining management’s best estimate of the ultimate liability for unpaid losses and LAE.</w:t>
      </w:r>
    </w:p>
    <w:p>
      <w:pPr>
        <w:spacing w:after="0" w:line="148"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The following table shows (in millions) the breakdown of AFG’s property and casualty insurance reserves between case reserves, IBNR reserves and LAE reserves (estimated amounts required to adjust, record and settle claims, other than the claim payments themselves) at December 31, 2025 and gross written premiums for the year ended December 31,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color w:val="auto"/>
              </w:rPr>
              <w:t>Gross Loss Reserves</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6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Case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IBNR</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LAE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1"/>
                <w:szCs w:val="11"/>
                <w:color w:val="auto"/>
                <w:w w:val="97"/>
              </w:rPr>
              <w:t>Total</w:t>
            </w:r>
          </w:p>
        </w:tc>
        <w:tc>
          <w:tcPr>
            <w:tcW w:w="180" w:type="dxa"/>
            <w:vAlign w:val="bottom"/>
          </w:tcPr>
          <w:p>
            <w:pPr>
              <w:spacing w:after="0"/>
              <w:rPr>
                <w:sz w:val="10"/>
                <w:szCs w:val="10"/>
                <w:color w:val="auto"/>
              </w:rPr>
            </w:pPr>
          </w:p>
        </w:tc>
        <w:tc>
          <w:tcPr>
            <w:tcW w:w="1020" w:type="dxa"/>
            <w:vAlign w:val="bottom"/>
          </w:tcPr>
          <w:p>
            <w:pPr>
              <w:jc w:val="right"/>
              <w:ind w:right="197"/>
              <w:spacing w:after="0" w:line="119" w:lineRule="exact"/>
              <w:rPr>
                <w:sz w:val="20"/>
                <w:szCs w:val="20"/>
                <w:color w:val="auto"/>
              </w:rPr>
            </w:pPr>
            <w:r>
              <w:rPr>
                <w:rFonts w:ascii="Arial" w:cs="Arial" w:eastAsia="Arial" w:hAnsi="Arial"/>
                <w:sz w:val="11"/>
                <w:szCs w:val="11"/>
                <w:color w:val="auto"/>
              </w:rPr>
              <w:t>Gross Written</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rPr>
              <w:t>Reserves</w:t>
            </w:r>
          </w:p>
        </w:tc>
        <w:tc>
          <w:tcPr>
            <w:tcW w:w="180" w:type="dxa"/>
            <w:vAlign w:val="bottom"/>
          </w:tcPr>
          <w:p>
            <w:pPr>
              <w:spacing w:after="0"/>
              <w:rPr>
                <w:sz w:val="12"/>
                <w:szCs w:val="12"/>
                <w:color w:val="auto"/>
              </w:rPr>
            </w:pPr>
          </w:p>
        </w:tc>
        <w:tc>
          <w:tcPr>
            <w:tcW w:w="1020" w:type="dxa"/>
            <w:vAlign w:val="bottom"/>
          </w:tcPr>
          <w:p>
            <w:pPr>
              <w:jc w:val="right"/>
              <w:ind w:right="277"/>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5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Statutory Line of Business</w:t>
            </w: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Other liability — occurrence</w:t>
            </w:r>
          </w:p>
        </w:tc>
        <w:tc>
          <w:tcPr>
            <w:tcW w:w="640" w:type="dxa"/>
            <w:vAlign w:val="bottom"/>
          </w:tcPr>
          <w:p>
            <w:pPr>
              <w:jc w:val="right"/>
              <w:ind w:right="49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1,096</w:t>
            </w:r>
          </w:p>
        </w:tc>
        <w:tc>
          <w:tcPr>
            <w:tcW w:w="10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4,166</w:t>
            </w:r>
          </w:p>
        </w:tc>
        <w:tc>
          <w:tcPr>
            <w:tcW w:w="80" w:type="dxa"/>
            <w:vAlign w:val="bottom"/>
          </w:tcPr>
          <w:p>
            <w:pPr>
              <w:spacing w:after="0"/>
              <w:rPr>
                <w:sz w:val="14"/>
                <w:szCs w:val="14"/>
                <w:color w:val="auto"/>
              </w:rPr>
            </w:pPr>
          </w:p>
        </w:tc>
        <w:tc>
          <w:tcPr>
            <w:tcW w:w="640" w:type="dxa"/>
            <w:vAlign w:val="bottom"/>
          </w:tcPr>
          <w:p>
            <w:pPr>
              <w:jc w:val="right"/>
              <w:ind w:right="499"/>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848</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6,110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Workers’ compensation</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1,050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1,140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Other liability — claims made</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699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auto/truck liability/medical</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Special property (fire, allied lines, inland marine, earthquake)</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3,062</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Products liability — occurrence</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Commercial multi-peril</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lines</w:t>
            </w:r>
          </w:p>
        </w:tc>
        <w:tc>
          <w:tcPr>
            <w:tcW w:w="6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1,796</w:t>
            </w:r>
          </w:p>
        </w:tc>
        <w:tc>
          <w:tcPr>
            <w:tcW w:w="0" w:type="dxa"/>
            <w:vAlign w:val="bottom"/>
          </w:tcPr>
          <w:p>
            <w:pPr>
              <w:spacing w:after="0"/>
              <w:rPr>
                <w:sz w:val="1"/>
                <w:szCs w:val="1"/>
                <w:color w:val="auto"/>
              </w:rPr>
            </w:pPr>
          </w:p>
        </w:tc>
      </w:tr>
      <w:tr>
        <w:trPr>
          <w:trHeight w:val="159"/>
        </w:trPr>
        <w:tc>
          <w:tcPr>
            <w:tcW w:w="5600" w:type="dxa"/>
            <w:vAlign w:val="bottom"/>
          </w:tcPr>
          <w:p>
            <w:pPr>
              <w:ind w:left="280"/>
              <w:spacing w:after="0"/>
              <w:rPr>
                <w:sz w:val="20"/>
                <w:szCs w:val="20"/>
                <w:color w:val="auto"/>
              </w:rPr>
            </w:pPr>
            <w:r>
              <w:rPr>
                <w:rFonts w:ascii="Arial" w:cs="Arial" w:eastAsia="Arial" w:hAnsi="Arial"/>
                <w:sz w:val="13"/>
                <w:szCs w:val="13"/>
                <w:color w:val="auto"/>
              </w:rPr>
              <w:t>Total Statutory</w:t>
            </w:r>
          </w:p>
        </w:tc>
        <w:tc>
          <w:tcPr>
            <w:tcW w:w="6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4,154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8,447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2,431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15,032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10,620</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for GAAP:</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Foreign subsidiaries</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gains on retroactive reinsurance</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Arial" w:cs="Arial" w:eastAsia="Arial" w:hAnsi="Arial"/>
                <w:sz w:val="13"/>
                <w:szCs w:val="13"/>
                <w:color w:val="auto"/>
              </w:rPr>
              <w:t>Loss reserve discounting</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Adjustments for GAAP</w:t>
            </w:r>
          </w:p>
        </w:tc>
        <w:tc>
          <w:tcPr>
            <w:tcW w:w="6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GAAP Reserves and Premiums</w:t>
            </w: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4,185</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8,477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2,432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While current factors and reasonably likely changes in variable factors are considered in estimating the liability for unpaid losses and LAE, there is no method or system that can eliminate the risk of actual ultimate results differing from such estimates.</w:t>
      </w:r>
    </w:p>
    <w:p>
      <w:pPr>
        <w:spacing w:after="0" w:line="139"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Following is a discussion of certain critical variables affecting the estimation of loss reserves of the more significant long-tail lines of business (asbestos and environmental liabilities are separately discussed below). Many other variables may also impact ultimate claim costs.</w:t>
      </w:r>
    </w:p>
    <w:p>
      <w:pPr>
        <w:spacing w:after="0" w:line="139"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An important assumption underlying reserve estimates is that the cost trends implicitly built into development patterns will continue into the future. However, future results could vary due to an unexpected change in the underlying cost trends. This unexpected change could arise from a variety of sources including a general increase in economic inflation, social inflation, new medical technologies, or other factors such as those listed below in connection with AFG’s largest lines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business. It is not possible to isolate and measure the potential impact of just one of these variables, and future cost trends could be partially impacted by several such variables. However, it is reasonable to address the sensitivity of the reserves to potential impact from changes in these variables by measuring the effect of a possible overall 1% change in future cost trends that may be caused by one or more variables. Utilizing the effect of a 1% change in overall cost trends enables changes greater than 1% to be estimated by extrapolation. Each additional 1% change in the cost trend would increase the effect on net earnings by an amount slightly (about 5%) greater than the effect of the previous 1%. For example, if a 1% change in cost trends in a line of business would change net earnings by $20 million, a 2% change would change net earnings by approximately $41 million.</w:t>
      </w:r>
    </w:p>
    <w:p>
      <w:pPr>
        <w:spacing w:after="0" w:line="15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estimated cumulative adverse impact that a 1% change in cost trends in AFG’s more significant long-tail lines of property and casualty business (exceeding 5% of total reserves) would have on net earnings is shown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ind w:right="119"/>
              <w:spacing w:after="0"/>
              <w:rPr>
                <w:sz w:val="20"/>
                <w:szCs w:val="20"/>
                <w:color w:val="auto"/>
              </w:rPr>
            </w:pPr>
            <w:r>
              <w:rPr>
                <w:rFonts w:ascii="Arial" w:cs="Arial" w:eastAsia="Arial" w:hAnsi="Arial"/>
                <w:sz w:val="11"/>
                <w:szCs w:val="11"/>
                <w:color w:val="auto"/>
              </w:rPr>
              <w:t>Effect of 1%</w:t>
            </w:r>
          </w:p>
        </w:tc>
      </w:tr>
      <w:tr>
        <w:trPr>
          <w:trHeight w:val="112"/>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center"/>
              <w:ind w:right="119"/>
              <w:spacing w:after="0" w:line="113" w:lineRule="exact"/>
              <w:rPr>
                <w:sz w:val="20"/>
                <w:szCs w:val="20"/>
                <w:color w:val="auto"/>
              </w:rPr>
            </w:pPr>
            <w:r>
              <w:rPr>
                <w:rFonts w:ascii="Arial" w:cs="Arial" w:eastAsia="Arial" w:hAnsi="Arial"/>
                <w:sz w:val="11"/>
                <w:szCs w:val="11"/>
                <w:color w:val="auto"/>
              </w:rPr>
              <w:t>Change in</w:t>
            </w:r>
          </w:p>
        </w:tc>
      </w:tr>
      <w:tr>
        <w:trPr>
          <w:trHeight w:val="148"/>
        </w:trPr>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color w:val="auto"/>
              </w:rPr>
              <w:t>Cost Trends</w:t>
            </w:r>
          </w:p>
        </w:tc>
      </w:tr>
      <w:tr>
        <w:trPr>
          <w:trHeight w:val="130"/>
        </w:trPr>
        <w:tc>
          <w:tcPr>
            <w:tcW w:w="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5"/>
              </w:rPr>
              <w:t>Line of business</w:t>
            </w:r>
          </w:p>
        </w:tc>
        <w:tc>
          <w:tcPr>
            <w:tcW w:w="9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20" w:type="dxa"/>
            <w:vAlign w:val="bottom"/>
            <w:gridSpan w:val="2"/>
          </w:tcPr>
          <w:p>
            <w:pPr>
              <w:spacing w:after="0"/>
              <w:rPr>
                <w:sz w:val="20"/>
                <w:szCs w:val="20"/>
                <w:color w:val="auto"/>
              </w:rPr>
            </w:pPr>
            <w:r>
              <w:rPr>
                <w:rFonts w:ascii="Arial" w:cs="Arial" w:eastAsia="Arial" w:hAnsi="Arial"/>
                <w:sz w:val="13"/>
                <w:szCs w:val="13"/>
                <w:color w:val="auto"/>
              </w:rPr>
              <w:t>Other liability — occurrence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1"/>
        </w:trPr>
        <w:tc>
          <w:tcPr>
            <w:tcW w:w="20" w:type="dxa"/>
            <w:vAlign w:val="bottom"/>
            <w:shd w:val="clear" w:color="auto" w:fill="CCEEFF"/>
          </w:tcPr>
          <w:p>
            <w:pPr>
              <w:spacing w:after="0"/>
              <w:rPr>
                <w:sz w:val="14"/>
                <w:szCs w:val="14"/>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9"/>
        </w:trPr>
        <w:tc>
          <w:tcPr>
            <w:tcW w:w="20" w:type="dxa"/>
            <w:vAlign w:val="bottom"/>
          </w:tcPr>
          <w:p>
            <w:pPr>
              <w:spacing w:after="0"/>
              <w:rPr>
                <w:sz w:val="14"/>
                <w:szCs w:val="14"/>
                <w:color w:val="auto"/>
              </w:rPr>
            </w:pPr>
          </w:p>
        </w:tc>
        <w:tc>
          <w:tcPr>
            <w:tcW w:w="10020" w:type="dxa"/>
            <w:vAlign w:val="bottom"/>
            <w:gridSpan w:val="2"/>
          </w:tcPr>
          <w:p>
            <w:pPr>
              <w:spacing w:after="0"/>
              <w:rPr>
                <w:sz w:val="20"/>
                <w:szCs w:val="20"/>
                <w:color w:val="auto"/>
              </w:rPr>
            </w:pPr>
            <w:r>
              <w:rPr>
                <w:rFonts w:ascii="Arial" w:cs="Arial" w:eastAsia="Arial" w:hAnsi="Arial"/>
                <w:sz w:val="13"/>
                <w:szCs w:val="13"/>
                <w:color w:val="auto"/>
              </w:rPr>
              <w:t>Other liability — claims made</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20" w:type="dxa"/>
            <w:vAlign w:val="bottom"/>
            <w:shd w:val="clear" w:color="auto" w:fill="CCEEFF"/>
          </w:tcPr>
          <w:p>
            <w:pPr>
              <w:spacing w:after="0"/>
              <w:rPr>
                <w:sz w:val="14"/>
                <w:szCs w:val="14"/>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auto/truck liability/medical</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bl>
    <w:p>
      <w:pPr>
        <w:spacing w:after="0" w:line="248"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The judgments and uncertainties surrounding management’s reserve estimation process and the potential for reasonably possible variability in management’s most recent reserve estimates may also be viewed by looking at how recent historical estimates of reserves have developed. The following table shows (dollars in millions) what the impact on AFG’s net earnings would be on the more significant lines of business if the December 31, 2025, reserves (net of reinsurance) were to develop at the same rate as the average development of the most recent five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420" w:type="dxa"/>
            <w:vAlign w:val="bottom"/>
          </w:tcPr>
          <w:p>
            <w:pPr>
              <w:jc w:val="center"/>
              <w:ind w:left="363"/>
              <w:spacing w:after="0"/>
              <w:rPr>
                <w:sz w:val="20"/>
                <w:szCs w:val="20"/>
                <w:color w:val="auto"/>
              </w:rPr>
            </w:pPr>
            <w:r>
              <w:rPr>
                <w:rFonts w:ascii="Arial" w:cs="Arial" w:eastAsia="Arial" w:hAnsi="Arial"/>
                <w:sz w:val="11"/>
                <w:szCs w:val="11"/>
                <w:color w:val="auto"/>
              </w:rPr>
              <w:t>5-yr. Average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color w:val="auto"/>
              </w:rPr>
              <w:t>Net Reserves (b) December 31,</w:t>
            </w:r>
          </w:p>
        </w:tc>
        <w:tc>
          <w:tcPr>
            <w:tcW w:w="220" w:type="dxa"/>
            <w:vAlign w:val="bottom"/>
          </w:tcPr>
          <w:p>
            <w:pPr>
              <w:spacing w:after="0"/>
              <w:rPr>
                <w:sz w:val="10"/>
                <w:szCs w:val="10"/>
                <w:color w:val="auto"/>
              </w:rPr>
            </w:pPr>
          </w:p>
        </w:tc>
        <w:tc>
          <w:tcPr>
            <w:tcW w:w="1260" w:type="dxa"/>
            <w:vAlign w:val="bottom"/>
          </w:tcPr>
          <w:p>
            <w:pPr>
              <w:jc w:val="right"/>
              <w:ind w:right="359"/>
              <w:spacing w:after="0"/>
              <w:rPr>
                <w:sz w:val="20"/>
                <w:szCs w:val="20"/>
                <w:color w:val="auto"/>
              </w:rPr>
            </w:pPr>
            <w:r>
              <w:rPr>
                <w:rFonts w:ascii="Arial" w:cs="Arial" w:eastAsia="Arial" w:hAnsi="Arial"/>
                <w:sz w:val="11"/>
                <w:szCs w:val="11"/>
                <w:color w:val="auto"/>
              </w:rPr>
              <w:t>Effect on Net</w:t>
            </w:r>
          </w:p>
        </w:tc>
      </w:tr>
      <w:tr>
        <w:trPr>
          <w:trHeight w:val="148"/>
        </w:trPr>
        <w:tc>
          <w:tcPr>
            <w:tcW w:w="612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color w:val="auto"/>
              </w:rPr>
              <w:t>Development (a)(b)</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color w:val="auto"/>
              </w:rPr>
              <w:t>Earnings (a)(b)</w:t>
            </w:r>
          </w:p>
        </w:tc>
      </w:tr>
      <w:tr>
        <w:trPr>
          <w:trHeight w:val="16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liability — occurrence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69"/>
        </w:trPr>
        <w:tc>
          <w:tcPr>
            <w:tcW w:w="7540" w:type="dxa"/>
            <w:vAlign w:val="bottom"/>
            <w:gridSpan w:val="2"/>
          </w:tcPr>
          <w:p>
            <w:pPr>
              <w:ind w:left="20"/>
              <w:spacing w:after="0"/>
              <w:rPr>
                <w:sz w:val="20"/>
                <w:szCs w:val="20"/>
                <w:color w:val="auto"/>
              </w:rPr>
            </w:pPr>
            <w:r>
              <w:rPr>
                <w:rFonts w:ascii="Arial" w:cs="Arial" w:eastAsia="Arial" w:hAnsi="Arial"/>
                <w:sz w:val="13"/>
                <w:szCs w:val="13"/>
                <w:color w:val="auto"/>
              </w:rPr>
              <w:t>Workers’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w w:val="99"/>
              </w:rPr>
              <w:t>(5.2%)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71"/>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liability — claims made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7"/>
        </w:trPr>
        <w:tc>
          <w:tcPr>
            <w:tcW w:w="7540" w:type="dxa"/>
            <w:vAlign w:val="bottom"/>
            <w:gridSpan w:val="2"/>
          </w:tcPr>
          <w:p>
            <w:pPr>
              <w:ind w:left="20"/>
              <w:spacing w:after="0"/>
              <w:rPr>
                <w:sz w:val="20"/>
                <w:szCs w:val="20"/>
                <w:color w:val="auto"/>
              </w:rPr>
            </w:pPr>
            <w:r>
              <w:rPr>
                <w:rFonts w:ascii="Arial" w:cs="Arial" w:eastAsia="Arial" w:hAnsi="Arial"/>
                <w:sz w:val="13"/>
                <w:szCs w:val="13"/>
                <w:color w:val="auto"/>
              </w:rPr>
              <w:t>Commercial auto/truck liability/medical</w:t>
            </w:r>
          </w:p>
        </w:tc>
        <w:tc>
          <w:tcPr>
            <w:tcW w:w="4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23</w:t>
            </w:r>
          </w:p>
        </w:tc>
      </w:tr>
    </w:tbl>
    <w:p>
      <w:pPr>
        <w:spacing w:after="0" w:line="113"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Adverse (favorable), net of tax effect.</w:t>
      </w:r>
    </w:p>
    <w:p>
      <w:pPr>
        <w:spacing w:after="0" w:line="21" w:lineRule="exact"/>
        <w:rPr>
          <w:rFonts w:ascii="Arial" w:cs="Arial" w:eastAsia="Arial" w:hAnsi="Arial"/>
          <w:sz w:val="13"/>
          <w:szCs w:val="13"/>
          <w:color w:val="auto"/>
        </w:rPr>
      </w:pPr>
    </w:p>
    <w:p>
      <w:pPr>
        <w:ind w:left="320" w:hanging="315"/>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asbestos and environmental liabilities.</w:t>
      </w:r>
    </w:p>
    <w:p>
      <w:pPr>
        <w:spacing w:after="0" w:line="189"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The following discussion describes key assumptions and important variables that affect the estimate of the reserve for loss and LAE of the more significant lines of business and explains what caused them to change from assumptions used in the preceding period.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Other Liability — Occurrence</w:t>
      </w:r>
    </w:p>
    <w:p>
      <w:pPr>
        <w:spacing w:after="0" w:line="198" w:lineRule="exact"/>
        <w:rPr>
          <w:sz w:val="20"/>
          <w:szCs w:val="20"/>
          <w:color w:val="auto"/>
        </w:rPr>
      </w:pPr>
    </w:p>
    <w:p>
      <w:pPr>
        <w:ind w:right="480"/>
        <w:spacing w:after="0" w:line="265" w:lineRule="auto"/>
        <w:rPr>
          <w:sz w:val="20"/>
          <w:szCs w:val="20"/>
          <w:color w:val="auto"/>
        </w:rPr>
      </w:pPr>
      <w:r>
        <w:rPr>
          <w:rFonts w:ascii="Arial" w:cs="Arial" w:eastAsia="Arial" w:hAnsi="Arial"/>
          <w:sz w:val="13"/>
          <w:szCs w:val="13"/>
          <w:color w:val="auto"/>
        </w:rPr>
        <w:t>This long-tail line of business consists of coverages protecting the insured against legal liability resulting from negligence, carelessness, or a failure to act causing property damage or personal injury to others. Some of the important variables affecting estimation of loss reserves for other liability — occurrence include:</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Litigious climate</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Unpredictability of judicial decisions regarding coverage issues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Magnitude of jury awards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Outside counsel costs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Timing of claims reporting</w:t>
      </w:r>
    </w:p>
    <w:p>
      <w:pPr>
        <w:spacing w:after="0" w:line="189"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AFG recorded adverse prior year reserve development of $175 million in 2025, $210 million in 2024 and $96 million in 2023 related to its other liability — occurrence coverage due primarily to continued claim severity increases in excess and umbrella liability coverages.</w:t>
      </w:r>
    </w:p>
    <w:p>
      <w:pPr>
        <w:spacing w:after="0" w:line="150"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 xml:space="preserve">While management applies the actuarial methods discussed in </w:t>
      </w:r>
      <w:r>
        <w:rPr>
          <w:rFonts w:ascii="Arial" w:cs="Arial" w:eastAsia="Arial" w:hAnsi="Arial"/>
          <w:sz w:val="13"/>
          <w:szCs w:val="13"/>
          <w:i w:val="1"/>
          <w:iCs w:val="1"/>
          <w:color w:val="auto"/>
        </w:rPr>
        <w:t>Note N — “Insurance — Insurance Reserves”</w:t>
      </w:r>
      <w:r>
        <w:rPr>
          <w:rFonts w:ascii="Arial" w:cs="Arial" w:eastAsia="Arial" w:hAnsi="Arial"/>
          <w:sz w:val="13"/>
          <w:szCs w:val="13"/>
          <w:color w:val="auto"/>
        </w:rPr>
        <w:t xml:space="preserve"> to the financial statements, more judgment is involved in arriving at the final reserve to be held. For recent accident years, more weight is given to the Bornhuetter-Ferguson method.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Workers’ Compensation</w:t>
      </w:r>
    </w:p>
    <w:p>
      <w:pPr>
        <w:spacing w:after="0" w:line="198" w:lineRule="exact"/>
        <w:rPr>
          <w:sz w:val="20"/>
          <w:szCs w:val="20"/>
          <w:color w:val="auto"/>
        </w:rPr>
      </w:pPr>
    </w:p>
    <w:p>
      <w:pPr>
        <w:ind w:right="300"/>
        <w:spacing w:after="0" w:line="265" w:lineRule="auto"/>
        <w:rPr>
          <w:sz w:val="20"/>
          <w:szCs w:val="20"/>
          <w:color w:val="auto"/>
        </w:rPr>
      </w:pPr>
      <w:r>
        <w:rPr>
          <w:rFonts w:ascii="Arial" w:cs="Arial" w:eastAsia="Arial" w:hAnsi="Arial"/>
          <w:sz w:val="13"/>
          <w:szCs w:val="13"/>
          <w:color w:val="auto"/>
        </w:rPr>
        <w:t>This long-tail line of business provides coverage to employees who may be injured in the course of employment. Some of the important variables affecting estimation of loss reserves for workers’ compensation include:</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Legislative actions and regulatory and legal interpretations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Future medical cost inflation</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Economic conditions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Frequency of reopening claims previously closed</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Advances in medical equipment and processes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Pace and intensity of employee rehabilitation</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use of pharmaceutical drugs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mortality trends for permanently injured workers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Approximately 21% and 25% of AFG’s workers’ compensation reserves at December 31, 2025 relate to policies written in Florida and California, respectively.</w:t>
      </w:r>
    </w:p>
    <w:p>
      <w:pPr>
        <w:spacing w:after="0" w:line="211"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AFG recorded favorable prior year reserve development of $108 million in 2025, $128 million in 2024 and $116 million in 2023, related to its workers’ compensation coverage due to lower than anticipated medical severity.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Other Liability — Claims Made</w:t>
      </w:r>
    </w:p>
    <w:p>
      <w:pPr>
        <w:spacing w:after="0" w:line="198" w:lineRule="exact"/>
        <w:rPr>
          <w:sz w:val="20"/>
          <w:szCs w:val="20"/>
          <w:color w:val="auto"/>
        </w:rPr>
      </w:pPr>
    </w:p>
    <w:p>
      <w:pPr>
        <w:ind w:right="500"/>
        <w:spacing w:after="0" w:line="265" w:lineRule="auto"/>
        <w:rPr>
          <w:sz w:val="20"/>
          <w:szCs w:val="20"/>
          <w:color w:val="auto"/>
        </w:rPr>
      </w:pPr>
      <w:r>
        <w:rPr>
          <w:rFonts w:ascii="Arial" w:cs="Arial" w:eastAsia="Arial" w:hAnsi="Arial"/>
          <w:sz w:val="13"/>
          <w:szCs w:val="13"/>
          <w:color w:val="auto"/>
        </w:rPr>
        <w:t>This long-tail line of business includes coverage for directors’ and officers’ liability, errors and omissions, cyber, and mergers and acquisitions liability. Some of the important variables affecting estimation of loss reserves for other liability — claims made include:</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Economic conditions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Variability of stock prices or company valuations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New or expanded theories of liability</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Trends in jury awards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propensity to settle a claim</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legal climate requiring higher levels of spending for the insured’s defense</w:t>
      </w:r>
    </w:p>
    <w:p>
      <w:pPr>
        <w:spacing w:after="0" w:line="114"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AFG recorded favorable prior year reserve development of $18 million in 2025, adverse prior year reserve development of $9 million in 2024 and $47 million of favorable prior year reserve development in 2023, related to its other liability — claims made coverage. AFG has generally experienced lower than anticipated claim frequency and severity in its executive and professional liability businesses. However, during 2024, an increase in claim severity for one specific book of business more than offset the favorable experience in other products.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Commercial Auto/Truck Liability/Medical</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This line of business is a mix of coverage protecting the insured against legal liability for property damage or personal injury to others arising from the operation of commercial motor vehicles. The property damage liability exposure is usually short-tail with relatively prompt reporting and settlement of claims. The bodily injury and medical payments exposures are longer-tailed; although the claim reporting is relatively prompt, the final settlement can take longer to achieve. Some of the important variables affecting estimation of loss reserves for commercial auto/truck liability/medical are similar to other liability — occurrence and include:</w:t>
      </w:r>
    </w:p>
    <w:p>
      <w:pPr>
        <w:spacing w:after="0" w:line="1"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Magnitude of jury awards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Unpredictability of judicial decisions regarding coverage issues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Litigious climate and trends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 in frequency of severe accidents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Health care costs and utilization of medical services by injured parties</w:t>
      </w:r>
    </w:p>
    <w:p>
      <w:pPr>
        <w:spacing w:after="0" w:line="199"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AFG recorded favorable prior year reserve development of $1 million in 2025 for this line of business. In 2024 and 2023, AFG recorded adverse prior year reserve development of $36 million and $29 million, respectively, for this line of business due to higher than anticipated claim severity.</w:t>
      </w:r>
    </w:p>
    <w:p>
      <w:pPr>
        <w:spacing w:after="0" w:line="139"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00274E"/>
        </w:rPr>
        <w:t xml:space="preserve">Recoverables from Reinsurers and Availability of Reinsurance </w:t>
      </w:r>
      <w:r>
        <w:rPr>
          <w:rFonts w:ascii="Arial" w:cs="Arial" w:eastAsia="Arial" w:hAnsi="Arial"/>
          <w:sz w:val="13"/>
          <w:szCs w:val="13"/>
          <w:color w:val="000000"/>
        </w:rPr>
        <w:t>AFG is subject to credit risk with respect to its reinsurers, as reinsurance contracts do not relieve AFG of its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liability to policyholders. To mitigate this risk, substantially all reinsurance is ceded to companies rated “A” or better by S&amp;P or is secured by “funds withheld” or other collateral.</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The availability and cost of reinsurance are subject to prevailing market conditions, which are beyond AFG’s control and may affect AFG’s level of business and profitability. Although the cost of certain reinsurance programs may increase,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management believes that AFG will be able to maintain adequate reinsurance coverage at acceptable rates without a material adverse effect on AFG’s results of operations. AFG’s gross and net combined ratios are shown in the table below.</w:t>
      </w:r>
    </w:p>
    <w:p>
      <w:pPr>
        <w:spacing w:after="0" w:line="139" w:lineRule="exact"/>
        <w:rPr>
          <w:sz w:val="20"/>
          <w:szCs w:val="20"/>
          <w:color w:val="auto"/>
        </w:rPr>
      </w:pPr>
    </w:p>
    <w:p>
      <w:pPr>
        <w:ind w:right="400"/>
        <w:spacing w:after="0" w:line="314"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Item 1 — Business — “Property and Casualty Insurance Segment — Reinsurance”</w:t>
      </w:r>
      <w:r>
        <w:rPr>
          <w:rFonts w:ascii="Arial" w:cs="Arial" w:eastAsia="Arial" w:hAnsi="Arial"/>
          <w:sz w:val="13"/>
          <w:szCs w:val="13"/>
          <w:color w:val="auto"/>
        </w:rPr>
        <w:t xml:space="preserve"> for more information on AFG’s reinsurance programs. For additional information on the effect of reinsurance on AFG’s historical results of operations see </w:t>
      </w:r>
      <w:r>
        <w:rPr>
          <w:rFonts w:ascii="Arial" w:cs="Arial" w:eastAsia="Arial" w:hAnsi="Arial"/>
          <w:sz w:val="13"/>
          <w:szCs w:val="13"/>
          <w:i w:val="1"/>
          <w:iCs w:val="1"/>
          <w:color w:val="auto"/>
        </w:rPr>
        <w:t>Note N — “Insurance — Reinsurance”</w:t>
      </w:r>
      <w:r>
        <w:rPr>
          <w:rFonts w:ascii="Arial" w:cs="Arial" w:eastAsia="Arial" w:hAnsi="Arial"/>
          <w:sz w:val="13"/>
          <w:szCs w:val="13"/>
          <w:color w:val="auto"/>
        </w:rPr>
        <w:t xml:space="preserve"> to the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effect that purchasing property and casualty reinsurance has had on AFG’s combined ratio over the last three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color w:val="auto"/>
              </w:rPr>
              <w:t>2023</w:t>
            </w:r>
          </w:p>
        </w:tc>
      </w:tr>
      <w:tr>
        <w:trPr>
          <w:trHeight w:val="16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Before reinsurance (gross)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w:t>
            </w:r>
          </w:p>
        </w:tc>
      </w:tr>
      <w:tr>
        <w:trPr>
          <w:trHeight w:val="16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reinsurance</w:t>
            </w: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8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Actual (net of reinsurance)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b w:val="1"/>
          <w:bCs w:val="1"/>
          <w:i w:val="1"/>
          <w:iCs w:val="1"/>
          <w:color w:val="00274E"/>
        </w:rPr>
        <w:t xml:space="preserve">Asbestos and Environmental-related (“A&amp;E”) Insurance Reserves </w:t>
      </w:r>
      <w:r>
        <w:rPr>
          <w:rFonts w:ascii="Arial" w:cs="Arial" w:eastAsia="Arial" w:hAnsi="Arial"/>
          <w:sz w:val="13"/>
          <w:szCs w:val="13"/>
          <w:color w:val="000000"/>
        </w:rPr>
        <w:t>Asbestos and environmental reserves of the property and casualty group consisted of the following (in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8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color w:val="auto"/>
              </w:rPr>
              <w:t>December 31,</w:t>
            </w:r>
          </w:p>
        </w:tc>
        <w:tc>
          <w:tcPr>
            <w:tcW w:w="800" w:type="dxa"/>
            <w:vAlign w:val="bottom"/>
            <w:tcBorders>
              <w:bottom w:val="single" w:sz="8" w:color="auto"/>
            </w:tcBorders>
          </w:tcPr>
          <w:p>
            <w:pPr>
              <w:spacing w:after="0"/>
              <w:rPr>
                <w:sz w:val="13"/>
                <w:szCs w:val="13"/>
                <w:color w:val="auto"/>
              </w:rPr>
            </w:pPr>
          </w:p>
        </w:tc>
      </w:tr>
      <w:tr>
        <w:trPr>
          <w:trHeight w:val="150"/>
        </w:trPr>
        <w:tc>
          <w:tcPr>
            <w:tcW w:w="88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r>
      <w:tr>
        <w:trPr>
          <w:trHeight w:val="16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Asbestos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Environmental</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r>
      <w:tr>
        <w:trPr>
          <w:trHeight w:val="162"/>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A&amp;E reserves, net of reinsurance recoverable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recoverable, net of allowance</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8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A&amp;E reserves</w:t>
            </w:r>
          </w:p>
        </w:tc>
        <w:tc>
          <w:tcPr>
            <w:tcW w:w="8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Asbestos reserves include claims asserting alleged injuries and damages from exposure to asbestos. Environmental reserves include claims relating to polluted sites.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Asbestos claims against manufacturers, distributors or installers of asbestos products were presented under the products liability section of their policies, which typically had aggregate limits that capped an insurer’s liability. In addition, asbestos claims are being presented as “non-products” claims, such as those by installers of asbestos products and by property owners or operators who allegedly had asbestos on their property, under the premises or operations section of their policies. Unlike products exposures, these non-products exposures typically had no aggregate limits, creating greater exposure for insurers. Further, in an effort to seek additional insurance coverage, some insureds with installation activities who have substantially eroded their products coverage are presenting new asbestos claims as non-products operations claims or attempting to reclassify previously settled products claims as non-products claims to restore a portion of previously exhausted products aggregate limits.</w:t>
      </w:r>
    </w:p>
    <w:p>
      <w:pPr>
        <w:spacing w:after="0" w:line="174"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Approximately one-half of AFG’s net asbestos reserves relate to policies written directly by AFG subsidiaries. Claims from these policies generally are product-oriented claims with only a limited amount of non-products exposures and are dominated by small to mid-sized commercial entities that are mostly regional policyholders with few national target defendants. The remainder is assumed reinsurance business that includes exposures from 1954 to 1983. The asbestos and environmental assumed claims are ceded by various insurance companies under reinsurance treaties. A majority of the individual assumed claims have exposures of less than $100,000 to AFG. Asbestos losses assumed include some of the industry known manufacturers, distributors and installers. Pollution losses include industry known insured names and sites.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Establishing reserves for A&amp;E claims relating to policies and participations in reinsurance treaties and former operations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Case reserves and expense reserves are established by the claims department as specific policies are identified. In addition to the case reserves established for known claims, management establishes additional reserves for claims not yet known or reported and for possible development on known claims. These additional reserves are management’s best estimate based on periodic comprehensive studies and internal reviews adjusted for payments and identifiable changes, supplemented by management’s review of industry information about such claims, with due consideration to individual claim situations.</w:t>
      </w:r>
    </w:p>
    <w:p>
      <w:pPr>
        <w:spacing w:after="0" w:line="159"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Management believes that estimating the ultimate liability for asbestos claims presents a unique and difficult challenge to the insurance industry due to, among other things, difficulty in predicting the number of future claims, inconsistent court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120"/>
        <w:spacing w:after="0" w:line="272" w:lineRule="auto"/>
        <w:rPr>
          <w:sz w:val="20"/>
          <w:szCs w:val="20"/>
          <w:color w:val="auto"/>
        </w:rPr>
      </w:pPr>
      <w:r>
        <w:rPr>
          <w:rFonts w:ascii="Arial" w:cs="Arial" w:eastAsia="Arial" w:hAnsi="Arial"/>
          <w:sz w:val="13"/>
          <w:szCs w:val="13"/>
          <w:color w:val="auto"/>
        </w:rPr>
        <w:t>decisions, an increase in bankruptcy filings as a result of asbestos-related liabilities, unresolved issues such as whether coverage exists, novel theories of coverage, how claims are to be allocated among triggered policies and implicated years, whether claimants who exhibit no signs of illness will be successful in pursuing their claims and judicial interpretations that often expand theories of recovery and broaden the scope of coverage. Environmental claims likewise present challenges in prediction, due to uncertainty regarding the interpretation of insurance policies, complexities regarding multi-party involvements at sites, evolving cleanup standards and protracted time periods required to assess the level of cleanup required at contaminated sites.</w:t>
      </w:r>
    </w:p>
    <w:p>
      <w:pPr>
        <w:spacing w:after="0" w:line="320"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While management believes that AFG’s reserves for A&amp;E claims are a reasonable estimate of ultimate liability for such claims, actual results may vary materially from the amounts currently recorded due to the factors listed above. A 1% variation in loss cost trends, caused by any of the factors previously described, would change net earnings by approximately $26 million.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factors could impact AFG’s A&amp;E reserves and payments:</w:t>
      </w:r>
    </w:p>
    <w:p>
      <w:pPr>
        <w:spacing w:after="0" w:line="26" w:lineRule="exact"/>
        <w:rPr>
          <w:sz w:val="20"/>
          <w:szCs w:val="20"/>
          <w:color w:val="auto"/>
        </w:rPr>
      </w:pPr>
    </w:p>
    <w:p>
      <w:pPr>
        <w:ind w:left="520" w:right="280" w:hanging="260"/>
        <w:spacing w:after="0" w:line="260" w:lineRule="auto"/>
        <w:tabs>
          <w:tab w:leader="none" w:pos="5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There is interest at the state level to attempt to legislatively address asbestos liabilities and the manner in which asbestos claims are resolved. These developments are fluid and could result in piecemeal state-by-state solutions.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manner by which bankruptcy courts are addressing asbestos liabilities is in flux.</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AFG’s insureds may make claims alleging significant non-products exposures.</w:t>
      </w:r>
    </w:p>
    <w:p>
      <w:pPr>
        <w:spacing w:after="0" w:line="189"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color w:val="auto"/>
        </w:rPr>
        <w:t>AFG tracks its A&amp;E claims by policyholder. The following table shows, by type of claim, the number of policyholders that did not receive any payments in the calendar year separate from policyholders that did receive a payment. Policyholder counts represent policies written by AFG subsidiaries and do not include assumed reinsurance.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Number of policyholders with no indemnity payments:</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Asbestos</w:t>
            </w:r>
          </w:p>
        </w:tc>
        <w:tc>
          <w:tcPr>
            <w:tcW w:w="120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60"/>
        </w:trPr>
        <w:tc>
          <w:tcPr>
            <w:tcW w:w="7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Number of policyholders with indemnity payments:</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Asbestos</w:t>
            </w:r>
          </w:p>
        </w:tc>
        <w:tc>
          <w:tcPr>
            <w:tcW w:w="120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7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0"/>
        </w:trPr>
        <w:tc>
          <w:tcPr>
            <w:tcW w:w="75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Amounts paid (net of reinsurance recoveries) for asbestos and environmental claims, including LAE, were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Asbestos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Environmental</w:t>
            </w: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6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The survival ratio is a measure often used by industry analysts to compare A&amp;E reserves’ strength among companies. This ratio is typically calculated by dividing reserves for A&amp;E exposures by the three-year average of paid losses, and therefore measures the number of years that it would take to pay off current reserves based on recent average payments. Because this ratio can be significantly impacted by a number of factors such as loss payout variability, caution should be exercised in attempting to determine reserve adequacy based simply on the survival ratio. At December 31, 2025, the property and casualty insurance segment’s three-year survival ratios compare favorably with industry survival ratios published by A.M. Best (as of December 31, 2024, and adjusted for several large portfolio transfers) as detailed in the following table:</w:t>
      </w:r>
    </w:p>
    <w:p>
      <w:pPr>
        <w:spacing w:after="0" w:line="82" w:lineRule="exact"/>
        <w:rPr>
          <w:sz w:val="20"/>
          <w:szCs w:val="20"/>
          <w:color w:val="auto"/>
        </w:rPr>
      </w:pPr>
    </w:p>
    <w:p>
      <w:pPr>
        <w:jc w:val="center"/>
        <w:ind w:left="5580"/>
        <w:spacing w:after="0"/>
        <w:rPr>
          <w:sz w:val="20"/>
          <w:szCs w:val="20"/>
          <w:color w:val="auto"/>
        </w:rPr>
      </w:pPr>
      <w:r>
        <w:rPr>
          <w:rFonts w:ascii="Arial" w:cs="Arial" w:eastAsia="Arial" w:hAnsi="Arial"/>
          <w:sz w:val="11"/>
          <w:szCs w:val="11"/>
          <w:color w:val="auto"/>
        </w:rPr>
        <w:t>Property and Casualty Insurance Reserves</w:t>
      </w:r>
    </w:p>
    <w:p>
      <w:pPr>
        <w:jc w:val="center"/>
        <w:ind w:left="5580"/>
        <w:spacing w:after="0"/>
        <w:rPr>
          <w:sz w:val="20"/>
          <w:szCs w:val="20"/>
          <w:color w:val="auto"/>
        </w:rPr>
      </w:pPr>
      <w:r>
        <w:rPr>
          <w:rFonts w:ascii="Arial" w:cs="Arial" w:eastAsia="Arial" w:hAnsi="Arial"/>
          <w:sz w:val="11"/>
          <w:szCs w:val="11"/>
          <w:color w:val="auto"/>
        </w:rPr>
        <w:t>Three-Year Survival Ratio (Times Paid Losses)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1"/>
                <w:szCs w:val="11"/>
                <w:color w:val="auto"/>
              </w:rPr>
              <w:t>Asbestos</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color w:val="auto"/>
              </w:rPr>
              <w:t>Environmental</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1"/>
                <w:szCs w:val="11"/>
                <w:color w:val="auto"/>
              </w:rPr>
              <w:t>Total A&amp;E</w:t>
            </w:r>
          </w:p>
        </w:tc>
      </w:tr>
      <w:tr>
        <w:trPr>
          <w:trHeight w:val="161"/>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AFG (12/31/2025)</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167"/>
        </w:trPr>
        <w:tc>
          <w:tcPr>
            <w:tcW w:w="6920" w:type="dxa"/>
            <w:vAlign w:val="bottom"/>
            <w:gridSpan w:val="2"/>
          </w:tcPr>
          <w:p>
            <w:pPr>
              <w:ind w:left="20"/>
              <w:spacing w:after="0"/>
              <w:rPr>
                <w:sz w:val="20"/>
                <w:szCs w:val="20"/>
                <w:color w:val="auto"/>
              </w:rPr>
            </w:pPr>
            <w:r>
              <w:rPr>
                <w:rFonts w:ascii="Arial" w:cs="Arial" w:eastAsia="Arial" w:hAnsi="Arial"/>
                <w:sz w:val="13"/>
                <w:szCs w:val="13"/>
                <w:color w:val="auto"/>
              </w:rPr>
              <w:t>Industry (12/31/2024)</w:t>
            </w: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8.2</w:t>
            </w:r>
          </w:p>
        </w:tc>
      </w:tr>
    </w:tbl>
    <w:p>
      <w:pPr>
        <w:spacing w:after="0" w:line="251" w:lineRule="exact"/>
        <w:rPr>
          <w:sz w:val="20"/>
          <w:szCs w:val="20"/>
          <w:color w:val="auto"/>
        </w:rPr>
      </w:pPr>
    </w:p>
    <w:p>
      <w:pPr>
        <w:ind w:right="520"/>
        <w:spacing w:after="0" w:line="297" w:lineRule="auto"/>
        <w:rPr>
          <w:sz w:val="20"/>
          <w:szCs w:val="20"/>
          <w:color w:val="auto"/>
        </w:rPr>
      </w:pPr>
      <w:r>
        <w:rPr>
          <w:rFonts w:ascii="Arial" w:cs="Arial" w:eastAsia="Arial" w:hAnsi="Arial"/>
          <w:sz w:val="13"/>
          <w:szCs w:val="13"/>
          <w:color w:val="auto"/>
        </w:rPr>
        <w:t>During the third quarter of 2025, AFG completed an in-depth internal review of its asbestos and environmental exposures relating to the run-off operations of its property and casualty insurance segment. AFG annually conducts a comprehensive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review of its asbestos and environmental reserves. In connection with its annual reviews, AFG engages with outside counsel and, as appropriate, engineering and consulting firms and specialty actuarial firms.</w:t>
      </w:r>
    </w:p>
    <w:p>
      <w:pPr>
        <w:spacing w:after="0" w:line="139"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During the 2025 internal review, no new trends were identified and recent claims activity was generally consistent with AFG’s expectations resulting from its in-depth internal reviews in the prior four years, and the most recent external study in 2020. As a result, and consistent with the internal review in the third quarter of 2024, the 2025 review resulted in no net change to AFG’s property and casualty insurance segment’s asbestos and environmental reserves.</w:t>
      </w:r>
    </w:p>
    <w:p>
      <w:pPr>
        <w:spacing w:after="0" w:line="146" w:lineRule="exact"/>
        <w:rPr>
          <w:sz w:val="20"/>
          <w:szCs w:val="20"/>
          <w:color w:val="auto"/>
        </w:rPr>
      </w:pPr>
    </w:p>
    <w:p>
      <w:pPr>
        <w:jc w:val="both"/>
        <w:ind w:right="60"/>
        <w:spacing w:after="0" w:line="242" w:lineRule="auto"/>
        <w:rPr>
          <w:sz w:val="20"/>
          <w:szCs w:val="20"/>
          <w:color w:val="auto"/>
        </w:rPr>
      </w:pPr>
      <w:r>
        <w:rPr>
          <w:rFonts w:ascii="Arial" w:cs="Arial" w:eastAsia="Arial" w:hAnsi="Arial"/>
          <w:sz w:val="16"/>
          <w:szCs w:val="16"/>
          <w:b w:val="1"/>
          <w:bCs w:val="1"/>
          <w:color w:val="00274E"/>
        </w:rPr>
        <w:t xml:space="preserve">Contingencies related to Subsidiaries’ Former Operations </w:t>
      </w:r>
      <w:r>
        <w:rPr>
          <w:rFonts w:ascii="Arial" w:cs="Arial" w:eastAsia="Arial" w:hAnsi="Arial"/>
          <w:sz w:val="13"/>
          <w:szCs w:val="13"/>
          <w:color w:val="000000"/>
        </w:rPr>
        <w:t>The A&amp;E reviews and external study discussed above also encompassed reserves for various environmental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occupational injury and disease claims and other contingencies arising out of the railroad operations disposed of by APU Consolidated’s predecessor and certain manufacturing operations disposed of by APU Consolidated and its subsidiaries and by Great American Financial Resources, Inc. AFG recorded pretax special non-core A&amp;E charges of $25 million in 2025,</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 xml:space="preserve">$14 million in 2024 and $15 million in 2023 to increase liabilities for those operations as a result of the internal reviews. Liabilities for claims and contingencies arising from these former railroad and manufacturing operations totaled $109 million at December 31, 2025. For a discussion of the uncertainties in determining the ultimate liability, see </w:t>
      </w:r>
      <w:r>
        <w:rPr>
          <w:rFonts w:ascii="Arial" w:cs="Arial" w:eastAsia="Arial" w:hAnsi="Arial"/>
          <w:sz w:val="13"/>
          <w:szCs w:val="13"/>
          <w:i w:val="1"/>
          <w:iCs w:val="1"/>
          <w:color w:val="auto"/>
        </w:rPr>
        <w:t>Note M — “Contingencies”</w:t>
      </w:r>
      <w:r>
        <w:rPr>
          <w:rFonts w:ascii="Arial" w:cs="Arial" w:eastAsia="Arial" w:hAnsi="Arial"/>
          <w:sz w:val="13"/>
          <w:szCs w:val="13"/>
          <w:color w:val="auto"/>
        </w:rPr>
        <w:t xml:space="preserve">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MANAGED INVESTMENT ENTITIES</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3"/>
          <w:szCs w:val="13"/>
          <w:i w:val="1"/>
          <w:iCs w:val="1"/>
          <w:color w:val="auto"/>
        </w:rPr>
        <w:t>Note A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Policies — Managed Investment Entities” </w:t>
      </w:r>
      <w:r>
        <w:rPr>
          <w:rFonts w:ascii="Arial" w:cs="Arial" w:eastAsia="Arial" w:hAnsi="Arial"/>
          <w:sz w:val="13"/>
          <w:szCs w:val="13"/>
          <w:color w:val="auto"/>
        </w:rPr>
        <w:t>and</w:t>
      </w:r>
      <w:r>
        <w:rPr>
          <w:rFonts w:ascii="Arial" w:cs="Arial" w:eastAsia="Arial" w:hAnsi="Arial"/>
          <w:sz w:val="13"/>
          <w:szCs w:val="13"/>
          <w:i w:val="1"/>
          <w:iCs w:val="1"/>
          <w:color w:val="auto"/>
        </w:rPr>
        <w:t xml:space="preserve"> Note G — “Managed Investment Entities” </w:t>
      </w:r>
      <w:r>
        <w:rPr>
          <w:rFonts w:ascii="Arial" w:cs="Arial" w:eastAsia="Arial" w:hAnsi="Arial"/>
          <w:sz w:val="13"/>
          <w:szCs w:val="13"/>
          <w:color w:val="auto"/>
        </w:rPr>
        <w:t>to the financial statements. The effect of consolidating these entities is shown in the</w:t>
      </w:r>
      <w:r>
        <w:rPr>
          <w:rFonts w:ascii="Arial" w:cs="Arial" w:eastAsia="Arial" w:hAnsi="Arial"/>
          <w:sz w:val="13"/>
          <w:szCs w:val="13"/>
          <w:i w:val="1"/>
          <w:iCs w:val="1"/>
          <w:color w:val="auto"/>
        </w:rPr>
        <w:t xml:space="preserve"> </w:t>
      </w:r>
      <w:r>
        <w:rPr>
          <w:rFonts w:ascii="Arial" w:cs="Arial" w:eastAsia="Arial" w:hAnsi="Arial"/>
          <w:sz w:val="13"/>
          <w:szCs w:val="13"/>
          <w:color w:val="auto"/>
        </w:rPr>
        <w:t>tables below (in millions). The “Before CLO Consolidation” columns include AFG’s investment and earnings in the CLOs on an unconsolidated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BALANCE SHEET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auto"/>
              </w:rPr>
              <w:t>Before CLO</w:t>
            </w:r>
          </w:p>
        </w:tc>
        <w:tc>
          <w:tcPr>
            <w:tcW w:w="1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rPr>
              <w:t>Managed</w:t>
            </w:r>
          </w:p>
        </w:tc>
        <w:tc>
          <w:tcPr>
            <w:tcW w:w="200" w:type="dxa"/>
            <w:vAlign w:val="bottom"/>
          </w:tcPr>
          <w:p>
            <w:pPr>
              <w:spacing w:after="0"/>
              <w:rPr>
                <w:sz w:val="10"/>
                <w:szCs w:val="10"/>
                <w:color w:val="auto"/>
              </w:rPr>
            </w:pPr>
          </w:p>
        </w:tc>
        <w:tc>
          <w:tcPr>
            <w:tcW w:w="860" w:type="dxa"/>
            <w:vAlign w:val="bottom"/>
            <w:vMerge w:val="restart"/>
          </w:tcPr>
          <w:p>
            <w:pPr>
              <w:jc w:val="right"/>
              <w:ind w:right="283"/>
              <w:spacing w:after="0"/>
              <w:rPr>
                <w:sz w:val="20"/>
                <w:szCs w:val="20"/>
                <w:color w:val="auto"/>
              </w:rPr>
            </w:pPr>
            <w:r>
              <w:rPr>
                <w:rFonts w:ascii="Arial" w:cs="Arial" w:eastAsia="Arial" w:hAnsi="Arial"/>
                <w:sz w:val="11"/>
                <w:szCs w:val="11"/>
                <w:color w:val="auto"/>
              </w:rPr>
              <w:t>Consol.</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17" w:lineRule="exact"/>
              <w:rPr>
                <w:sz w:val="20"/>
                <w:szCs w:val="20"/>
                <w:color w:val="auto"/>
              </w:rPr>
            </w:pPr>
            <w:r>
              <w:rPr>
                <w:rFonts w:ascii="Arial" w:cs="Arial" w:eastAsia="Arial" w:hAnsi="Arial"/>
                <w:sz w:val="11"/>
                <w:szCs w:val="11"/>
                <w:color w:val="auto"/>
              </w:rPr>
              <w:t>Investment</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color w:val="auto"/>
              </w:rPr>
              <w:t>Consolidation</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200" w:type="dxa"/>
            <w:vAlign w:val="bottom"/>
          </w:tcPr>
          <w:p>
            <w:pPr>
              <w:spacing w:after="0"/>
              <w:rPr>
                <w:sz w:val="12"/>
                <w:szCs w:val="12"/>
                <w:color w:val="auto"/>
              </w:rPr>
            </w:pPr>
          </w:p>
        </w:tc>
        <w:tc>
          <w:tcPr>
            <w:tcW w:w="860" w:type="dxa"/>
            <w:vAlign w:val="bottom"/>
          </w:tcPr>
          <w:p>
            <w:pPr>
              <w:jc w:val="right"/>
              <w:ind w:right="303"/>
              <w:spacing w:after="0"/>
              <w:rPr>
                <w:sz w:val="20"/>
                <w:szCs w:val="20"/>
                <w:color w:val="auto"/>
              </w:rPr>
            </w:pPr>
            <w:r>
              <w:rPr>
                <w:rFonts w:ascii="Arial" w:cs="Arial" w:eastAsia="Arial" w:hAnsi="Arial"/>
                <w:sz w:val="11"/>
                <w:szCs w:val="11"/>
                <w:color w:val="auto"/>
              </w:rPr>
              <w:t>Entries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December 31, 2025</w:t>
            </w:r>
          </w:p>
        </w:tc>
        <w:tc>
          <w:tcPr>
            <w:tcW w:w="47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Assets: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Cash and investments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Assets of managed investment entities</w:t>
            </w: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4,050</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assets</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11,410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28,735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4,050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(143)</w:t>
            </w:r>
          </w:p>
        </w:tc>
        <w:tc>
          <w:tcPr>
            <w:tcW w:w="7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32,642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576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Liabilities:</w:t>
            </w: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Unpaid losses and loss adjustment expenses and unearned premiums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18,830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18,830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Liabilities of managed investment entities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7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Long-term debt and other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5,085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5,085</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23,915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7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27,822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Shareholders’ equity:</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Common Stock and Capital surplus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1,513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1,513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Retained earnings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3,357</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5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Accumulated other comprehensive income (loss), net of tax</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Total shareholders’ equity</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liabilities and shareholders’ equity</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28,735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4,050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(143)</w:t>
            </w:r>
          </w:p>
        </w:tc>
        <w:tc>
          <w:tcPr>
            <w:tcW w:w="7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32,642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December 31, 2024</w:t>
            </w: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Assets: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Cash and investments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16,026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(174)</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15,852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Assets of managed investment entities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Other assets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10,845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10,844</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760" w:type="dxa"/>
            <w:vAlign w:val="bottom"/>
            <w:tcBorders>
              <w:top w:val="single" w:sz="8" w:color="CCEEFF"/>
              <w:bottom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26,871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w:t>
            </w: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57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Unpaid losses and loss adjustment expenses and unearned premiums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Liabilities of managed investment entities</w:t>
            </w: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(126)</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3,965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Long-term debt and other liabilities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4,642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22,405</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4,091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26,370</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Shareholders’ equity:</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Common Stock and Capital surplus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Retained earnings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3,211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3,211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Accumulated other comprehensive income (loss), net of tax</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shareholders’ equity</w:t>
            </w: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4,466</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4,466</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liabilities and shareholders’ equity</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26,871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w:t>
            </w: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hanging="315"/>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1"/>
          <w:szCs w:val="11"/>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1"/>
                <w:szCs w:val="11"/>
                <w:color w:val="auto"/>
                <w:w w:val="99"/>
              </w:rPr>
              <w:t>Before 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color w:val="auto"/>
              </w:rPr>
              <w:t>Consolidation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40" w:type="dxa"/>
            <w:vAlign w:val="bottom"/>
          </w:tcPr>
          <w:p>
            <w:pPr>
              <w:jc w:val="right"/>
              <w:ind w:right="22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576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color w:val="auto"/>
              </w:rPr>
              <w:t>Three months ended December 31, 2025</w:t>
            </w:r>
          </w:p>
        </w:tc>
        <w:tc>
          <w:tcPr>
            <w:tcW w:w="1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Revenues:</w:t>
            </w:r>
          </w:p>
        </w:tc>
        <w:tc>
          <w:tcPr>
            <w:tcW w:w="37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2,011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2,063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1,527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1,527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1,632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379</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3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Three months ended December 31, 2024</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Revenues:</w:t>
            </w:r>
          </w:p>
        </w:tc>
        <w:tc>
          <w:tcPr>
            <w:tcW w:w="3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Net earned premiums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1,850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investment income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Realized gains (losses) on securities</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500"/>
              <w:spacing w:after="0"/>
              <w:rPr>
                <w:sz w:val="20"/>
                <w:szCs w:val="20"/>
                <w:color w:val="auto"/>
              </w:rPr>
            </w:pPr>
            <w:r>
              <w:rPr>
                <w:rFonts w:ascii="Arial" w:cs="Arial" w:eastAsia="Arial" w:hAnsi="Arial"/>
                <w:sz w:val="11"/>
                <w:szCs w:val="11"/>
                <w:color w:val="auto"/>
              </w:rPr>
              <w:t>Investment income</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Other income</w:t>
            </w:r>
          </w:p>
        </w:tc>
        <w:tc>
          <w:tcPr>
            <w:tcW w:w="18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ind w:left="100"/>
              <w:spacing w:after="0"/>
              <w:rPr>
                <w:sz w:val="20"/>
                <w:szCs w:val="20"/>
                <w:color w:val="auto"/>
              </w:rPr>
            </w:pP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revenues</w:t>
            </w: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2,078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1"/>
                <w:szCs w:val="11"/>
                <w:color w:val="auto"/>
              </w:rPr>
              <w:t>Costs and Expenses: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Insurance benefits and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8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w:t>
            </w:r>
          </w:p>
        </w:tc>
        <w:tc>
          <w:tcPr>
            <w:tcW w:w="780" w:type="dxa"/>
            <w:vAlign w:val="bottom"/>
          </w:tcPr>
          <w:p>
            <w:pPr>
              <w:ind w:left="100"/>
              <w:spacing w:after="0"/>
              <w:rPr>
                <w:sz w:val="20"/>
                <w:szCs w:val="20"/>
                <w:color w:val="auto"/>
              </w:rPr>
            </w:pPr>
            <w:r>
              <w:rPr>
                <w:rFonts w:ascii="Arial" w:cs="Arial" w:eastAsia="Arial" w:hAnsi="Arial"/>
                <w:sz w:val="11"/>
                <w:szCs w:val="11"/>
                <w:color w:val="auto"/>
              </w:rPr>
              <w:t>(b)(c)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costs and expenses</w:t>
            </w:r>
          </w:p>
        </w:tc>
        <w:tc>
          <w:tcPr>
            <w:tcW w:w="1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1,758</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87</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1,829</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20" w:right="120" w:hanging="315"/>
        <w:spacing w:after="0" w:line="281" w:lineRule="auto"/>
        <w:tabs>
          <w:tab w:leader="none" w:pos="31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a loss of $5 million in the fourth quarter of 2025 and income of $8 million in the fourth quarter of 2024, representing the change in fair value of AFG’s CLO investments and $3 million and $4 million of income in the fourth quarter of 2025 and 2024, respectively, in CLO management fees earned.</w:t>
      </w:r>
    </w:p>
    <w:p>
      <w:pPr>
        <w:ind w:left="320" w:right="280" w:hanging="315"/>
        <w:spacing w:after="0" w:line="261" w:lineRule="auto"/>
        <w:tabs>
          <w:tab w:leader="none" w:pos="31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$14 million and $12 million in the fourth quarter of 2025 and 2024, respectively, in distributions recorded as interest expense by the CLOs.</w:t>
      </w:r>
    </w:p>
    <w:p>
      <w:pPr>
        <w:ind w:left="320" w:hanging="315"/>
        <w:spacing w:after="0"/>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 - CONTINUED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w w:val="98"/>
              </w:rPr>
              <w:t>Before</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Arial" w:cs="Arial" w:eastAsia="Arial" w:hAnsi="Arial"/>
                <w:sz w:val="11"/>
                <w:szCs w:val="11"/>
                <w:color w:val="auto"/>
              </w:rPr>
              <w:t>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color w:val="auto"/>
              </w:rPr>
              <w:t>Consol.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Year ended December 31, 2025</w:t>
            </w:r>
          </w:p>
        </w:tc>
        <w:tc>
          <w:tcPr>
            <w:tcW w:w="4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Revenues: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Subsidiaries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(35)</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7,933</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292</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8,174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6,447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6,447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6,860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1,073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842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Year ended December 31, 2024</w:t>
            </w: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7,036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Realized gains (losses) on securities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w:t>
            </w:r>
          </w:p>
        </w:tc>
        <w:tc>
          <w:tcPr>
            <w:tcW w:w="780" w:type="dxa"/>
            <w:vAlign w:val="bottom"/>
          </w:tcPr>
          <w:p>
            <w:pPr>
              <w:ind w:left="100"/>
              <w:spacing w:after="0"/>
              <w:rPr>
                <w:sz w:val="20"/>
                <w:szCs w:val="20"/>
                <w:color w:val="auto"/>
              </w:rPr>
            </w:pP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7,986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Costs and Expenses: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(50)</w:t>
            </w:r>
          </w:p>
        </w:tc>
        <w:tc>
          <w:tcPr>
            <w:tcW w:w="780" w:type="dxa"/>
            <w:vAlign w:val="bottom"/>
          </w:tcPr>
          <w:p>
            <w:pPr>
              <w:ind w:left="100"/>
              <w:spacing w:after="0"/>
              <w:rPr>
                <w:sz w:val="20"/>
                <w:szCs w:val="20"/>
                <w:color w:val="auto"/>
              </w:rPr>
            </w:pPr>
            <w:r>
              <w:rPr>
                <w:rFonts w:ascii="Arial" w:cs="Arial" w:eastAsia="Arial" w:hAnsi="Arial"/>
                <w:sz w:val="11"/>
                <w:szCs w:val="11"/>
                <w:color w:val="auto"/>
              </w:rPr>
              <w:t>(b)(c)</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gridSpan w:val="2"/>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6,862</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388</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7,200</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20" w:right="580" w:hanging="315"/>
        <w:spacing w:after="0" w:line="248" w:lineRule="auto"/>
        <w:tabs>
          <w:tab w:leader="none" w:pos="316" w:val="left"/>
        </w:tabs>
        <w:numPr>
          <w:ilvl w:val="0"/>
          <w:numId w:val="23"/>
        </w:numPr>
        <w:rPr>
          <w:rFonts w:ascii="Arial" w:cs="Arial" w:eastAsia="Arial" w:hAnsi="Arial"/>
          <w:sz w:val="13"/>
          <w:szCs w:val="13"/>
          <w:color w:val="auto"/>
        </w:rPr>
      </w:pPr>
      <w:r>
        <w:rPr>
          <w:rFonts w:ascii="Arial" w:cs="Arial" w:eastAsia="Arial" w:hAnsi="Arial"/>
          <w:sz w:val="11"/>
          <w:szCs w:val="11"/>
          <w:color w:val="auto"/>
        </w:rPr>
        <w:t>Includes income of $5 million in 2025 and $33 million in 2024, representing the change in fair value of AFG’s CLO investments and $11 million and $13 million of income in 2025 and 2024, respectively, in CLO management fees earned.</w:t>
      </w:r>
    </w:p>
    <w:p>
      <w:pPr>
        <w:ind w:left="320" w:hanging="315"/>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$36 million and $37 million in 2025 and 2024, respectively, in distributions recorded as interest expense by the CLOs.</w:t>
      </w:r>
    </w:p>
    <w:p>
      <w:pPr>
        <w:spacing w:after="0" w:line="11" w:lineRule="exact"/>
        <w:rPr>
          <w:rFonts w:ascii="Arial" w:cs="Arial" w:eastAsia="Arial" w:hAnsi="Arial"/>
          <w:sz w:val="11"/>
          <w:szCs w:val="11"/>
          <w:color w:val="auto"/>
        </w:rPr>
      </w:pPr>
    </w:p>
    <w:p>
      <w:pPr>
        <w:ind w:left="320" w:hanging="315"/>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 OF EARNINGS - CONTINUED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w w:val="98"/>
              </w:rPr>
              <w:t>Before</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Managed</w:t>
            </w:r>
          </w:p>
        </w:tc>
        <w:tc>
          <w:tcPr>
            <w:tcW w:w="180" w:type="dxa"/>
            <w:vAlign w:val="bottom"/>
          </w:tcPr>
          <w:p>
            <w:pPr>
              <w:spacing w:after="0"/>
              <w:rPr>
                <w:sz w:val="10"/>
                <w:szCs w:val="10"/>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1"/>
                <w:szCs w:val="11"/>
                <w:color w:val="auto"/>
              </w:rPr>
              <w:t>Consol.</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1"/>
                <w:szCs w:val="11"/>
                <w:color w:val="auto"/>
              </w:rPr>
              <w:t>Consolidated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Arial" w:cs="Arial" w:eastAsia="Arial" w:hAnsi="Arial"/>
                <w:sz w:val="11"/>
                <w:szCs w:val="11"/>
                <w:color w:val="auto"/>
              </w:rPr>
              <w:t>CLO</w:t>
            </w: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1"/>
                <w:szCs w:val="11"/>
                <w:color w:val="auto"/>
              </w:rPr>
              <w:t>Investment</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color w:val="auto"/>
              </w:rPr>
              <w:t>Consol. (a)</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color w:val="auto"/>
              </w:rPr>
              <w:t>Entities</w:t>
            </w:r>
          </w:p>
        </w:tc>
        <w:tc>
          <w:tcPr>
            <w:tcW w:w="180" w:type="dxa"/>
            <w:vAlign w:val="bottom"/>
          </w:tcPr>
          <w:p>
            <w:pPr>
              <w:spacing w:after="0"/>
              <w:rPr>
                <w:sz w:val="12"/>
                <w:szCs w:val="12"/>
                <w:color w:val="auto"/>
              </w:rPr>
            </w:pP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Entries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3"/>
              <w:spacing w:after="0"/>
              <w:rPr>
                <w:sz w:val="20"/>
                <w:szCs w:val="20"/>
                <w:color w:val="auto"/>
              </w:rPr>
            </w:pPr>
            <w:r>
              <w:rPr>
                <w:rFonts w:ascii="Arial" w:cs="Arial" w:eastAsia="Arial" w:hAnsi="Arial"/>
                <w:sz w:val="11"/>
                <w:szCs w:val="11"/>
                <w:color w:val="auto"/>
              </w:rPr>
              <w:t>As Reported</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Year ended December 31, 2023</w:t>
            </w:r>
          </w:p>
        </w:tc>
        <w:tc>
          <w:tcPr>
            <w:tcW w:w="4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Revenues: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earned premiums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Net investment income</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769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(27)</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Realized gains (losses) on:</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Subsidiaries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Income of managed investment entities: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Investment income</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500"/>
              <w:spacing w:after="0"/>
              <w:rPr>
                <w:sz w:val="20"/>
                <w:szCs w:val="20"/>
                <w:color w:val="auto"/>
              </w:rPr>
            </w:pPr>
            <w:r>
              <w:rPr>
                <w:rFonts w:ascii="Arial" w:cs="Arial" w:eastAsia="Arial" w:hAnsi="Arial"/>
                <w:sz w:val="11"/>
                <w:szCs w:val="11"/>
                <w:color w:val="auto"/>
              </w:rPr>
              <w:t>Gain (loss) on change in fair value of assets/liabilities</w:t>
            </w:r>
          </w:p>
        </w:tc>
        <w:tc>
          <w:tcPr>
            <w:tcW w:w="1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w:t>
            </w:r>
          </w:p>
        </w:tc>
        <w:tc>
          <w:tcPr>
            <w:tcW w:w="780" w:type="dxa"/>
            <w:vAlign w:val="bottom"/>
          </w:tcPr>
          <w:p>
            <w:pPr>
              <w:ind w:left="100"/>
              <w:spacing w:after="0"/>
              <w:rPr>
                <w:sz w:val="20"/>
                <w:szCs w:val="20"/>
                <w:color w:val="auto"/>
              </w:rPr>
            </w:pP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ind w:left="86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7,422</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7,827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Insurance benefits and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5,968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5,968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Expenses of managed investment entities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7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260"/>
              <w:spacing w:after="0"/>
              <w:rPr>
                <w:sz w:val="20"/>
                <w:szCs w:val="20"/>
                <w:color w:val="auto"/>
              </w:rPr>
            </w:pPr>
            <w:r>
              <w:rPr>
                <w:rFonts w:ascii="Arial" w:cs="Arial" w:eastAsia="Arial" w:hAnsi="Arial"/>
                <w:sz w:val="11"/>
                <w:szCs w:val="11"/>
                <w:color w:val="auto"/>
              </w:rPr>
              <w:t>Interest charges on borrowed money and other expenses</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381</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6,349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Earnings before income taxes</w:t>
            </w:r>
          </w:p>
        </w:tc>
        <w:tc>
          <w:tcPr>
            <w:tcW w:w="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1,073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852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1"/>
          <w:szCs w:val="11"/>
          <w:color w:val="auto"/>
        </w:rPr>
        <w:t>Includes income of $27 million representing the change in fair value of AFG’s CLO investments and $16 million in CLO management fees earned.</w:t>
      </w:r>
    </w:p>
    <w:p>
      <w:pPr>
        <w:spacing w:after="0" w:line="4" w:lineRule="exact"/>
        <w:rPr>
          <w:rFonts w:ascii="Arial" w:cs="Arial" w:eastAsia="Arial" w:hAnsi="Arial"/>
          <w:sz w:val="13"/>
          <w:szCs w:val="13"/>
          <w:color w:val="auto"/>
        </w:rPr>
      </w:pPr>
    </w:p>
    <w:p>
      <w:pPr>
        <w:ind w:left="320" w:hanging="315"/>
        <w:spacing w:after="0"/>
        <w:tabs>
          <w:tab w:leader="none" w:pos="3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Elimination of the change in fair value of AFG’s investments in the CLOs, including $29 million in distributions recorded as interest expense by the CLOs.</w:t>
      </w:r>
    </w:p>
    <w:p>
      <w:pPr>
        <w:spacing w:after="0" w:line="7" w:lineRule="exact"/>
        <w:rPr>
          <w:rFonts w:ascii="Arial" w:cs="Arial" w:eastAsia="Arial" w:hAnsi="Arial"/>
          <w:sz w:val="11"/>
          <w:szCs w:val="11"/>
          <w:color w:val="auto"/>
        </w:rPr>
      </w:pPr>
    </w:p>
    <w:p>
      <w:pPr>
        <w:ind w:left="320" w:hanging="315"/>
        <w:spacing w:after="0"/>
        <w:tabs>
          <w:tab w:leader="none" w:pos="3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Elimination of management fees earned by AFG.</w: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General</w:t>
      </w:r>
    </w:p>
    <w:p>
      <w:pPr>
        <w:spacing w:after="0" w:line="1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8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1"/>
                <w:szCs w:val="11"/>
                <w:color w:val="auto"/>
              </w:rPr>
              <w:t>Three months ended December 31,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w w:val="97"/>
              </w:rPr>
              <w:t>Year ended December 31,</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39"/>
        </w:trPr>
        <w:tc>
          <w:tcPr>
            <w:tcW w:w="47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2025</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2025</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rPr>
              <w:t>2023</w:t>
            </w:r>
          </w:p>
        </w:tc>
      </w:tr>
      <w:tr>
        <w:trPr>
          <w:trHeight w:val="143"/>
        </w:trPr>
        <w:tc>
          <w:tcPr>
            <w:tcW w:w="4780" w:type="dxa"/>
            <w:vAlign w:val="bottom"/>
            <w:shd w:val="clear" w:color="auto" w:fill="CCEEFF"/>
          </w:tcPr>
          <w:p>
            <w:pPr>
              <w:spacing w:after="0"/>
              <w:rPr>
                <w:sz w:val="20"/>
                <w:szCs w:val="20"/>
                <w:color w:val="auto"/>
              </w:rPr>
            </w:pPr>
            <w:r>
              <w:rPr>
                <w:rFonts w:ascii="Arial" w:cs="Arial" w:eastAsia="Arial" w:hAnsi="Arial"/>
                <w:sz w:val="11"/>
                <w:szCs w:val="11"/>
                <w:color w:val="auto"/>
              </w:rPr>
              <w:t>Components of net earnings:</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Core operating earnings before income taxes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386</w:t>
            </w:r>
          </w:p>
        </w:tc>
        <w:tc>
          <w:tcPr>
            <w:tcW w:w="80" w:type="dxa"/>
            <w:vAlign w:val="bottom"/>
          </w:tcPr>
          <w:p>
            <w:pPr>
              <w:spacing w:after="0"/>
              <w:rPr>
                <w:sz w:val="13"/>
                <w:szCs w:val="13"/>
                <w:color w:val="auto"/>
              </w:rPr>
            </w:pP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330</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1,087</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1,138</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1,127</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Pretax non-core items: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Realized gain (loss) on subsidiaries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Special A&amp;E charges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Gain on retirement of debt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Other</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47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Earnings before income taxes</w:t>
            </w:r>
          </w:p>
        </w:tc>
        <w:tc>
          <w:tcPr>
            <w:tcW w:w="9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379</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1,073</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1,124</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1,073</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Provision for income taxes: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Core operating earnings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w:t>
            </w:r>
          </w:p>
        </w:tc>
      </w:tr>
      <w:tr>
        <w:trPr>
          <w:trHeight w:val="156"/>
        </w:trPr>
        <w:tc>
          <w:tcPr>
            <w:tcW w:w="4780" w:type="dxa"/>
            <w:vAlign w:val="bottom"/>
          </w:tcPr>
          <w:p>
            <w:pPr>
              <w:ind w:left="340"/>
              <w:spacing w:after="0"/>
              <w:rPr>
                <w:sz w:val="20"/>
                <w:szCs w:val="20"/>
                <w:color w:val="auto"/>
              </w:rPr>
            </w:pPr>
            <w:r>
              <w:rPr>
                <w:rFonts w:ascii="Arial" w:cs="Arial" w:eastAsia="Arial" w:hAnsi="Arial"/>
                <w:sz w:val="11"/>
                <w:szCs w:val="11"/>
                <w:color w:val="auto"/>
              </w:rPr>
              <w:t>Non-core items: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6"/>
        </w:trPr>
        <w:tc>
          <w:tcPr>
            <w:tcW w:w="4780" w:type="dxa"/>
            <w:vAlign w:val="bottom"/>
          </w:tcPr>
          <w:p>
            <w:pPr>
              <w:ind w:left="520"/>
              <w:spacing w:after="0"/>
              <w:rPr>
                <w:sz w:val="20"/>
                <w:szCs w:val="20"/>
                <w:color w:val="auto"/>
              </w:rPr>
            </w:pPr>
            <w:r>
              <w:rPr>
                <w:rFonts w:ascii="Arial" w:cs="Arial" w:eastAsia="Arial" w:hAnsi="Arial"/>
                <w:sz w:val="11"/>
                <w:szCs w:val="11"/>
                <w:color w:val="auto"/>
              </w:rPr>
              <w:t>Realized gain (loss) on subsidiaries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Special A&amp;E charges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6"/>
        </w:trPr>
        <w:tc>
          <w:tcPr>
            <w:tcW w:w="4780" w:type="dxa"/>
            <w:vAlign w:val="bottom"/>
          </w:tcPr>
          <w:p>
            <w:pPr>
              <w:ind w:left="520"/>
              <w:spacing w:after="0"/>
              <w:rPr>
                <w:sz w:val="20"/>
                <w:szCs w:val="20"/>
                <w:color w:val="auto"/>
              </w:rPr>
            </w:pPr>
            <w:r>
              <w:rPr>
                <w:rFonts w:ascii="Arial" w:cs="Arial" w:eastAsia="Arial" w:hAnsi="Arial"/>
                <w:sz w:val="11"/>
                <w:szCs w:val="11"/>
                <w:color w:val="auto"/>
              </w:rPr>
              <w:t>Gain on retirement of debt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 (*)</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4780" w:type="dxa"/>
            <w:vAlign w:val="bottom"/>
            <w:tcBorders>
              <w:bottom w:val="single" w:sz="8" w:color="CCEEFF"/>
            </w:tcBorders>
          </w:tcPr>
          <w:p>
            <w:pPr>
              <w:ind w:left="780"/>
              <w:spacing w:after="0"/>
              <w:rPr>
                <w:sz w:val="20"/>
                <w:szCs w:val="20"/>
                <w:color w:val="auto"/>
              </w:rPr>
            </w:pPr>
            <w:r>
              <w:rPr>
                <w:rFonts w:ascii="Arial" w:cs="Arial" w:eastAsia="Arial" w:hAnsi="Arial"/>
                <w:sz w:val="11"/>
                <w:szCs w:val="11"/>
                <w:color w:val="auto"/>
              </w:rPr>
              <w:t>Total provision for income taxes</w:t>
            </w:r>
          </w:p>
        </w:tc>
        <w:tc>
          <w:tcPr>
            <w:tcW w:w="9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80</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231</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237</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221</w:t>
            </w:r>
          </w:p>
        </w:tc>
      </w:tr>
      <w:tr>
        <w:trPr>
          <w:trHeight w:val="173"/>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887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4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Core net operating earnings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305</w:t>
            </w:r>
          </w:p>
        </w:tc>
        <w:tc>
          <w:tcPr>
            <w:tcW w:w="80" w:type="dxa"/>
            <w:vAlign w:val="bottom"/>
          </w:tcPr>
          <w:p>
            <w:pPr>
              <w:spacing w:after="0"/>
              <w:rPr>
                <w:sz w:val="13"/>
                <w:szCs w:val="13"/>
                <w:color w:val="auto"/>
              </w:rPr>
            </w:pP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860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902</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895</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Realized gain (loss) on subsidiaries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2"/>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Special A&amp;E charges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56"/>
        </w:trPr>
        <w:tc>
          <w:tcPr>
            <w:tcW w:w="4780" w:type="dxa"/>
            <w:vAlign w:val="bottom"/>
          </w:tcPr>
          <w:p>
            <w:pPr>
              <w:ind w:left="220"/>
              <w:spacing w:after="0"/>
              <w:rPr>
                <w:sz w:val="20"/>
                <w:szCs w:val="20"/>
                <w:color w:val="auto"/>
              </w:rPr>
            </w:pPr>
            <w:r>
              <w:rPr>
                <w:rFonts w:ascii="Arial" w:cs="Arial" w:eastAsia="Arial" w:hAnsi="Arial"/>
                <w:sz w:val="11"/>
                <w:szCs w:val="11"/>
                <w:color w:val="auto"/>
              </w:rPr>
              <w:t>Gain on retirement of debt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9"/>
        </w:trPr>
        <w:tc>
          <w:tcPr>
            <w:tcW w:w="4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w:t>
            </w:r>
          </w:p>
        </w:tc>
        <w:tc>
          <w:tcPr>
            <w:tcW w:w="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4780" w:type="dxa"/>
            <w:vAlign w:val="bottom"/>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tcPr>
          <w:p>
            <w:pPr>
              <w:spacing w:after="0"/>
              <w:rPr>
                <w:sz w:val="13"/>
                <w:szCs w:val="13"/>
                <w:color w:val="auto"/>
              </w:rPr>
            </w:pPr>
          </w:p>
        </w:tc>
        <w:tc>
          <w:tcPr>
            <w:tcW w:w="900" w:type="dxa"/>
            <w:vAlign w:val="bottom"/>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3"/>
                <w:szCs w:val="13"/>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842</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887</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852</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4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6"/>
        </w:trPr>
        <w:tc>
          <w:tcPr>
            <w:tcW w:w="4780" w:type="dxa"/>
            <w:vAlign w:val="bottom"/>
          </w:tcPr>
          <w:p>
            <w:pPr>
              <w:ind w:left="20"/>
              <w:spacing w:after="0"/>
              <w:rPr>
                <w:sz w:val="20"/>
                <w:szCs w:val="20"/>
                <w:color w:val="auto"/>
              </w:rPr>
            </w:pPr>
            <w:r>
              <w:rPr>
                <w:rFonts w:ascii="Arial" w:cs="Arial" w:eastAsia="Arial" w:hAnsi="Arial"/>
                <w:sz w:val="11"/>
                <w:szCs w:val="11"/>
                <w:color w:val="auto"/>
              </w:rPr>
              <w:t>Diluted per share amounts:</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Core net operating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10.56</w:t>
            </w:r>
          </w:p>
        </w:tc>
      </w:tr>
      <w:tr>
        <w:trPr>
          <w:trHeight w:val="156"/>
        </w:trPr>
        <w:tc>
          <w:tcPr>
            <w:tcW w:w="4780" w:type="dxa"/>
            <w:vAlign w:val="bottom"/>
          </w:tcPr>
          <w:p>
            <w:pPr>
              <w:ind w:left="180"/>
              <w:spacing w:after="0"/>
              <w:rPr>
                <w:sz w:val="20"/>
                <w:szCs w:val="20"/>
                <w:color w:val="auto"/>
              </w:rPr>
            </w:pPr>
            <w:r>
              <w:rPr>
                <w:rFonts w:ascii="Arial" w:cs="Arial" w:eastAsia="Arial" w:hAnsi="Arial"/>
                <w:sz w:val="11"/>
                <w:szCs w:val="11"/>
                <w:color w:val="auto"/>
              </w:rPr>
              <w:t>Realized gains (losses) on securities</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(0.07)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0.11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(0.33)</w:t>
            </w: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Realized gain (loss) on subsidiaries</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0.01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r>
      <w:tr>
        <w:trPr>
          <w:trHeight w:val="156"/>
        </w:trPr>
        <w:tc>
          <w:tcPr>
            <w:tcW w:w="4780" w:type="dxa"/>
            <w:vAlign w:val="bottom"/>
          </w:tcPr>
          <w:p>
            <w:pPr>
              <w:ind w:left="180"/>
              <w:spacing w:after="0"/>
              <w:rPr>
                <w:sz w:val="20"/>
                <w:szCs w:val="20"/>
                <w:color w:val="auto"/>
              </w:rPr>
            </w:pPr>
            <w:r>
              <w:rPr>
                <w:rFonts w:ascii="Arial" w:cs="Arial" w:eastAsia="Arial" w:hAnsi="Arial"/>
                <w:sz w:val="11"/>
                <w:szCs w:val="11"/>
                <w:color w:val="auto"/>
              </w:rPr>
              <w:t>Special A&amp;E charges</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(0.15)</w:t>
            </w: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Gain on retirement of debt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r>
      <w:tr>
        <w:trPr>
          <w:trHeight w:val="156"/>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10.57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Adjustments to income tax expense related to sales of subsidiaries in prior years.</w:t>
      </w:r>
    </w:p>
    <w:p>
      <w:pPr>
        <w:spacing w:after="0" w:line="264"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Net earnings were $299 million in the fourth quarter of 2025 compared to $255 million in the fourth quarter of 2024 reflecting higher core net operating earnings. Core net operating earnings for the fourth quarter of 2025 increased $43 million compared to the fourth quarter of 2024 reflecting higher underwriting profit, partially offset by lower net investment income from AFG’s alternative investment portfolio (partnerships and similar investments and AFG-managed CLOs). Net realized losses on securities in the fourth quarter of 2025 and 2024 include $2 million and $1 million of after-tax losses, respectively, resulting from the change in fair value of equity securities that were still held at the balance sheet date.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Net earnings were $842 million for the full-year of 2025 compared to $887 million in 2024 reflecting lower core net operating earnings. Core net operating earnings for 2025 decreased</w:t>
      </w:r>
    </w:p>
    <w:p>
      <w:pPr>
        <w:spacing w:after="0" w:line="22" w:lineRule="exact"/>
        <w:rPr>
          <w:sz w:val="20"/>
          <w:szCs w:val="20"/>
          <w:color w:val="auto"/>
        </w:rPr>
      </w:pPr>
    </w:p>
    <w:p>
      <w:pPr>
        <w:ind w:right="200"/>
        <w:spacing w:after="0" w:line="295" w:lineRule="auto"/>
        <w:rPr>
          <w:sz w:val="20"/>
          <w:szCs w:val="20"/>
          <w:color w:val="auto"/>
        </w:rPr>
      </w:pPr>
      <w:r>
        <w:rPr>
          <w:rFonts w:ascii="Arial" w:cs="Arial" w:eastAsia="Arial" w:hAnsi="Arial"/>
          <w:sz w:val="13"/>
          <w:szCs w:val="13"/>
          <w:color w:val="auto"/>
        </w:rPr>
        <w:t>$42 million compared to 2024 reflecting lower net investment income from AFG’s alternative investment portfolio, partially offset by higher underwriting profit and higher investment income outside of alternative investments. Net realized gains on securities in 2025 of $8 million and 2024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less than $1 million include after-tax gains of $15 million and $19 million, respectively, resulting from the change in fair value of equity securities that were still held at the balance sheet date.</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Net earnings were $887 million for the full-year of 2024 compared to $852 million in 2023 reflecting the impact of net realized losses on securities in 2023 and higher core net operating earnings. Core net operating earnings for 2024 increased $7 million compared to 2023. Higher investment income outside of alternative investments was partially offset by lower returns on AFG’s alternative investment portfolio and lower underwriting profit. Net realized gains on securities of less than $1 million in 2024 and net realized losses on securities of $28 million in 2023 include $19 million of after-tax gains and $2 million of after-tax losses, respectively, resulting from the change in fair value of equity securities that were still held at the balance sheet date.</w:t>
      </w: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 — THREE MONTHS ENDED DECEMBER 31, 2025 AND 2024</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Segmented Statement of Earnings</w:t>
      </w:r>
    </w:p>
    <w:p>
      <w:pPr>
        <w:spacing w:after="0" w:line="17" w:lineRule="exact"/>
        <w:rPr>
          <w:sz w:val="20"/>
          <w:szCs w:val="20"/>
          <w:color w:val="auto"/>
        </w:rPr>
      </w:pPr>
    </w:p>
    <w:p>
      <w:pPr>
        <w:ind w:right="440"/>
        <w:spacing w:after="0" w:line="278" w:lineRule="auto"/>
        <w:rPr>
          <w:sz w:val="20"/>
          <w:szCs w:val="20"/>
          <w:color w:val="auto"/>
        </w:rPr>
      </w:pPr>
      <w:r>
        <w:rPr>
          <w:rFonts w:ascii="Arial" w:cs="Arial" w:eastAsia="Arial" w:hAnsi="Arial"/>
          <w:sz w:val="13"/>
          <w:szCs w:val="13"/>
          <w:color w:val="auto"/>
        </w:rPr>
        <w:t>AFG reports its operations as two segments: (i) Property and casualty insurance (“P&amp;C”) and (ii) Other, which includes holding company costs and income and expenses related to the managed investment entities (“MIEs”).</w:t>
      </w:r>
    </w:p>
    <w:p>
      <w:pPr>
        <w:spacing w:after="0" w:line="151"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The following tables for the three months ended December 31,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180"/>
              <w:spacing w:after="0" w:line="114"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Three months ended December 31, 2025</w:t>
            </w: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39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1,980</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2,070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2,063</w:t>
            </w:r>
          </w:p>
        </w:tc>
        <w:tc>
          <w:tcPr>
            <w:tcW w:w="0" w:type="dxa"/>
            <w:vAlign w:val="bottom"/>
          </w:tcPr>
          <w:p>
            <w:pPr>
              <w:spacing w:after="0"/>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1,540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1,684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440</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348</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19"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Three months ended December 31, 2024</w:t>
            </w: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39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2,047</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2,159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2,149</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467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1,669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1,829</w:t>
            </w: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378</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the reconciliation of core earnings to GAAP net earnings under “</w:t>
      </w:r>
      <w:r>
        <w:rPr>
          <w:rFonts w:ascii="Arial" w:cs="Arial" w:eastAsia="Arial" w:hAnsi="Arial"/>
          <w:sz w:val="13"/>
          <w:szCs w:val="13"/>
          <w:i w:val="1"/>
          <w:iCs w:val="1"/>
          <w:color w:val="auto"/>
        </w:rPr>
        <w:t>Results of Operations — General</w:t>
      </w:r>
      <w:r>
        <w:rPr>
          <w:rFonts w:ascii="Arial" w:cs="Arial" w:eastAsia="Arial" w:hAnsi="Arial"/>
          <w:sz w:val="13"/>
          <w:szCs w:val="13"/>
          <w:color w:val="auto"/>
        </w:rPr>
        <w:t>” for details on the tax impacts of these reconciling items.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Insurance Segment — Results of Operations</w:t>
      </w:r>
    </w:p>
    <w:p>
      <w:pPr>
        <w:spacing w:after="0" w:line="28"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AFG’s property and casualty insurance operations contributed $440 million in pretax earnings in the fourth quarter of 2025 compared to $378 million in the fourth quarter of 2024, an increase of $62 million (16%). The increase in pretax earnings reflects higher underwriting profit, partially offset by lower investment income from AFG’s alternative investment portfolio (partnerships and similar investments and AFG-managed CLOs).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360"/>
        <w:spacing w:after="0" w:line="289" w:lineRule="auto"/>
        <w:rPr>
          <w:sz w:val="20"/>
          <w:szCs w:val="20"/>
          <w:color w:val="auto"/>
        </w:rPr>
      </w:pPr>
      <w:r>
        <w:rPr>
          <w:rFonts w:ascii="Arial" w:cs="Arial" w:eastAsia="Arial" w:hAnsi="Arial"/>
          <w:sz w:val="13"/>
          <w:szCs w:val="13"/>
          <w:color w:val="auto"/>
        </w:rPr>
        <w:t>The following table details AFG’s earnings before income taxes from its property and casualty insurance operations for the three months ended December 31, 2025 and 2024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960" w:type="dxa"/>
            <w:vAlign w:val="bottom"/>
          </w:tcPr>
          <w:p>
            <w:pPr>
              <w:spacing w:after="0"/>
              <w:rPr>
                <w:sz w:val="12"/>
                <w:szCs w:val="12"/>
                <w:color w:val="auto"/>
              </w:rPr>
            </w:pPr>
          </w:p>
        </w:tc>
        <w:tc>
          <w:tcPr>
            <w:tcW w:w="2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color w:val="auto"/>
              </w:rPr>
              <w:t>Three months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69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960" w:type="dxa"/>
            <w:vAlign w:val="bottom"/>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2,085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2,043</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w:t>
            </w:r>
          </w:p>
        </w:tc>
      </w:tr>
      <w:tr>
        <w:trPr>
          <w:trHeight w:val="16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premiums ceded</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(641)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(583)</w:t>
            </w:r>
          </w:p>
        </w:tc>
        <w:tc>
          <w:tcPr>
            <w:tcW w:w="120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3"/>
                <w:szCs w:val="13"/>
                <w:color w:val="auto"/>
              </w:rPr>
              <w:t>10%</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1,444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in unearned premiums</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362</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390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6960" w:type="dxa"/>
            <w:vAlign w:val="bottom"/>
          </w:tcPr>
          <w:p>
            <w:pPr>
              <w:ind w:left="20"/>
              <w:spacing w:after="0"/>
              <w:rPr>
                <w:sz w:val="20"/>
                <w:szCs w:val="20"/>
                <w:color w:val="auto"/>
              </w:rPr>
            </w:pPr>
            <w:r>
              <w:rPr>
                <w:rFonts w:ascii="Arial" w:cs="Arial" w:eastAsia="Arial" w:hAnsi="Arial"/>
                <w:sz w:val="13"/>
                <w:szCs w:val="13"/>
                <w:color w:val="auto"/>
              </w:rPr>
              <w:t>Loss and loss adjustment expenses</w:t>
            </w: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1,061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1,181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and other underwriting expenses</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461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6960" w:type="dxa"/>
            <w:vAlign w:val="bottom"/>
          </w:tcPr>
          <w:p>
            <w:pPr>
              <w:ind w:left="20"/>
              <w:spacing w:after="0"/>
              <w:rPr>
                <w:sz w:val="20"/>
                <w:szCs w:val="20"/>
                <w:color w:val="auto"/>
              </w:rPr>
            </w:pPr>
            <w:r>
              <w:rPr>
                <w:rFonts w:ascii="Arial" w:cs="Arial" w:eastAsia="Arial" w:hAnsi="Arial"/>
                <w:sz w:val="13"/>
                <w:szCs w:val="13"/>
                <w:b w:val="1"/>
                <w:bCs w:val="1"/>
                <w:color w:val="auto"/>
              </w:rPr>
              <w:t>Underwriting gain</w:t>
            </w:r>
          </w:p>
        </w:tc>
        <w:tc>
          <w:tcPr>
            <w:tcW w:w="96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202</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41%</w:t>
            </w:r>
          </w:p>
        </w:tc>
      </w:tr>
      <w:tr>
        <w:trPr>
          <w:trHeight w:val="170"/>
        </w:trPr>
        <w:tc>
          <w:tcPr>
            <w:tcW w:w="69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96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195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and expenses, net</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2"/>
        </w:trPr>
        <w:tc>
          <w:tcPr>
            <w:tcW w:w="6960" w:type="dxa"/>
            <w:vAlign w:val="bottom"/>
          </w:tcPr>
          <w:p>
            <w:pPr>
              <w:ind w:left="20"/>
              <w:spacing w:after="0"/>
              <w:rPr>
                <w:sz w:val="20"/>
                <w:szCs w:val="20"/>
                <w:color w:val="auto"/>
              </w:rPr>
            </w:pPr>
            <w:r>
              <w:rPr>
                <w:rFonts w:ascii="Arial" w:cs="Arial" w:eastAsia="Arial" w:hAnsi="Arial"/>
                <w:sz w:val="13"/>
                <w:szCs w:val="13"/>
                <w:b w:val="1"/>
                <w:bCs w:val="1"/>
                <w:color w:val="auto"/>
              </w:rPr>
              <w:t>Earnings before income taxes</w:t>
            </w:r>
          </w:p>
        </w:tc>
        <w:tc>
          <w:tcPr>
            <w:tcW w:w="96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378</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16%</w:t>
            </w:r>
          </w:p>
        </w:tc>
      </w:tr>
      <w:tr>
        <w:trPr>
          <w:trHeight w:val="20"/>
        </w:trPr>
        <w:tc>
          <w:tcPr>
            <w:tcW w:w="69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4"/>
        </w:trPr>
        <w:tc>
          <w:tcPr>
            <w:tcW w:w="696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color w:val="auto"/>
              </w:rPr>
              <w:t>Three months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Combined Ratios:</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rPr>
              <w:t>Change</w:t>
            </w:r>
          </w:p>
        </w:tc>
      </w:tr>
      <w:tr>
        <w:trPr>
          <w:trHeight w:val="150"/>
        </w:trPr>
        <w:tc>
          <w:tcPr>
            <w:tcW w:w="6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Specialty lines</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696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70"/>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0.2%</w:t>
            </w:r>
          </w:p>
        </w:tc>
      </w:tr>
      <w:tr>
        <w:trPr>
          <w:trHeight w:val="162"/>
        </w:trPr>
        <w:tc>
          <w:tcPr>
            <w:tcW w:w="6960" w:type="dxa"/>
            <w:vAlign w:val="bottom"/>
          </w:tcPr>
          <w:p>
            <w:pPr>
              <w:ind w:left="520"/>
              <w:spacing w:after="0"/>
              <w:rPr>
                <w:sz w:val="20"/>
                <w:szCs w:val="20"/>
                <w:color w:val="auto"/>
              </w:rPr>
            </w:pPr>
            <w:r>
              <w:rPr>
                <w:rFonts w:ascii="Arial" w:cs="Arial" w:eastAsia="Arial" w:hAnsi="Arial"/>
                <w:sz w:val="13"/>
                <w:szCs w:val="13"/>
                <w:color w:val="auto"/>
              </w:rPr>
              <w:t>Combined ratio</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(4.9%)</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31"/>
        </w:trPr>
        <w:tc>
          <w:tcPr>
            <w:tcW w:w="6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bl>
    <w:p>
      <w:pPr>
        <w:spacing w:after="0" w:line="1" w:lineRule="exact"/>
        <w:rPr>
          <w:sz w:val="20"/>
          <w:szCs w:val="20"/>
          <w:color w:val="auto"/>
        </w:rPr>
      </w:pPr>
    </w:p>
    <w:p>
      <w:pPr>
        <w:sectPr>
          <w:pgSz w:w="11900" w:h="16838" w:orient="portrait"/>
          <w:cols w:equalWidth="0" w:num="1">
            <w:col w:w="11280"/>
          </w:cols>
          <w:pgMar w:left="300" w:top="121" w:right="319" w:bottom="1440" w:gutter="0" w:footer="0" w:header="0"/>
        </w:sectPr>
      </w:pPr>
    </w:p>
    <w:p>
      <w:pPr>
        <w:ind w:left="20"/>
        <w:spacing w:after="0"/>
        <w:rPr>
          <w:sz w:val="20"/>
          <w:szCs w:val="20"/>
          <w:color w:val="auto"/>
        </w:rPr>
      </w:pPr>
      <w:r>
        <w:rPr>
          <w:rFonts w:ascii="Arial" w:cs="Arial" w:eastAsia="Arial" w:hAnsi="Arial"/>
          <w:sz w:val="12"/>
          <w:szCs w:val="12"/>
          <w:color w:val="auto"/>
        </w:rPr>
        <w:t>Aggregate — including exited lines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Loss and LAE ratio</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Combined ratio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jc w:val="right"/>
              <w:spacing w:after="0"/>
              <w:rPr>
                <w:sz w:val="20"/>
                <w:szCs w:val="20"/>
                <w:color w:val="auto"/>
              </w:rPr>
            </w:pPr>
            <w:r>
              <w:rPr>
                <w:rFonts w:ascii="Arial" w:cs="Arial" w:eastAsia="Arial" w:hAnsi="Arial"/>
                <w:sz w:val="13"/>
                <w:szCs w:val="13"/>
                <w:color w:val="auto"/>
              </w:rPr>
              <w:t>58.8%</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63.8%</w:t>
            </w:r>
          </w:p>
        </w:tc>
        <w:tc>
          <w:tcPr>
            <w:tcW w:w="118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71"/>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118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62"/>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w:t>
            </w:r>
          </w:p>
        </w:tc>
        <w:tc>
          <w:tcPr>
            <w:tcW w:w="11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-356235</wp:posOffset>
            </wp:positionV>
            <wp:extent cx="7161530" cy="107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-140970</wp:posOffset>
            </wp:positionV>
            <wp:extent cx="716153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320"/>
          </w:cols>
          <w:pgMar w:left="300" w:top="121" w:right="319" w:bottom="1440" w:gutter="0" w:footer="0" w:header="0"/>
          <w:type w:val="continuous"/>
        </w:sectPr>
      </w:pPr>
    </w:p>
    <w:p>
      <w:pPr>
        <w:spacing w:after="0" w:line="48"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AFG’s statutory combined ratio has been better than the U.S. industry average for 38 of the most recent 40 years. Management believes that AFG’s insurance operations have performed better than the industry as a result of its specialty niche focus, product line diversification, stringent underwriting discipline and alignment of compensation incentives.</w:t>
      </w:r>
    </w:p>
    <w:p>
      <w:pPr>
        <w:spacing w:after="0" w:line="139" w:lineRule="exact"/>
        <w:rPr>
          <w:sz w:val="20"/>
          <w:szCs w:val="20"/>
          <w:color w:val="auto"/>
        </w:rPr>
      </w:pPr>
    </w:p>
    <w:p>
      <w:pPr>
        <w:ind w:right="80"/>
        <w:spacing w:after="0" w:line="314" w:lineRule="auto"/>
        <w:rPr>
          <w:sz w:val="20"/>
          <w:szCs w:val="20"/>
          <w:color w:val="auto"/>
        </w:rPr>
      </w:pPr>
      <w:r>
        <w:rPr>
          <w:rFonts w:ascii="Arial" w:cs="Arial" w:eastAsia="Arial" w:hAnsi="Arial"/>
          <w:sz w:val="13"/>
          <w:szCs w:val="13"/>
          <w:color w:val="auto"/>
        </w:rPr>
        <w:t>AFG reports the underwriting performance of its Specialty property and casualty insurance business in the following sub-segments: (i) Property and transportation, (ii) Specialty casualty and (iii) Specialty financial.</w:t>
      </w:r>
    </w:p>
    <w:p>
      <w:pPr>
        <w:spacing w:after="0" w:line="129"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68" w:lineRule="exact"/>
        <w:rPr>
          <w:sz w:val="20"/>
          <w:szCs w:val="20"/>
          <w:color w:val="auto"/>
        </w:rPr>
      </w:pPr>
    </w:p>
    <w:p>
      <w:pPr>
        <w:ind w:right="140"/>
        <w:spacing w:after="0" w:line="269" w:lineRule="auto"/>
        <w:rPr>
          <w:sz w:val="20"/>
          <w:szCs w:val="20"/>
          <w:color w:val="auto"/>
        </w:rPr>
      </w:pPr>
      <w:r>
        <w:rPr>
          <w:rFonts w:ascii="Arial" w:cs="Arial" w:eastAsia="Arial" w:hAnsi="Arial"/>
          <w:sz w:val="13"/>
          <w:szCs w:val="13"/>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Gross Written Premiums</w:t>
      </w:r>
    </w:p>
    <w:p>
      <w:pPr>
        <w:spacing w:after="0" w:line="21"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Gross written premiums (“GWP”) for AFG’s property and casualty insurance segment were $2.09 billion for the fourth quarter of 2025 compared to $2.04 billion for the fourth quarter of 2024, an increase of $42 million (2%). Detail of AFG’s property and casualty gross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7"/>
        </w:trPr>
        <w:tc>
          <w:tcPr>
            <w:tcW w:w="5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2025</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5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GWP</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GWP</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w:t>
            </w:r>
          </w:p>
        </w:tc>
      </w:tr>
      <w:tr>
        <w:trPr>
          <w:trHeight w:val="169"/>
        </w:trPr>
        <w:tc>
          <w:tcPr>
            <w:tcW w:w="554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2%</w:t>
            </w: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554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2%</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 Premiums Ceded</w:t>
      </w:r>
    </w:p>
    <w:p>
      <w:pPr>
        <w:spacing w:after="0" w:line="21" w:lineRule="exact"/>
        <w:rPr>
          <w:sz w:val="20"/>
          <w:szCs w:val="20"/>
          <w:color w:val="auto"/>
        </w:rPr>
      </w:pPr>
    </w:p>
    <w:p>
      <w:pPr>
        <w:ind w:right="180"/>
        <w:spacing w:after="0" w:line="278" w:lineRule="auto"/>
        <w:rPr>
          <w:sz w:val="20"/>
          <w:szCs w:val="20"/>
          <w:color w:val="auto"/>
        </w:rPr>
      </w:pPr>
      <w:r>
        <w:rPr>
          <w:rFonts w:ascii="Arial" w:cs="Arial" w:eastAsia="Arial" w:hAnsi="Arial"/>
          <w:sz w:val="13"/>
          <w:szCs w:val="13"/>
          <w:color w:val="auto"/>
        </w:rPr>
        <w:t>Reinsurance premiums ceded (“Ceded”) for AFG’s property and casualty insurance segment were 31% of gross written premiums for the fourth quarter of 2025 compared to 29% of gross written premiums for the fourth quarter of 2024, an increase of 2 percentage points. Detail of AFG’s property and casualty reinsurance premiums ceded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color w:val="auto"/>
              </w:rPr>
              <w:t>Three months ended December 31,</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0"/>
        </w:trPr>
        <w:tc>
          <w:tcPr>
            <w:tcW w:w="5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color w:val="auto"/>
              </w:rPr>
              <w:t>2025</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2024</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81"/>
              <w:spacing w:after="0"/>
              <w:rPr>
                <w:sz w:val="20"/>
                <w:szCs w:val="20"/>
                <w:color w:val="auto"/>
              </w:rPr>
            </w:pPr>
            <w:r>
              <w:rPr>
                <w:rFonts w:ascii="Arial" w:cs="Arial" w:eastAsia="Arial" w:hAnsi="Arial"/>
                <w:sz w:val="11"/>
                <w:szCs w:val="11"/>
                <w:color w:val="auto"/>
              </w:rPr>
              <w:t>Change in % of</w:t>
            </w:r>
          </w:p>
        </w:tc>
      </w:tr>
      <w:tr>
        <w:trPr>
          <w:trHeight w:val="153"/>
        </w:trPr>
        <w:tc>
          <w:tcPr>
            <w:tcW w:w="54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auto"/>
              </w:rPr>
              <w:t>Ceded</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color w:val="auto"/>
              </w:rPr>
              <w:t>% of GWP</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color w:val="auto"/>
              </w:rPr>
              <w:t>Ceded</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color w:val="auto"/>
              </w:rPr>
              <w:t>% of GWP</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color w:val="auto"/>
              </w:rPr>
              <w:t>GWP</w:t>
            </w:r>
          </w:p>
        </w:tc>
      </w:tr>
      <w:tr>
        <w:trPr>
          <w:trHeight w:val="160"/>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54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2"/>
        </w:trPr>
        <w:tc>
          <w:tcPr>
            <w:tcW w:w="546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Written Premiums</w:t>
      </w:r>
    </w:p>
    <w:p>
      <w:pPr>
        <w:spacing w:after="0" w:line="10" w:lineRule="exact"/>
        <w:rPr>
          <w:sz w:val="20"/>
          <w:szCs w:val="20"/>
          <w:color w:val="auto"/>
        </w:rPr>
      </w:pPr>
    </w:p>
    <w:p>
      <w:pPr>
        <w:jc w:val="both"/>
        <w:ind w:right="120"/>
        <w:spacing w:after="0" w:line="278" w:lineRule="auto"/>
        <w:rPr>
          <w:sz w:val="20"/>
          <w:szCs w:val="20"/>
          <w:color w:val="auto"/>
        </w:rPr>
      </w:pPr>
      <w:r>
        <w:rPr>
          <w:rFonts w:ascii="Arial" w:cs="Arial" w:eastAsia="Arial" w:hAnsi="Arial"/>
          <w:sz w:val="13"/>
          <w:szCs w:val="13"/>
          <w:color w:val="auto"/>
        </w:rPr>
        <w:t>Net written premiums (“NWP”) for AFG’s property and casualty insurance segment were $1.44 billion for the fourth quarter of 2025 compared to $1.46 billion for the fourth quarter of 2024, a decrease of $16 million (1%). Detail of AFG’s property and casualty net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7"/>
        </w:trPr>
        <w:tc>
          <w:tcPr>
            <w:tcW w:w="5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color w:val="auto"/>
              </w:rPr>
              <w:t>2025</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NWP</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NWP</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w:t>
            </w:r>
          </w:p>
        </w:tc>
        <w:tc>
          <w:tcPr>
            <w:tcW w:w="1180" w:type="dxa"/>
            <w:vAlign w:val="bottom"/>
            <w:gridSpan w:val="2"/>
          </w:tcPr>
          <w:p>
            <w:pPr>
              <w:jc w:val="right"/>
              <w:ind w:right="3"/>
              <w:spacing w:after="0"/>
              <w:rPr>
                <w:sz w:val="20"/>
                <w:szCs w:val="20"/>
                <w:color w:val="auto"/>
              </w:rPr>
            </w:pPr>
            <w:r>
              <w:rPr>
                <w:rFonts w:ascii="Arial" w:cs="Arial" w:eastAsia="Arial" w:hAnsi="Arial"/>
                <w:sz w:val="13"/>
                <w:szCs w:val="13"/>
                <w:color w:val="auto"/>
              </w:rPr>
              <w:t>3%</w:t>
            </w: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55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Earned Premiums</w:t>
      </w:r>
    </w:p>
    <w:p>
      <w:pPr>
        <w:spacing w:after="0" w:line="10"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Net earned premiums (“NEP”) for AFG’s property and casualty insurance segment were $1.81 billion for the fourth quarter of 2025 compared to $1.85 billion for the fourth quarter of 2024, a decrease of $44 million (2%). Detail of AFG’s property and casualty net earned premiums is shown below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1"/>
                <w:szCs w:val="11"/>
                <w:color w:val="auto"/>
              </w:rPr>
              <w:t>Three months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7"/>
        </w:trPr>
        <w:tc>
          <w:tcPr>
            <w:tcW w:w="5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color w:val="auto"/>
              </w:rPr>
              <w:t>2025</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NEP</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color w:val="auto"/>
              </w:rPr>
              <w:t>NEP</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 Change</w:t>
            </w:r>
          </w:p>
        </w:tc>
      </w:tr>
      <w:tr>
        <w:trPr>
          <w:trHeight w:val="164"/>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1%</w:t>
            </w: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55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100"/>
        <w:spacing w:after="0" w:line="284" w:lineRule="auto"/>
        <w:rPr>
          <w:sz w:val="20"/>
          <w:szCs w:val="20"/>
          <w:color w:val="auto"/>
        </w:rPr>
      </w:pPr>
      <w:r>
        <w:rPr>
          <w:rFonts w:ascii="Arial" w:cs="Arial" w:eastAsia="Arial" w:hAnsi="Arial"/>
          <w:sz w:val="13"/>
          <w:szCs w:val="13"/>
          <w:color w:val="auto"/>
        </w:rPr>
        <w:t>Gross written premiums for the fourth quarter of 2025 increased $42 million (2%) compared to the fourth quarter of 2024 driven primarily by new business opportunities, a good renewal rate environment and increased exposures. Overall average renewal rates increased approximately 4% in the fourth quarter of 2025. Excluding the workers’ compensation businesses, renewal pricing increased approximately 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Gross written premiums increased $27 million (5%) in the fourth quarter of 2025 compared to the fourth quarter of 2024. This increase was due primarily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growth in crop products that are heavily ceded, and to a lesser extent, growth in a transportation alternative risk transfer program with higher premium cessions. Average renewal rates increased approximately 6% for this group in the fourth quarter of 2025. Reinsurance premiums ceded as a percentage of gross written premiums increased 5 percentage points in the fourth quarter of 2025 compared to the fourth quarter of 2024, reflecting higher cessions in the crop and aviation businesses and growth in certain programs in the transportation businesses which cede a higher percentage of premiums than some of the other businesses in the Property and transportation sub-segment.</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Gross written premiums increased $27 million (2%) in the fourth quarter of 2025 compared to the fourth quarter of 2024. The primary drivers of growth included new</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business opportunities and favorable renewal pricing in the targeted markets businesses, new business opportunities in the mergers and acquisitions liability business, growth in the workers’ compensation businesses and new premiums from a start-up business. This growth was tempered by lower year-over-year premiums in the executive liability and excess and surplus businesses. Average renewal rates for this group increased approximately 5% in the fourth quarter of 2025. Excluding workers’ compensation businesses, renewal rates for this group increased approximately 6%. Reinsurance premiums ceded as a percentage of gross written premiums for the fourth quarter of 2025 were comparable to the fourth quarter of 2024.</w:t>
      </w:r>
    </w:p>
    <w:p>
      <w:pPr>
        <w:spacing w:after="0" w:line="16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Gross written premiums decreased $12 million (4%) in the fourth quarter of 2025 compared to the fourth quarter of 2024. Higher premiums in AFG’s European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operations were more than offset by lower premiums in the financial institutions business. Average renewal rates for this group increased approximately 1% in the fourth quarter of 2025. Reinsurance premiums ceded as a percentage of gross written premiums increased 6 percentage points in the fourth quarter of 2025 compared to the fourth quarter of 2024, reflecting higher cessions of catastrophe exposed business in the financial institutions business.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Combined Ratio</w:t>
      </w:r>
    </w:p>
    <w:p>
      <w:pPr>
        <w:spacing w:after="0" w:line="21"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Performance measures such as the combined ratio are often used by property and casualty insurers to help users of their financial statements better understand the company’s performance. The combined ratio is the sum of the loss and loss adjustment expenses (“LAE”) and underwriting expense ratios. These ratios are calculated by dividing each of the respective expenses by net earned premiums. The table below (dollars in millions) details the components of the combined ratio and underwriting profit for AFG’s property and casualty insurance segment:</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and transportation</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casualty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financial</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Specialty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 including exited lines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Three months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color w:val="auto"/>
              </w:rPr>
              <w:t>2025</w:t>
            </w:r>
          </w:p>
        </w:tc>
        <w:tc>
          <w:tcPr>
            <w:tcW w:w="8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color w:val="auto"/>
              </w:rPr>
              <w:t>2024</w:t>
            </w:r>
          </w:p>
        </w:tc>
      </w:tr>
      <w:tr>
        <w:trPr>
          <w:trHeight w:val="320"/>
        </w:trPr>
        <w:tc>
          <w:tcPr>
            <w:tcW w:w="1500" w:type="dxa"/>
            <w:vAlign w:val="bottom"/>
          </w:tcPr>
          <w:p>
            <w:pPr>
              <w:jc w:val="right"/>
              <w:spacing w:after="0"/>
              <w:rPr>
                <w:sz w:val="20"/>
                <w:szCs w:val="20"/>
                <w:color w:val="auto"/>
              </w:rPr>
            </w:pPr>
            <w:r>
              <w:rPr>
                <w:rFonts w:ascii="Arial" w:cs="Arial" w:eastAsia="Arial" w:hAnsi="Arial"/>
                <w:sz w:val="13"/>
                <w:szCs w:val="13"/>
                <w:color w:val="auto"/>
              </w:rPr>
              <w:t>56.8%</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69.5%</w:t>
            </w:r>
          </w:p>
        </w:tc>
      </w:tr>
      <w:tr>
        <w:trPr>
          <w:trHeight w:val="17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r>
      <w:tr>
        <w:trPr>
          <w:trHeight w:val="16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0"/>
        </w:trPr>
        <w:tc>
          <w:tcPr>
            <w:tcW w:w="1500" w:type="dxa"/>
            <w:vAlign w:val="bottom"/>
          </w:tcPr>
          <w:p>
            <w:pPr>
              <w:jc w:val="right"/>
              <w:spacing w:after="0"/>
              <w:rPr>
                <w:sz w:val="20"/>
                <w:szCs w:val="20"/>
                <w:color w:val="auto"/>
              </w:rPr>
            </w:pPr>
            <w:r>
              <w:rPr>
                <w:rFonts w:ascii="Arial" w:cs="Arial" w:eastAsia="Arial" w:hAnsi="Arial"/>
                <w:sz w:val="13"/>
                <w:szCs w:val="13"/>
                <w:color w:val="auto"/>
              </w:rPr>
              <w:t>68.7%</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67.2%</w:t>
            </w:r>
          </w:p>
        </w:tc>
      </w:tr>
      <w:tr>
        <w:trPr>
          <w:trHeight w:val="17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w:t>
            </w:r>
          </w:p>
        </w:tc>
      </w:tr>
      <w:tr>
        <w:trPr>
          <w:trHeight w:val="16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0"/>
        </w:trPr>
        <w:tc>
          <w:tcPr>
            <w:tcW w:w="1500" w:type="dxa"/>
            <w:vAlign w:val="bottom"/>
          </w:tcPr>
          <w:p>
            <w:pPr>
              <w:jc w:val="right"/>
              <w:spacing w:after="0"/>
              <w:rPr>
                <w:sz w:val="20"/>
                <w:szCs w:val="20"/>
                <w:color w:val="auto"/>
              </w:rPr>
            </w:pPr>
            <w:r>
              <w:rPr>
                <w:rFonts w:ascii="Arial" w:cs="Arial" w:eastAsia="Arial" w:hAnsi="Arial"/>
                <w:sz w:val="13"/>
                <w:szCs w:val="13"/>
                <w:color w:val="auto"/>
              </w:rPr>
              <w:t>32.0%</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38.1%</w:t>
            </w:r>
          </w:p>
        </w:tc>
      </w:tr>
      <w:tr>
        <w:trPr>
          <w:trHeight w:val="17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r>
      <w:tr>
        <w:trPr>
          <w:trHeight w:val="16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83.0%</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0"/>
        </w:trPr>
        <w:tc>
          <w:tcPr>
            <w:tcW w:w="1500" w:type="dxa"/>
            <w:vAlign w:val="bottom"/>
          </w:tcPr>
          <w:p>
            <w:pPr>
              <w:jc w:val="right"/>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63.7%</w:t>
            </w:r>
          </w:p>
        </w:tc>
      </w:tr>
      <w:tr>
        <w:trPr>
          <w:trHeight w:val="17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r>
      <w:tr>
        <w:trPr>
          <w:trHeight w:val="16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0"/>
        </w:trPr>
        <w:tc>
          <w:tcPr>
            <w:tcW w:w="1500" w:type="dxa"/>
            <w:vAlign w:val="bottom"/>
          </w:tcPr>
          <w:p>
            <w:pPr>
              <w:jc w:val="right"/>
              <w:spacing w:after="0"/>
              <w:rPr>
                <w:sz w:val="20"/>
                <w:szCs w:val="20"/>
                <w:color w:val="auto"/>
              </w:rPr>
            </w:pPr>
            <w:r>
              <w:rPr>
                <w:rFonts w:ascii="Arial" w:cs="Arial" w:eastAsia="Arial" w:hAnsi="Arial"/>
                <w:sz w:val="13"/>
                <w:szCs w:val="13"/>
                <w:color w:val="auto"/>
              </w:rPr>
              <w:t>58.8%</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63.8%</w:t>
            </w:r>
          </w:p>
        </w:tc>
      </w:tr>
      <w:tr>
        <w:trPr>
          <w:trHeight w:val="17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r>
      <w:tr>
        <w:trPr>
          <w:trHeight w:val="16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-3185795</wp:posOffset>
            </wp:positionV>
            <wp:extent cx="7161530"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-2970530</wp:posOffset>
            </wp:positionV>
            <wp:extent cx="7161530"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-2734945</wp:posOffset>
            </wp:positionV>
            <wp:extent cx="7161530"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-2505710</wp:posOffset>
            </wp:positionV>
            <wp:extent cx="7161530" cy="107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-2289810</wp:posOffset>
            </wp:positionV>
            <wp:extent cx="716153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-2054225</wp:posOffset>
            </wp:positionV>
            <wp:extent cx="716153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-1824990</wp:posOffset>
            </wp:positionV>
            <wp:extent cx="7161530" cy="107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-1609725</wp:posOffset>
            </wp:positionV>
            <wp:extent cx="7161530"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-1373505</wp:posOffset>
            </wp:positionV>
            <wp:extent cx="7161530"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-1144905</wp:posOffset>
            </wp:positionV>
            <wp:extent cx="7161530"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-929005</wp:posOffset>
            </wp:positionV>
            <wp:extent cx="7161530"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-693420</wp:posOffset>
            </wp:positionV>
            <wp:extent cx="7161530"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-464185</wp:posOffset>
            </wp:positionV>
            <wp:extent cx="7161530"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-248920</wp:posOffset>
            </wp:positionV>
            <wp:extent cx="7161530" cy="107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-12700</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720"/>
        <w:spacing w:after="0"/>
        <w:rPr>
          <w:sz w:val="20"/>
          <w:szCs w:val="20"/>
          <w:color w:val="auto"/>
        </w:rPr>
      </w:pPr>
      <w:r>
        <w:rPr>
          <w:rFonts w:ascii="Arial" w:cs="Arial" w:eastAsia="Arial" w:hAnsi="Arial"/>
          <w:sz w:val="11"/>
          <w:szCs w:val="11"/>
          <w:color w:val="auto"/>
        </w:rPr>
        <w:t>Three months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gridSpan w:val="2"/>
          </w:tcPr>
          <w:p>
            <w:pPr>
              <w:ind w:left="340"/>
              <w:spacing w:after="0"/>
              <w:rPr>
                <w:sz w:val="20"/>
                <w:szCs w:val="20"/>
                <w:color w:val="auto"/>
              </w:rPr>
            </w:pPr>
            <w:r>
              <w:rPr>
                <w:rFonts w:ascii="Arial" w:cs="Arial" w:eastAsia="Arial" w:hAnsi="Arial"/>
                <w:sz w:val="11"/>
                <w:szCs w:val="11"/>
                <w:color w:val="auto"/>
              </w:rPr>
              <w:t>Change</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98"/>
              <w:spacing w:after="0"/>
              <w:rPr>
                <w:sz w:val="20"/>
                <w:szCs w:val="20"/>
                <w:color w:val="auto"/>
              </w:rPr>
            </w:pPr>
            <w:r>
              <w:rPr>
                <w:rFonts w:ascii="Arial" w:cs="Arial" w:eastAsia="Arial" w:hAnsi="Arial"/>
                <w:sz w:val="11"/>
                <w:szCs w:val="11"/>
                <w:color w:val="auto"/>
              </w:rPr>
              <w:t>2025</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98"/>
              <w:spacing w:after="0"/>
              <w:rPr>
                <w:sz w:val="20"/>
                <w:szCs w:val="20"/>
                <w:color w:val="auto"/>
              </w:rPr>
            </w:pPr>
            <w:r>
              <w:rPr>
                <w:rFonts w:ascii="Arial" w:cs="Arial" w:eastAsia="Arial" w:hAnsi="Arial"/>
                <w:sz w:val="11"/>
                <w:szCs w:val="11"/>
                <w:color w:val="auto"/>
              </w:rPr>
              <w:t>2024</w:t>
            </w:r>
          </w:p>
        </w:tc>
        <w:tc>
          <w:tcPr>
            <w:tcW w:w="0" w:type="dxa"/>
            <w:vAlign w:val="bottom"/>
          </w:tcPr>
          <w:p>
            <w:pPr>
              <w:spacing w:after="0"/>
              <w:rPr>
                <w:sz w:val="1"/>
                <w:szCs w:val="1"/>
                <w:color w:val="auto"/>
              </w:rPr>
            </w:pPr>
          </w:p>
        </w:tc>
      </w:tr>
      <w:tr>
        <w:trPr>
          <w:trHeight w:val="320"/>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5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360" w:space="720"/>
            <w:col w:w="3060" w:space="100"/>
            <w:col w:w="4040"/>
          </w:cols>
          <w:pgMar w:left="300" w:top="121" w:right="319" w:bottom="1440" w:gutter="0" w:footer="0" w:header="0"/>
          <w:type w:val="continuous"/>
        </w:sectPr>
      </w:pP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The Specialty property and casualty insurance operations generated an underwriting profit of $287 million in the fourth quarter of 2025 compared to $204 million in the fourth quarter of 2024, an increase of $83 million (41%). Higher underwriting profit in the Property and transportation sub-segment was partially offset by lower year-over-year underwriting profit in the Specialty casualty and Specialty financial sub-segments. Overall catastrophe losses were $4 million (0.2 points on the combined ratio) in the fourth quarter of 2025 compared to $21 million (1.1 points), including $1 million in net reinstatement premiums in the fourth quarter of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Underwriting profit for this group was $216 million for the fourth quarter of 2025 compared to $81 million in the fourth quarter of 2024, an increase of</w:t>
      </w:r>
    </w:p>
    <w:p>
      <w:pPr>
        <w:spacing w:after="0" w:line="19"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$135 million (167%), reflecting higher underwriting profitability in the crop insurance operations resulting from record yields for corn and soybeans and favorable commodity pricing trends throughout the growing season. Catastrophe losses for this group were a favorable impact of less than $1 million (0.1 points on the combined ratio) in the fourth quarter of 2025 compared to catastrophe losses of $10 million (1.3 points), including $1 million in net reinstatement premiums in the fourth quarter of 2024.</w:t>
      </w:r>
    </w:p>
    <w:p>
      <w:pPr>
        <w:spacing w:after="0" w:line="159"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Underwriting profit for this group was $27 million for the fourth quarter of 2025 compared to $69 million in the fourth quarter of 2024, a decrease of $42 million (61%).</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Higher year-over-year underwriting profit in certain excess and surplus businesses and the executive liability business were more than offset by lower underwriting results in several social inflation exposed businesses and the workers’ compensation and general liability businesses. Catastrophe losses for this group had favorable impacts of $3 million (0.3 points on the combined ratio) in the fourth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240"/>
        <w:spacing w:after="0" w:line="280" w:lineRule="auto"/>
        <w:rPr>
          <w:sz w:val="20"/>
          <w:szCs w:val="20"/>
          <w:color w:val="auto"/>
        </w:rPr>
      </w:pPr>
      <w:r>
        <w:rPr>
          <w:rFonts w:ascii="Arial" w:cs="Arial" w:eastAsia="Arial" w:hAnsi="Arial"/>
          <w:sz w:val="13"/>
          <w:szCs w:val="13"/>
          <w:color w:val="auto"/>
        </w:rPr>
        <w:t>quarter of 2025 and $6 million (0.7 points) in the fourth quarter of 2024. Catastrophe losses in the fourth quarter of 2024 include the favorable impact from lower than previously estimated losses from Hurricane Helene.</w:t>
      </w:r>
    </w:p>
    <w:p>
      <w:pPr>
        <w:spacing w:after="0" w:line="139" w:lineRule="exact"/>
        <w:rPr>
          <w:sz w:val="20"/>
          <w:szCs w:val="20"/>
          <w:color w:val="auto"/>
        </w:rPr>
      </w:pPr>
    </w:p>
    <w:p>
      <w:pPr>
        <w:jc w:val="both"/>
        <w:ind w:right="100"/>
        <w:spacing w:after="0" w:line="238"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Underwriting profit for this group was $44 million for the fourth quarter of 2025 compared to $54 million in the fourth quarter of 2024, a decrease of $10 million (19%).</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Higher underwriting profit in the fidelity business was more than offset by lower underwriting profit in the financial institutions business. Catastrophe losses were $7 million (2.5 points on the combined ratio) in the fourth quarter of 2025 compared to $17 million (6.2 points) in the fourth quarter of 2024.</w:t>
      </w:r>
    </w:p>
    <w:p>
      <w:pPr>
        <w:spacing w:after="0" w:line="16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underwriting results for AFG’s property and casualty insurance segment include adverse prior year reserve development of $3 million in the fourth quarter of 2025</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and $2 million in the fourth quarter of 2024 related to business outside of the Specialty group that AFG no longer writes.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Losses and Loss Adjustment Expenses</w:t>
      </w:r>
    </w:p>
    <w:p>
      <w:pPr>
        <w:spacing w:after="0" w:line="21" w:lineRule="exact"/>
        <w:rPr>
          <w:sz w:val="20"/>
          <w:szCs w:val="20"/>
          <w:color w:val="auto"/>
        </w:rPr>
      </w:pPr>
    </w:p>
    <w:p>
      <w:pPr>
        <w:ind w:right="100"/>
        <w:spacing w:after="0" w:line="278" w:lineRule="auto"/>
        <w:rPr>
          <w:sz w:val="20"/>
          <w:szCs w:val="20"/>
          <w:color w:val="auto"/>
        </w:rPr>
      </w:pPr>
      <w:r>
        <w:rPr>
          <w:rFonts w:ascii="Arial" w:cs="Arial" w:eastAsia="Arial" w:hAnsi="Arial"/>
          <w:sz w:val="13"/>
          <w:szCs w:val="13"/>
          <w:color w:val="auto"/>
        </w:rPr>
        <w:t>AFG’s overall loss and LAE ratio was 58.8% for the fourth quarter of 2025 compared to 63.8% for the fourth quarter of 2024, a decrease of 5.0 percentage points. The components of AFG’s property and casualty losses and LAE amounts and ratio are detailed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color w:val="auto"/>
              </w:rPr>
              <w:t>Three months ended December 31,</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2"/>
        </w:trPr>
        <w:tc>
          <w:tcPr>
            <w:tcW w:w="5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Amount</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color w:val="auto"/>
              </w:rPr>
              <w:t>Ratio</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rPr>
              <w:t>Change in Ratio</w:t>
            </w:r>
          </w:p>
        </w:tc>
      </w:tr>
      <w:tr>
        <w:trPr>
          <w:trHeight w:val="153"/>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transportation</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(8.9%)</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87"/>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Property and transportation losses and LAE and ratio</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1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11"/>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casualty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562</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6.6%</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0.4%</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casualty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11"/>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financial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(3.7%)</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financial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11"/>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Specialty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1,084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(0.8%)</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(0.9%)</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Specialty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11"/>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Aggregate — including exited lines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98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1,084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(0.8%)</w:t>
            </w:r>
          </w:p>
        </w:tc>
      </w:tr>
      <w:tr>
        <w:trPr>
          <w:trHeight w:val="171"/>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Current year catastrophe losses including the impact of net reinstatement premiums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(0.8%)</w:t>
            </w:r>
          </w:p>
        </w:tc>
      </w:tr>
      <w:tr>
        <w:trPr>
          <w:trHeight w:val="18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Aggregate losses and LAE and ratio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Current accident year losses and LAE, excluding catastrophe losses</w:t>
      </w:r>
    </w:p>
    <w:p>
      <w:pPr>
        <w:spacing w:after="0" w:line="22" w:lineRule="exact"/>
        <w:rPr>
          <w:sz w:val="20"/>
          <w:szCs w:val="20"/>
          <w:color w:val="auto"/>
        </w:rPr>
      </w:pPr>
    </w:p>
    <w:p>
      <w:pPr>
        <w:ind w:right="560"/>
        <w:spacing w:after="0" w:line="278" w:lineRule="auto"/>
        <w:rPr>
          <w:sz w:val="20"/>
          <w:szCs w:val="20"/>
          <w:color w:val="auto"/>
        </w:rPr>
      </w:pPr>
      <w:r>
        <w:rPr>
          <w:rFonts w:ascii="Arial" w:cs="Arial" w:eastAsia="Arial" w:hAnsi="Arial"/>
          <w:sz w:val="13"/>
          <w:szCs w:val="13"/>
          <w:color w:val="auto"/>
        </w:rPr>
        <w:t>The current accident year loss and LAE ratio, excluding catastrophe losses for AFG’s Specialty property and casualty insurance operations was 60.0% for the fourth quarter of 2025 compared to 60.8% in the fourth quarter of 2024, a decrease of 0.8 percentage points.</w:t>
      </w:r>
    </w:p>
    <w:p>
      <w:pPr>
        <w:spacing w:after="0" w:line="162"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The 8.9 percentage points decrease in the loss and LAE ratio for the current year, excluding catastrophe losses, reflects very strong earnings in the crop</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business, partially offset by higher claim severity in certain transportation businesses.</w:t>
      </w:r>
    </w:p>
    <w:p>
      <w:pPr>
        <w:spacing w:after="0" w:line="175"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The 6.6 percentage points increase in the loss and LAE ratio for the current year, excluding catastrophe losses, reflects higher than anticipated claim severity in the</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excess and surplus, social services and California workers’ compensation businesses.</w:t>
      </w:r>
    </w:p>
    <w:p>
      <w:pPr>
        <w:spacing w:after="0" w:line="175"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The 2.4 percentage points decrease in the loss and LAE ratio for the current year, excluding catastrophe losses, reflects improved claim severity in the surety and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fidelity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Net prior year reserve development</w:t>
      </w:r>
    </w:p>
    <w:p>
      <w:pPr>
        <w:spacing w:after="0" w:line="22" w:lineRule="exact"/>
        <w:rPr>
          <w:sz w:val="20"/>
          <w:szCs w:val="20"/>
          <w:color w:val="auto"/>
        </w:rPr>
      </w:pPr>
    </w:p>
    <w:p>
      <w:pPr>
        <w:ind w:right="40"/>
        <w:spacing w:after="0" w:line="278" w:lineRule="auto"/>
        <w:rPr>
          <w:sz w:val="20"/>
          <w:szCs w:val="20"/>
          <w:color w:val="auto"/>
        </w:rPr>
      </w:pPr>
      <w:r>
        <w:rPr>
          <w:rFonts w:ascii="Arial" w:cs="Arial" w:eastAsia="Arial" w:hAnsi="Arial"/>
          <w:sz w:val="13"/>
          <w:szCs w:val="13"/>
          <w:color w:val="auto"/>
        </w:rPr>
        <w:t>AFG’s Specialty property and casualty insurance operations recorded net favorable reserve development related to prior accident years of $30 million in the fourth quarter of 2025 compared to net adverse reserve development related to prior accident years of $34 million in the fourth quarter of 2024, a change of $64 million (188%).</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Net favorable reserve development of $20 million in the fourth quarter of 2025 reflects lower than anticipated losses in the crop business and lower than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anticipated claim severity in the commercial auto, property and inland marine and ocean marine businesses. Net favorable reserve development of $2 million in the fourth quarter of 2024 reflects lower than anticipated losses in the crop business and lower than expected claim severity in the property and inland marine business, partially offset by higher than anticipated claim severity in the commercial auto business.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Net favorable reserve development of $1 million in the fourth quarter of 2025 reflects lower than expected claim severity in the workers’ compensation, executive</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liability and social inflation exposed businesses, partially offset by higher than anticipated claim severity in the excess and surplus, excess liability and public sector businesses. Net adverse reserve development of $44 million in the fourth quarter of 2024 reflects higher than anticipated claim frequency and severity in the umbrella and excess liability businesses and higher than expected claim severity in the social services and general liability businesses, partially offset by lower than expected claim severity in the workers’ compensation businesses.</w:t>
      </w:r>
    </w:p>
    <w:p>
      <w:pPr>
        <w:spacing w:after="0" w:line="158"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Net favorable reserve development of $9 million in the fourth quarter of 2025 reflects lower than anticipated claim severity in the trade credit and surety businesses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and lower than anticipated claim frequency in the financial institutions business. Net favorable reserve development of $8 million in the fourth quarter of 2024 reflects lower than anticipated claim frequency and severity in the financial institutions business and lower than expected claim severity in the fidelity business.</w:t>
      </w:r>
    </w:p>
    <w:p>
      <w:pPr>
        <w:spacing w:after="0" w:line="157" w:lineRule="exact"/>
        <w:rPr>
          <w:sz w:val="20"/>
          <w:szCs w:val="20"/>
          <w:color w:val="auto"/>
        </w:rPr>
      </w:pPr>
    </w:p>
    <w:p>
      <w:pPr>
        <w:ind w:right="320"/>
        <w:spacing w:after="0" w:line="232"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net prior accident years reserve development for AFG’s property and casualty insurance segment includes net adverse reserve development of $3 million in the</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fourth quarter of 2025 and $2 million in the fourth quarter of 2024 related to business outside of the Specialty group that AFG no longer writes.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Catastrophe losses</w:t>
      </w:r>
    </w:p>
    <w:p>
      <w:pPr>
        <w:spacing w:after="0" w:line="22"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2025, management estimates that AFG’s exposure to a catastrophic earthquake or windstorm that industry models indicate should statistically occur once in every 500 years is less than 3% of AFG’s Shareholders’ Equity.</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Catastrophe losses of $4 million in the fourth quarter of 2025 resulted primarily from storms in multiple regions of the United States. Catastrophe losses of $20 million (before $1 million in net reinstatement premiums) in the fourth quarter of 2024 resulted primarily from Hurricane Milton.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Commissions and Other Underwriting Expenses</w:t>
      </w:r>
    </w:p>
    <w:p>
      <w:pPr>
        <w:spacing w:after="0" w:line="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3"/>
          <w:szCs w:val="13"/>
          <w:color w:val="auto"/>
        </w:rPr>
        <w:t>AFG’s property and casualty commissions and other underwriting expenses (“U/W Exp”) were $461 million in the fourth quarter of 2025 compared to $467 million for the fourth quarter of 2024, a decrease of $6 million (1%). AFG’s underwriting expense ratio, calculated as commissions and other underwriting expenses divided by net premiums earned, was 25.5% for the fourth quarter of 2025 compared to 25.3% for the fourth quarter of 2024, an increase of 0.2 percentage points. Detail of AFG’s property and casualty commissions and other underwriting expenses and underwriting expense ratios is shown below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Three months ended December 31,</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0"/>
        </w:trPr>
        <w:tc>
          <w:tcPr>
            <w:tcW w:w="5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2025</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color w:val="auto"/>
              </w:rPr>
              <w:t>2024</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2"/>
        </w:trPr>
        <w:tc>
          <w:tcPr>
            <w:tcW w:w="55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U/W Exp</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U/W Exp</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Change in % of NEP</w:t>
            </w:r>
          </w:p>
        </w:tc>
      </w:tr>
      <w:tr>
        <w:trPr>
          <w:trHeight w:val="164"/>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84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8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24.2%</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3.8%</w:t>
            </w: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8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8.4%</w:t>
            </w:r>
          </w:p>
        </w:tc>
      </w:tr>
      <w:tr>
        <w:trPr>
          <w:trHeight w:val="162"/>
        </w:trPr>
        <w:tc>
          <w:tcPr>
            <w:tcW w:w="5500" w:type="dxa"/>
            <w:vAlign w:val="bottom"/>
          </w:tcPr>
          <w:p>
            <w:pPr>
              <w:spacing w:after="0"/>
              <w:rPr>
                <w:sz w:val="14"/>
                <w:szCs w:val="14"/>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25.3%</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0.2%</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Commissions and other underwriting expenses as a percentage of net earned premiums decreased 6.2 percentage points in the fourth quarter of 2025</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compared to the fourth quarter of 2024. The improvement reflects higher ceding commissions from reinsurers resulting from very strong crop insurance results, partially offset by higher costs for software and other expenses associated with certain initiatives in IT security, customer experience and data analytics.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Commissions and other underwriting expenses as a percentage of net earned premiums increased 3.8 percentage points in the fourth quarter of 2025 compared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fourth quarter of 2024 reflecting an increase in average commission rates in certain excess and surplus businesses resulting from changes in reinsurance treaties, higher costs for software and other expenses associated with certain initiatives in IT security, customer experience and data analytics and changes in the mix of business.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Commissions and other underwriting expenses as a percentage of net earned premiums increased 8.4 percentage points in the fourth quarter of 2025 compared to</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fourth quarter of 2024 reflecting higher profit-based commissions to agents in the financial institutions business and higher costs for software and other expenses associated with certain initiatives in IT security, customer experience and data analytics.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Net Investment Income</w:t>
      </w:r>
    </w:p>
    <w:p>
      <w:pPr>
        <w:spacing w:after="0" w:line="10" w:lineRule="exact"/>
        <w:rPr>
          <w:sz w:val="20"/>
          <w:szCs w:val="20"/>
          <w:color w:val="auto"/>
        </w:rPr>
      </w:pPr>
    </w:p>
    <w:p>
      <w:pPr>
        <w:jc w:val="both"/>
        <w:ind w:right="60"/>
        <w:spacing w:after="0" w:line="278" w:lineRule="auto"/>
        <w:rPr>
          <w:sz w:val="20"/>
          <w:szCs w:val="20"/>
          <w:color w:val="auto"/>
        </w:rPr>
      </w:pPr>
      <w:r>
        <w:rPr>
          <w:rFonts w:ascii="Arial" w:cs="Arial" w:eastAsia="Arial" w:hAnsi="Arial"/>
          <w:sz w:val="13"/>
          <w:szCs w:val="13"/>
          <w:color w:val="auto"/>
        </w:rPr>
        <w:t>Net investment income in AFG’s property and casualty insurance operations was $171 million in the fourth quarter of 2025 compared to $195 million in the fourth quarter of 2024, a decrease of $24 million (12%). The average invested assets and overall yield earned on investments held by AFG’s property and casualty insurance operations are provided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20" w:type="dxa"/>
            <w:vAlign w:val="bottom"/>
          </w:tcPr>
          <w:p>
            <w:pPr>
              <w:spacing w:after="0"/>
              <w:rPr>
                <w:sz w:val="12"/>
                <w:szCs w:val="12"/>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Three months ended December 31,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2"/>
          </w:tcPr>
          <w:p>
            <w:pPr>
              <w:jc w:val="right"/>
              <w:ind w:right="383"/>
              <w:spacing w:after="0"/>
              <w:rPr>
                <w:sz w:val="20"/>
                <w:szCs w:val="20"/>
                <w:color w:val="auto"/>
              </w:rPr>
            </w:pPr>
            <w:r>
              <w:rPr>
                <w:rFonts w:ascii="Arial" w:cs="Arial" w:eastAsia="Arial" w:hAnsi="Arial"/>
                <w:sz w:val="11"/>
                <w:szCs w:val="11"/>
                <w:color w:val="auto"/>
              </w:rPr>
              <w:t>%</w:t>
            </w:r>
          </w:p>
        </w:tc>
      </w:tr>
      <w:tr>
        <w:trPr>
          <w:trHeight w:val="153"/>
        </w:trPr>
        <w:tc>
          <w:tcPr>
            <w:tcW w:w="58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color w:val="auto"/>
              </w:rPr>
              <w:t>Change</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Change</w:t>
            </w:r>
          </w:p>
        </w:tc>
      </w:tr>
      <w:tr>
        <w:trPr>
          <w:trHeight w:val="153"/>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investment income:</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9"/>
        </w:trPr>
        <w:tc>
          <w:tcPr>
            <w:tcW w:w="5820" w:type="dxa"/>
            <w:vAlign w:val="bottom"/>
          </w:tcPr>
          <w:p>
            <w:pPr>
              <w:ind w:left="180"/>
              <w:spacing w:after="0"/>
              <w:rPr>
                <w:sz w:val="20"/>
                <w:szCs w:val="20"/>
                <w:color w:val="auto"/>
              </w:rPr>
            </w:pPr>
            <w:r>
              <w:rPr>
                <w:rFonts w:ascii="Arial" w:cs="Arial" w:eastAsia="Arial" w:hAnsi="Arial"/>
                <w:sz w:val="13"/>
                <w:szCs w:val="13"/>
                <w:color w:val="auto"/>
              </w:rPr>
              <w:t>Net investment income, excluding alternative investments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4"/>
                <w:szCs w:val="14"/>
                <w:color w:val="auto"/>
              </w:rPr>
            </w:pPr>
          </w:p>
        </w:tc>
        <w:tc>
          <w:tcPr>
            <w:tcW w:w="920" w:type="dxa"/>
            <w:vAlign w:val="bottom"/>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3</w:t>
            </w:r>
          </w:p>
        </w:tc>
        <w:tc>
          <w:tcPr>
            <w:tcW w:w="1080" w:type="dxa"/>
            <w:vAlign w:val="bottom"/>
            <w:gridSpan w:val="2"/>
          </w:tcPr>
          <w:p>
            <w:pPr>
              <w:jc w:val="right"/>
              <w:ind w:right="3"/>
              <w:spacing w:after="0"/>
              <w:rPr>
                <w:sz w:val="20"/>
                <w:szCs w:val="20"/>
                <w:color w:val="auto"/>
              </w:rPr>
            </w:pPr>
            <w:r>
              <w:rPr>
                <w:rFonts w:ascii="Arial" w:cs="Arial" w:eastAsia="Arial" w:hAnsi="Arial"/>
                <w:sz w:val="13"/>
                <w:szCs w:val="13"/>
                <w:color w:val="auto"/>
              </w:rPr>
              <w:t>2%</w:t>
            </w:r>
          </w:p>
        </w:tc>
      </w:tr>
      <w:tr>
        <w:trPr>
          <w:trHeight w:val="170"/>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Alternative investments</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5820" w:type="dxa"/>
            <w:vAlign w:val="bottom"/>
          </w:tcPr>
          <w:p>
            <w:pPr>
              <w:ind w:left="360"/>
              <w:spacing w:after="0"/>
              <w:rPr>
                <w:sz w:val="20"/>
                <w:szCs w:val="20"/>
                <w:color w:val="auto"/>
              </w:rPr>
            </w:pPr>
            <w:r>
              <w:rPr>
                <w:rFonts w:ascii="Arial" w:cs="Arial" w:eastAsia="Arial" w:hAnsi="Arial"/>
                <w:sz w:val="13"/>
                <w:szCs w:val="13"/>
                <w:color w:val="auto"/>
              </w:rPr>
              <w:t>Total net investment income</w:t>
            </w: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89"/>
        </w:trPr>
        <w:tc>
          <w:tcPr>
            <w:tcW w:w="5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Average invested assets (at amortized cost)</w:t>
            </w: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16,520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15,718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802</w:t>
            </w:r>
          </w:p>
        </w:tc>
        <w:tc>
          <w:tcPr>
            <w:tcW w:w="1080" w:type="dxa"/>
            <w:vAlign w:val="bottom"/>
            <w:gridSpan w:val="2"/>
          </w:tcPr>
          <w:p>
            <w:pPr>
              <w:jc w:val="right"/>
              <w:ind w:right="3"/>
              <w:spacing w:after="0"/>
              <w:rPr>
                <w:sz w:val="20"/>
                <w:szCs w:val="20"/>
                <w:color w:val="auto"/>
              </w:rPr>
            </w:pPr>
            <w:r>
              <w:rPr>
                <w:rFonts w:ascii="Arial" w:cs="Arial" w:eastAsia="Arial" w:hAnsi="Arial"/>
                <w:sz w:val="13"/>
                <w:szCs w:val="13"/>
                <w:color w:val="auto"/>
              </w:rPr>
              <w:t>5%</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89"/>
        </w:trPr>
        <w:tc>
          <w:tcPr>
            <w:tcW w:w="5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Yield on fixed maturities (before investment expenses)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89"/>
        </w:trPr>
        <w:tc>
          <w:tcPr>
            <w:tcW w:w="5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Yield (net investment income as a % of average invested assets)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The decrease in the property and casualty insurance segment’s net investment income for the fourth quarter of 2025 compared to the fourth quarter of 2024 reflects the impact of lower returns on AFG’s alternative investment portfolio (partnerships and similar investments and AFG-managed CLOs), partially offset by higher balances of invested assets and higher returns on fixed income investments. The property and casualty insurance segment’s overall yield on investments (net investment income as a percentage of average invested assets) was 4.14% for the fourth quarter of 2025 compared to 4.96% for the fourth quarter of 2024, a decrease of 0.82 percentage points. The annualized return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earned on alternative investments was 0.9% in the fourth quarter of 2025 compared to 4.9% in the comparable prior 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Other Income and Expenses, Net</w:t>
      </w:r>
    </w:p>
    <w:p>
      <w:pPr>
        <w:spacing w:after="0" w:line="21" w:lineRule="exact"/>
        <w:rPr>
          <w:sz w:val="20"/>
          <w:szCs w:val="20"/>
          <w:color w:val="auto"/>
        </w:rPr>
      </w:pPr>
    </w:p>
    <w:p>
      <w:pPr>
        <w:jc w:val="both"/>
        <w:ind w:right="120"/>
        <w:spacing w:after="0" w:line="266" w:lineRule="auto"/>
        <w:rPr>
          <w:sz w:val="20"/>
          <w:szCs w:val="20"/>
          <w:color w:val="auto"/>
        </w:rPr>
      </w:pPr>
      <w:r>
        <w:rPr>
          <w:rFonts w:ascii="Arial" w:cs="Arial" w:eastAsia="Arial" w:hAnsi="Arial"/>
          <w:sz w:val="13"/>
          <w:szCs w:val="13"/>
          <w:color w:val="auto"/>
        </w:rPr>
        <w:t>Other income and expenses, net for AFG’s property and casualty insurance operations was a net expense of $15 million for the fourth quarter of 2025 compared to $19 million for the fourth quarter of 2024, an improvement of $4 million (21%). The table below details the items included in other income and expenses, net for AFG’s property and casualty insurance operations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color w:val="auto"/>
              </w:rPr>
              <w:t>Three months ended December 31,</w:t>
            </w:r>
          </w:p>
        </w:tc>
        <w:tc>
          <w:tcPr>
            <w:tcW w:w="420" w:type="dxa"/>
            <w:vAlign w:val="bottom"/>
            <w:tcBorders>
              <w:bottom w:val="single" w:sz="8" w:color="auto"/>
            </w:tcBorders>
          </w:tcPr>
          <w:p>
            <w:pPr>
              <w:spacing w:after="0"/>
              <w:rPr>
                <w:sz w:val="13"/>
                <w:szCs w:val="13"/>
                <w:color w:val="auto"/>
              </w:rPr>
            </w:pPr>
          </w:p>
        </w:tc>
      </w:tr>
      <w:tr>
        <w:trPr>
          <w:trHeight w:val="150"/>
        </w:trPr>
        <w:tc>
          <w:tcPr>
            <w:tcW w:w="83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r>
      <w:tr>
        <w:trPr>
          <w:trHeight w:val="16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0"/>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Other expenses:</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0"/>
        </w:trPr>
        <w:tc>
          <w:tcPr>
            <w:tcW w:w="8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intangibles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8340" w:type="dxa"/>
            <w:vAlign w:val="bottom"/>
          </w:tcPr>
          <w:p>
            <w:pPr>
              <w:ind w:left="220"/>
              <w:spacing w:after="0"/>
              <w:rPr>
                <w:sz w:val="20"/>
                <w:szCs w:val="20"/>
                <w:color w:val="auto"/>
              </w:rPr>
            </w:pPr>
            <w:r>
              <w:rPr>
                <w:rFonts w:ascii="Arial" w:cs="Arial" w:eastAsia="Arial" w:hAnsi="Arial"/>
                <w:sz w:val="13"/>
                <w:szCs w:val="13"/>
                <w:color w:val="auto"/>
              </w:rPr>
              <w:t>Interest expense on funds withheld</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8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other expenses</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8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expenses, net</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Other and Unallocated — Results of Operations</w:t>
      </w:r>
    </w:p>
    <w:p>
      <w:pPr>
        <w:spacing w:after="0" w:line="17"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AFG’s net pretax loss outside of its property and casualty insurance segment (excluding realized gains and losses) totaled $54 million in the fourth quarter of 2025 compared to $48 million in the fourth quarter of 2024, an increase of $6 million (13%).</w:t>
      </w:r>
    </w:p>
    <w:p>
      <w:pPr>
        <w:spacing w:after="0" w:line="151" w:lineRule="exact"/>
        <w:rPr>
          <w:sz w:val="20"/>
          <w:szCs w:val="20"/>
          <w:color w:val="auto"/>
        </w:rPr>
      </w:pPr>
    </w:p>
    <w:p>
      <w:pPr>
        <w:ind w:right="80"/>
        <w:spacing w:after="0" w:line="314" w:lineRule="auto"/>
        <w:rPr>
          <w:sz w:val="20"/>
          <w:szCs w:val="20"/>
          <w:color w:val="auto"/>
        </w:rPr>
      </w:pPr>
      <w:r>
        <w:rPr>
          <w:rFonts w:ascii="Arial" w:cs="Arial" w:eastAsia="Arial" w:hAnsi="Arial"/>
          <w:sz w:val="13"/>
          <w:szCs w:val="13"/>
          <w:color w:val="auto"/>
        </w:rPr>
        <w:t>The following table details AFG’s loss before income taxes from operations outside of its property and casualty insurance segment for the three months ended December 31, 2025 and 2024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160" w:type="dxa"/>
            <w:vAlign w:val="bottom"/>
          </w:tcPr>
          <w:p>
            <w:pPr>
              <w:spacing w:after="0"/>
              <w:rPr>
                <w:sz w:val="12"/>
                <w:szCs w:val="12"/>
                <w:color w:val="auto"/>
              </w:rPr>
            </w:pPr>
          </w:p>
        </w:tc>
        <w:tc>
          <w:tcPr>
            <w:tcW w:w="25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color w:val="auto"/>
              </w:rPr>
              <w:t>Three months ended December 31,</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71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color w:val="auto"/>
              </w:rPr>
              <w:t>% Change</w:t>
            </w:r>
          </w:p>
        </w:tc>
      </w:tr>
      <w:tr>
        <w:trPr>
          <w:trHeight w:val="153"/>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7160" w:type="dxa"/>
            <w:vAlign w:val="bottom"/>
          </w:tcPr>
          <w:p>
            <w:pPr>
              <w:ind w:left="140"/>
              <w:spacing w:after="0"/>
              <w:rPr>
                <w:sz w:val="20"/>
                <w:szCs w:val="20"/>
                <w:color w:val="auto"/>
              </w:rPr>
            </w:pPr>
            <w:r>
              <w:rPr>
                <w:rFonts w:ascii="Arial" w:cs="Arial" w:eastAsia="Arial" w:hAnsi="Arial"/>
                <w:sz w:val="13"/>
                <w:szCs w:val="13"/>
                <w:color w:val="auto"/>
              </w:rPr>
              <w:t>Net investment income</w:t>
            </w:r>
          </w:p>
        </w:tc>
        <w:tc>
          <w:tcPr>
            <w:tcW w:w="1000" w:type="dxa"/>
            <w:vAlign w:val="bottom"/>
          </w:tcPr>
          <w:p>
            <w:pPr>
              <w:jc w:val="right"/>
              <w:ind w:right="8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 P&amp;C fees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income</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(33%)</w:t>
            </w:r>
          </w:p>
        </w:tc>
      </w:tr>
      <w:tr>
        <w:trPr>
          <w:trHeight w:val="162"/>
        </w:trPr>
        <w:tc>
          <w:tcPr>
            <w:tcW w:w="7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7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7160" w:type="dxa"/>
            <w:vAlign w:val="bottom"/>
          </w:tcPr>
          <w:p>
            <w:pPr>
              <w:ind w:left="140"/>
              <w:spacing w:after="0"/>
              <w:rPr>
                <w:sz w:val="20"/>
                <w:szCs w:val="20"/>
                <w:color w:val="auto"/>
              </w:rPr>
            </w:pPr>
            <w:r>
              <w:rPr>
                <w:rFonts w:ascii="Arial" w:cs="Arial" w:eastAsia="Arial" w:hAnsi="Arial"/>
                <w:sz w:val="13"/>
                <w:szCs w:val="13"/>
                <w:color w:val="auto"/>
              </w:rPr>
              <w:t>P&amp;C — loss adjustment and underwriting expenses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(62%)</w:t>
            </w:r>
          </w:p>
        </w:tc>
      </w:tr>
      <w:tr>
        <w:trPr>
          <w:trHeight w:val="171"/>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expense — expenses associated with P&amp;C fees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9"/>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expenses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7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9"/>
        </w:trPr>
        <w:tc>
          <w:tcPr>
            <w:tcW w:w="7160" w:type="dxa"/>
            <w:vAlign w:val="bottom"/>
          </w:tcPr>
          <w:p>
            <w:pPr>
              <w:ind w:left="20"/>
              <w:spacing w:after="0"/>
              <w:rPr>
                <w:sz w:val="20"/>
                <w:szCs w:val="20"/>
                <w:color w:val="auto"/>
              </w:rPr>
            </w:pPr>
            <w:r>
              <w:rPr>
                <w:rFonts w:ascii="Arial" w:cs="Arial" w:eastAsia="Arial" w:hAnsi="Arial"/>
                <w:sz w:val="13"/>
                <w:szCs w:val="13"/>
                <w:color w:val="auto"/>
              </w:rPr>
              <w:t>Loss before income taxes, excluding realized gains and losses and interest charges on borrowed money</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7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charges on borrowed money</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2"/>
        </w:trPr>
        <w:tc>
          <w:tcPr>
            <w:tcW w:w="716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taxes, excluding realized gains and losses</w:t>
            </w: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7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Net Investment Income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AFG recorded net investment income on investments held outside of its property and casualty insurance segment of $7 million in both the fourth quarter of 2025 and 2024.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P&amp;C Fees and Related Expenses</w:t>
      </w:r>
    </w:p>
    <w:p>
      <w:pPr>
        <w:spacing w:after="0" w:line="1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fourth quarter of 2025, AFG collected $27 million in fees for these services compared to $28 million in the fourth quarter of 2024. Management views this fee income, net of the $22 million in the fourth quarter of 2025 and $15 million in the fourth quarter of 2024 in expenses incurred to generate such fees, as a reduction in the cost of underwriting its property and casualty insurance policies. The expenses related to providing such services are embedded in property and casualty underwriting expenses. Consistent with internal management reporting, these fees and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related expenses are netted and recorded as a reduction of commissions and other underwriting expenses in AFG’s segmented results.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Income</w:t>
      </w:r>
    </w:p>
    <w:p>
      <w:pPr>
        <w:spacing w:after="0" w:line="21"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 xml:space="preserve">Other income in the table above includes $3 million and $4 million in the fourth quarter of 2025 and the fourth quarter of 2024,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3"/>
          <w:szCs w:val="13"/>
          <w:i w:val="1"/>
          <w:iCs w:val="1"/>
          <w:color w:val="auto"/>
        </w:rPr>
        <w:t xml:space="preserve">“Results of Operations — Segmented Statement of Earnings.” </w:t>
      </w:r>
      <w:r>
        <w:rPr>
          <w:rFonts w:ascii="Arial" w:cs="Arial" w:eastAsia="Arial" w:hAnsi="Arial"/>
          <w:sz w:val="13"/>
          <w:szCs w:val="13"/>
          <w:color w:val="auto"/>
        </w:rPr>
        <w:t>Excluding amounts eliminated in consolidation, AFG recorded other income outside of its property and casualty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of $1 million and $2 million in the fourth quarter of 2025 and the fourth quarter of 2024,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Expenses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AFG’s holding companies and other operations outside of its property and casualty insurance segment recorded other expenses of $42 million in both the fourth quarter of 2025 and 2024.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Interest Charges on Borrowed Money</w:t>
      </w:r>
    </w:p>
    <w:p>
      <w:pPr>
        <w:spacing w:after="0" w:line="21" w:lineRule="exact"/>
        <w:rPr>
          <w:sz w:val="20"/>
          <w:szCs w:val="20"/>
          <w:color w:val="auto"/>
        </w:rPr>
      </w:pPr>
    </w:p>
    <w:p>
      <w:pPr>
        <w:ind w:right="300"/>
        <w:spacing w:after="0" w:line="278" w:lineRule="auto"/>
        <w:rPr>
          <w:sz w:val="20"/>
          <w:szCs w:val="20"/>
          <w:color w:val="auto"/>
        </w:rPr>
      </w:pPr>
      <w:r>
        <w:rPr>
          <w:rFonts w:ascii="Arial" w:cs="Arial" w:eastAsia="Arial" w:hAnsi="Arial"/>
          <w:sz w:val="13"/>
          <w:szCs w:val="13"/>
          <w:color w:val="auto"/>
        </w:rPr>
        <w:t>AFG’s holding companies and other operations outside of its property and casualty insurance segment recorded interest expense of $23 million in the fourth quarter of 2025 compared to $19 million in the fourth quarter of 2024, an increase of $4 million (21%) reflecting the issuance of $350 million principal amount of 5.00% Senior Notes in September 2025.</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Gains (Losses) on Securities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AFG’s realized gains (losses) on securities were net losses of $7 million in the fourth quarter of 2025 compared to $10 million in the fourth quarter of 2024, a decrease of $3 million (30%).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Realized gains (losses) on securities consisted of the following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1"/>
                <w:szCs w:val="11"/>
                <w:color w:val="auto"/>
              </w:rPr>
              <w:t>Three months ended December 31,</w:t>
            </w:r>
          </w:p>
        </w:tc>
      </w:tr>
      <w:tr>
        <w:trPr>
          <w:trHeight w:val="150"/>
        </w:trPr>
        <w:tc>
          <w:tcPr>
            <w:tcW w:w="8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color w:val="auto"/>
              </w:rPr>
              <w:t>2024</w:t>
            </w:r>
          </w:p>
        </w:tc>
      </w:tr>
      <w:tr>
        <w:trPr>
          <w:trHeight w:val="15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before impairment allowances: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8340" w:type="dxa"/>
            <w:vAlign w:val="bottom"/>
          </w:tcPr>
          <w:p>
            <w:pPr>
              <w:ind w:left="280"/>
              <w:spacing w:after="0"/>
              <w:rPr>
                <w:sz w:val="20"/>
                <w:szCs w:val="20"/>
                <w:color w:val="auto"/>
              </w:rPr>
            </w:pPr>
            <w:r>
              <w:rPr>
                <w:rFonts w:ascii="Arial" w:cs="Arial" w:eastAsia="Arial" w:hAnsi="Arial"/>
                <w:sz w:val="13"/>
                <w:szCs w:val="13"/>
                <w:color w:val="auto"/>
              </w:rPr>
              <w:t>Disposals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the fair value of equity securities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8340" w:type="dxa"/>
            <w:vAlign w:val="bottom"/>
          </w:tcPr>
          <w:p>
            <w:pPr>
              <w:ind w:left="280"/>
              <w:spacing w:after="0"/>
              <w:rPr>
                <w:sz w:val="20"/>
                <w:szCs w:val="20"/>
                <w:color w:val="auto"/>
              </w:rPr>
            </w:pPr>
            <w:r>
              <w:rPr>
                <w:rFonts w:ascii="Arial" w:cs="Arial" w:eastAsia="Arial" w:hAnsi="Arial"/>
                <w:sz w:val="13"/>
                <w:szCs w:val="13"/>
                <w:color w:val="auto"/>
              </w:rPr>
              <w:t>Change in the fair value of derivatives</w:t>
            </w: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8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8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allowance for impairments on securities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8340" w:type="dxa"/>
            <w:vAlign w:val="bottom"/>
          </w:tcPr>
          <w:p>
            <w:pPr>
              <w:ind w:left="340"/>
              <w:spacing w:after="0"/>
              <w:rPr>
                <w:sz w:val="20"/>
                <w:szCs w:val="20"/>
                <w:color w:val="auto"/>
              </w:rPr>
            </w:pPr>
            <w:r>
              <w:rPr>
                <w:rFonts w:ascii="Arial" w:cs="Arial" w:eastAsia="Arial" w:hAnsi="Arial"/>
                <w:sz w:val="13"/>
                <w:szCs w:val="13"/>
                <w:color w:val="auto"/>
              </w:rPr>
              <w:t>Realized gains (losses) on securities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$3 million net realized gain from the change in the fair value of equity securities in the fourth quarter of 2024 includes gains of $4 million on investments in technology companies.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$8 million change in allowance for impairments on securities in the fourth quarter of 2025 relates primarily to allowances on fixed maturities related to commercial real estate funds.</w:t>
      </w:r>
    </w:p>
    <w:p>
      <w:pPr>
        <w:spacing w:after="0" w:line="201" w:lineRule="exact"/>
        <w:rPr>
          <w:sz w:val="20"/>
          <w:szCs w:val="20"/>
          <w:color w:val="auto"/>
        </w:rPr>
      </w:pPr>
    </w:p>
    <w:p>
      <w:pPr>
        <w:ind w:right="320"/>
        <w:spacing w:after="0" w:line="297" w:lineRule="auto"/>
        <w:rPr>
          <w:sz w:val="20"/>
          <w:szCs w:val="20"/>
          <w:color w:val="auto"/>
        </w:rPr>
      </w:pPr>
      <w:r>
        <w:rPr>
          <w:rFonts w:ascii="Arial" w:cs="Arial" w:eastAsia="Arial" w:hAnsi="Arial"/>
          <w:sz w:val="13"/>
          <w:szCs w:val="13"/>
          <w:color w:val="auto"/>
        </w:rPr>
        <w:t>The $10 million change in allowance for impairments on securities in the fourth quarter of 2024 relates primarily to an allowance taken on fixed maturities from a single issuer in the retail sector.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Consolidated Income Taxes</w:t>
      </w:r>
    </w:p>
    <w:p>
      <w:pPr>
        <w:spacing w:after="0" w:line="17" w:lineRule="exact"/>
        <w:rPr>
          <w:sz w:val="20"/>
          <w:szCs w:val="20"/>
          <w:color w:val="auto"/>
        </w:rPr>
      </w:pPr>
    </w:p>
    <w:p>
      <w:pPr>
        <w:ind w:right="360"/>
        <w:spacing w:after="0" w:line="295" w:lineRule="auto"/>
        <w:rPr>
          <w:sz w:val="20"/>
          <w:szCs w:val="20"/>
          <w:color w:val="auto"/>
        </w:rPr>
      </w:pPr>
      <w:r>
        <w:rPr>
          <w:rFonts w:ascii="Arial" w:cs="Arial" w:eastAsia="Arial" w:hAnsi="Arial"/>
          <w:sz w:val="13"/>
          <w:szCs w:val="13"/>
          <w:color w:val="auto"/>
        </w:rPr>
        <w:t>AFG’s consolidated provision for income taxes was $80 million for the fourth quarter of 2025 compared to $65 million in the fourth quarter of 2024, an increase of $15 million (23%). The following is a reconciliation of income taxes at the statutory rate to the provision for income taxes as shown in the segmented statement of earnings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Three months ended December 31,</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50"/>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color w:val="auto"/>
              </w:rPr>
              <w:t>2025</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1"/>
                <w:szCs w:val="11"/>
                <w:color w:val="auto"/>
                <w:w w:val="97"/>
              </w:rPr>
              <w:t>2024</w:t>
            </w:r>
          </w:p>
        </w:tc>
      </w:tr>
      <w:tr>
        <w:trPr>
          <w:trHeight w:val="150"/>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1"/>
                <w:szCs w:val="11"/>
                <w:color w:val="auto"/>
              </w:rPr>
              <w:t>Amount</w:t>
            </w:r>
          </w:p>
        </w:tc>
        <w:tc>
          <w:tcPr>
            <w:tcW w:w="1080" w:type="dxa"/>
            <w:vAlign w:val="bottom"/>
            <w:gridSpan w:val="2"/>
          </w:tcPr>
          <w:p>
            <w:pPr>
              <w:ind w:left="140"/>
              <w:spacing w:after="0"/>
              <w:rPr>
                <w:sz w:val="20"/>
                <w:szCs w:val="20"/>
                <w:color w:val="auto"/>
              </w:rPr>
            </w:pPr>
            <w:r>
              <w:rPr>
                <w:rFonts w:ascii="Arial" w:cs="Arial" w:eastAsia="Arial" w:hAnsi="Arial"/>
                <w:sz w:val="11"/>
                <w:szCs w:val="11"/>
                <w:color w:val="auto"/>
              </w:rPr>
              <w:t>% of EBT</w:t>
            </w:r>
          </w:p>
        </w:tc>
        <w:tc>
          <w:tcPr>
            <w:tcW w:w="900" w:type="dxa"/>
            <w:vAlign w:val="bottom"/>
          </w:tcPr>
          <w:p>
            <w:pPr>
              <w:jc w:val="right"/>
              <w:ind w:right="58"/>
              <w:spacing w:after="0"/>
              <w:rPr>
                <w:sz w:val="20"/>
                <w:szCs w:val="20"/>
                <w:color w:val="auto"/>
              </w:rPr>
            </w:pPr>
            <w:r>
              <w:rPr>
                <w:rFonts w:ascii="Arial" w:cs="Arial" w:eastAsia="Arial" w:hAnsi="Arial"/>
                <w:sz w:val="11"/>
                <w:szCs w:val="11"/>
                <w:color w:val="auto"/>
              </w:rPr>
              <w:t>Amount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359"/>
              <w:spacing w:after="0"/>
              <w:rPr>
                <w:sz w:val="20"/>
                <w:szCs w:val="20"/>
                <w:color w:val="auto"/>
              </w:rPr>
            </w:pPr>
            <w:r>
              <w:rPr>
                <w:rFonts w:ascii="Arial" w:cs="Arial" w:eastAsia="Arial" w:hAnsi="Arial"/>
                <w:sz w:val="11"/>
                <w:szCs w:val="11"/>
                <w:color w:val="auto"/>
              </w:rPr>
              <w:t>% of EBT</w:t>
            </w:r>
          </w:p>
        </w:tc>
      </w:tr>
      <w:tr>
        <w:trPr>
          <w:trHeight w:val="189"/>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 (“EBT”)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320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11"/>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at statutory rate</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6120" w:type="dxa"/>
            <w:vAlign w:val="bottom"/>
          </w:tcPr>
          <w:p>
            <w:pPr>
              <w:ind w:left="20"/>
              <w:spacing w:after="0"/>
              <w:rPr>
                <w:sz w:val="20"/>
                <w:szCs w:val="20"/>
                <w:color w:val="auto"/>
              </w:rPr>
            </w:pPr>
            <w:r>
              <w:rPr>
                <w:rFonts w:ascii="Arial" w:cs="Arial" w:eastAsia="Arial" w:hAnsi="Arial"/>
                <w:sz w:val="13"/>
                <w:szCs w:val="13"/>
                <w:color w:val="auto"/>
              </w:rPr>
              <w:t>Effect of:</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6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 and local income taxes, net of federal income tax effect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6120" w:type="dxa"/>
            <w:vAlign w:val="bottom"/>
          </w:tcPr>
          <w:p>
            <w:pPr>
              <w:ind w:left="100"/>
              <w:spacing w:after="0"/>
              <w:rPr>
                <w:sz w:val="20"/>
                <w:szCs w:val="20"/>
                <w:color w:val="auto"/>
              </w:rPr>
            </w:pPr>
            <w:r>
              <w:rPr>
                <w:rFonts w:ascii="Arial" w:cs="Arial" w:eastAsia="Arial" w:hAnsi="Arial"/>
                <w:sz w:val="13"/>
                <w:szCs w:val="13"/>
                <w:color w:val="auto"/>
              </w:rPr>
              <w:t>Cross-border tax laws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 of nontaxable or nondeductible items: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9"/>
        </w:trPr>
        <w:tc>
          <w:tcPr>
            <w:tcW w:w="6120" w:type="dxa"/>
            <w:vAlign w:val="bottom"/>
          </w:tcPr>
          <w:p>
            <w:pPr>
              <w:ind w:left="280"/>
              <w:spacing w:after="0"/>
              <w:rPr>
                <w:sz w:val="20"/>
                <w:szCs w:val="20"/>
                <w:color w:val="auto"/>
              </w:rPr>
            </w:pPr>
            <w:r>
              <w:rPr>
                <w:rFonts w:ascii="Arial" w:cs="Arial" w:eastAsia="Arial" w:hAnsi="Arial"/>
                <w:sz w:val="13"/>
                <w:szCs w:val="13"/>
                <w:color w:val="auto"/>
              </w:rPr>
              <w:t>Tax preference investments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1400" w:type="dxa"/>
            <w:vAlign w:val="bottom"/>
            <w:gridSpan w:val="3"/>
          </w:tcPr>
          <w:p>
            <w:pPr>
              <w:jc w:val="right"/>
              <w:spacing w:after="0"/>
              <w:rPr>
                <w:sz w:val="20"/>
                <w:szCs w:val="20"/>
                <w:color w:val="auto"/>
              </w:rPr>
            </w:pPr>
            <w:r>
              <w:rPr>
                <w:rFonts w:ascii="Arial" w:cs="Arial" w:eastAsia="Arial" w:hAnsi="Arial"/>
                <w:sz w:val="13"/>
                <w:szCs w:val="13"/>
                <w:color w:val="auto"/>
              </w:rPr>
              <w:t>(1%)</w:t>
            </w:r>
          </w:p>
        </w:tc>
      </w:tr>
      <w:tr>
        <w:trPr>
          <w:trHeight w:val="170"/>
        </w:trPr>
        <w:tc>
          <w:tcPr>
            <w:tcW w:w="61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6120" w:type="dxa"/>
            <w:vAlign w:val="bottom"/>
          </w:tcPr>
          <w:p>
            <w:pPr>
              <w:ind w:left="20"/>
              <w:spacing w:after="0"/>
              <w:rPr>
                <w:sz w:val="20"/>
                <w:szCs w:val="20"/>
                <w:color w:val="auto"/>
              </w:rPr>
            </w:pPr>
            <w:r>
              <w:rPr>
                <w:rFonts w:ascii="Arial" w:cs="Arial" w:eastAsia="Arial" w:hAnsi="Arial"/>
                <w:sz w:val="13"/>
                <w:szCs w:val="13"/>
                <w:color w:val="auto"/>
              </w:rPr>
              <w:t>Provision for income taxes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900" w:type="dxa"/>
            <w:vAlign w:val="bottom"/>
          </w:tcPr>
          <w:p>
            <w:pPr>
              <w:jc w:val="right"/>
              <w:ind w:right="738"/>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65</w:t>
            </w:r>
          </w:p>
        </w:tc>
        <w:tc>
          <w:tcPr>
            <w:tcW w:w="1400" w:type="dxa"/>
            <w:vAlign w:val="bottom"/>
            <w:gridSpan w:val="3"/>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6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L — “Income Taxes”</w:t>
      </w:r>
      <w:r>
        <w:rPr>
          <w:rFonts w:ascii="Arial" w:cs="Arial" w:eastAsia="Arial" w:hAnsi="Arial"/>
          <w:sz w:val="13"/>
          <w:szCs w:val="13"/>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RESULTS OF OPERATIONS — YEARS ENDED DECEMBER 31, 2025, 2024 AND 2023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Segmented Statement of Earnings</w:t>
      </w:r>
    </w:p>
    <w:p>
      <w:pPr>
        <w:spacing w:after="0" w:line="17" w:lineRule="exact"/>
        <w:rPr>
          <w:sz w:val="20"/>
          <w:szCs w:val="20"/>
          <w:color w:val="auto"/>
        </w:rPr>
      </w:pPr>
    </w:p>
    <w:p>
      <w:pPr>
        <w:ind w:right="340"/>
        <w:spacing w:after="0" w:line="278" w:lineRule="auto"/>
        <w:rPr>
          <w:sz w:val="20"/>
          <w:szCs w:val="20"/>
          <w:color w:val="auto"/>
        </w:rPr>
      </w:pPr>
      <w:r>
        <w:rPr>
          <w:rFonts w:ascii="Arial" w:cs="Arial" w:eastAsia="Arial" w:hAnsi="Arial"/>
          <w:sz w:val="13"/>
          <w:szCs w:val="13"/>
          <w:color w:val="auto"/>
        </w:rPr>
        <w:t>AFG reports its operations as two segments: (i) Property and casualty insurance (“P&amp;C”) and (ii) Other, which includes holding company costs and income and expenses related to the managed investment entities (“MIEs”).</w:t>
      </w:r>
    </w:p>
    <w:p>
      <w:pPr>
        <w:spacing w:after="0" w:line="87"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AFG’s net earnings, determined in accordance with GAAP, include certain items that may not be indicative of its ongoing core operations. The following tables for the years ended December 31, 2025,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74" w:lineRule="exact"/>
        <w:rPr>
          <w:sz w:val="20"/>
          <w:szCs w:val="20"/>
          <w:color w:val="auto"/>
        </w:rPr>
      </w:pPr>
    </w:p>
    <w:tbl>
      <w:tblPr>
        <w:tblLayout w:type="fixed"/>
        <w:tblInd w:w="110" w:type="dxa"/>
        <w:tblCellMar>
          <w:top w:w="0" w:type="dxa"/>
          <w:left w:w="0" w:type="dxa"/>
          <w:bottom w:w="0" w:type="dxa"/>
          <w:right w:w="0" w:type="dxa"/>
        </w:tblCellMar>
      </w:tblPr>
      <w:tr>
        <w:trPr>
          <w:trHeight w:val="148"/>
        </w:trPr>
        <w:tc>
          <w:tcPr>
            <w:tcW w:w="1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60"/>
              <w:spacing w:after="0" w:line="114"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920" w:type="dxa"/>
            <w:vAlign w:val="bottom"/>
            <w:tcBorders>
              <w:top w:val="single" w:sz="8" w:color="CCEEFF"/>
              <w:left w:val="single" w:sz="8" w:color="CCEEFF"/>
            </w:tcBorders>
            <w:gridSpan w:val="2"/>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Year ended December 31, 2025</w:t>
            </w: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660" w:type="dxa"/>
            <w:vAlign w:val="bottom"/>
            <w:tcBorders>
              <w:left w:val="single" w:sz="8" w:color="CCEEFF"/>
            </w:tcBorders>
            <w:shd w:val="clear" w:color="auto" w:fill="000000"/>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7,046</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Realized gains (losses) 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gridSpan w:val="2"/>
          </w:tcPr>
          <w:p>
            <w:pPr>
              <w:ind w:left="180"/>
              <w:spacing w:after="0"/>
              <w:rPr>
                <w:sz w:val="20"/>
                <w:szCs w:val="20"/>
                <w:color w:val="auto"/>
              </w:rPr>
            </w:pPr>
            <w:r>
              <w:rPr>
                <w:rFonts w:ascii="Arial" w:cs="Arial" w:eastAsia="Arial" w:hAnsi="Arial"/>
                <w:sz w:val="11"/>
                <w:szCs w:val="11"/>
                <w:color w:val="auto"/>
              </w:rPr>
              <w:t>Securities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Subsidiaries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8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47"/>
        </w:trPr>
        <w:tc>
          <w:tcPr>
            <w:tcW w:w="5920" w:type="dxa"/>
            <w:vAlign w:val="bottom"/>
            <w:gridSpan w:val="2"/>
          </w:tcPr>
          <w:p>
            <w:pPr>
              <w:ind w:left="18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7,783</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139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8,163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8,174</w:t>
            </w:r>
          </w:p>
        </w:tc>
        <w:tc>
          <w:tcPr>
            <w:tcW w:w="0" w:type="dxa"/>
            <w:vAlign w:val="bottom"/>
          </w:tcPr>
          <w:p>
            <w:pPr>
              <w:spacing w:after="0"/>
              <w:rPr>
                <w:sz w:val="1"/>
                <w:szCs w:val="1"/>
                <w:color w:val="auto"/>
              </w:rPr>
            </w:pPr>
          </w:p>
        </w:tc>
      </w:tr>
      <w:tr>
        <w:trPr>
          <w:trHeight w:val="173"/>
        </w:trPr>
        <w:tc>
          <w:tcPr>
            <w:tcW w:w="1660" w:type="dxa"/>
            <w:vAlign w:val="bottom"/>
            <w:tcBorders>
              <w:left w:val="single" w:sz="8" w:color="CCEEFF"/>
            </w:tcBorders>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4,388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4,388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4,388</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2,059</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47"/>
        </w:trPr>
        <w:tc>
          <w:tcPr>
            <w:tcW w:w="5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6,496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339</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7,076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7,101</w:t>
            </w:r>
          </w:p>
        </w:tc>
        <w:tc>
          <w:tcPr>
            <w:tcW w:w="0" w:type="dxa"/>
            <w:vAlign w:val="bottom"/>
          </w:tcPr>
          <w:p>
            <w:pPr>
              <w:spacing w:after="0"/>
              <w:rPr>
                <w:sz w:val="1"/>
                <w:szCs w:val="1"/>
                <w:color w:val="auto"/>
              </w:rPr>
            </w:pPr>
          </w:p>
        </w:tc>
      </w:tr>
      <w:tr>
        <w:trPr>
          <w:trHeight w:val="153"/>
        </w:trPr>
        <w:tc>
          <w:tcPr>
            <w:tcW w:w="59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53"/>
        </w:trPr>
        <w:tc>
          <w:tcPr>
            <w:tcW w:w="59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gridSpan w:val="2"/>
          </w:tcPr>
          <w:p>
            <w:pPr>
              <w:ind w:left="20"/>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920" w:type="dxa"/>
            <w:vAlign w:val="bottom"/>
            <w:gridSpan w:val="2"/>
          </w:tcPr>
          <w:p>
            <w:pPr>
              <w:ind w:left="120"/>
              <w:spacing w:after="0"/>
              <w:rPr>
                <w:sz w:val="20"/>
                <w:szCs w:val="20"/>
                <w:color w:val="auto"/>
              </w:rPr>
            </w:pPr>
            <w:r>
              <w:rPr>
                <w:rFonts w:ascii="Arial" w:cs="Arial" w:eastAsia="Arial" w:hAnsi="Arial"/>
                <w:sz w:val="11"/>
                <w:szCs w:val="11"/>
                <w:color w:val="auto"/>
              </w:rPr>
              <w:t>Realized gain on subsidiaries, net of tax</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9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Special A&amp;E charge,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59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1" w:right="4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Consol. MIEs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19" w:lineRule="exact"/>
              <w:rPr>
                <w:sz w:val="20"/>
                <w:szCs w:val="20"/>
                <w:color w:val="auto"/>
              </w:rPr>
            </w:pPr>
            <w:r>
              <w:rPr>
                <w:rFonts w:ascii="Arial" w:cs="Arial" w:eastAsia="Arial" w:hAnsi="Arial"/>
                <w:sz w:val="11"/>
                <w:szCs w:val="11"/>
                <w:color w:val="auto"/>
              </w:rPr>
              <w:t>Non-core</w:t>
            </w:r>
          </w:p>
        </w:tc>
        <w:tc>
          <w:tcPr>
            <w:tcW w:w="70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rPr>
              <w:t>and unallocated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Year ended December 31, 2024</w:t>
            </w:r>
          </w:p>
        </w:tc>
        <w:tc>
          <w:tcPr>
            <w:tcW w:w="44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10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7,828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8,324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8,324</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4,455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4,460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6,500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7,186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7,200</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tcPr>
          <w:p>
            <w:pPr>
              <w:ind w:left="100"/>
              <w:spacing w:after="0"/>
              <w:rPr>
                <w:sz w:val="20"/>
                <w:szCs w:val="20"/>
                <w:color w:val="auto"/>
              </w:rPr>
            </w:pPr>
            <w:r>
              <w:rPr>
                <w:rFonts w:ascii="Arial" w:cs="Arial" w:eastAsia="Arial" w:hAnsi="Arial"/>
                <w:sz w:val="11"/>
                <w:szCs w:val="11"/>
                <w:color w:val="auto"/>
              </w:rPr>
              <w:t>Special A&amp;E charge, net of tax</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1,045</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887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P&amp;C</w:t>
            </w: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Consol. MIEs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Holding Co., other</w:t>
            </w:r>
          </w:p>
        </w:tc>
        <w:tc>
          <w:tcPr>
            <w:tcW w:w="14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Arial" w:cs="Arial" w:eastAsia="Arial" w:hAnsi="Arial"/>
                <w:sz w:val="11"/>
                <w:szCs w:val="11"/>
                <w:color w:val="auto"/>
              </w:rPr>
              <w:t>Non-core</w:t>
            </w:r>
          </w:p>
        </w:tc>
        <w:tc>
          <w:tcPr>
            <w:tcW w:w="72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GAAP Total</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color w:val="auto"/>
              </w:rPr>
              <w:t>and unallocated</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color w:val="auto"/>
              </w:rPr>
              <w:t>reclass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Year ended December 31, 2023</w:t>
            </w: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Revenues:</w:t>
            </w:r>
          </w:p>
        </w:tc>
        <w:tc>
          <w:tcPr>
            <w:tcW w:w="44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earned premiums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6,531</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Net investment income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742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ind w:left="160"/>
              <w:spacing w:after="0"/>
              <w:rPr>
                <w:sz w:val="20"/>
                <w:szCs w:val="20"/>
                <w:color w:val="auto"/>
              </w:rPr>
            </w:pPr>
            <w:r>
              <w:rPr>
                <w:rFonts w:ascii="Arial" w:cs="Arial" w:eastAsia="Arial" w:hAnsi="Arial"/>
                <w:sz w:val="11"/>
                <w:szCs w:val="11"/>
                <w:color w:val="auto"/>
              </w:rPr>
              <w:t>Securities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Subsidiary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Income of MIEs: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Investment income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60"/>
              <w:spacing w:after="0"/>
              <w:rPr>
                <w:sz w:val="20"/>
                <w:szCs w:val="20"/>
                <w:color w:val="auto"/>
              </w:rPr>
            </w:pPr>
            <w:r>
              <w:rPr>
                <w:rFonts w:ascii="Arial" w:cs="Arial" w:eastAsia="Arial" w:hAnsi="Arial"/>
                <w:sz w:val="11"/>
                <w:szCs w:val="11"/>
                <w:color w:val="auto"/>
              </w:rPr>
              <w:t>Gain (loss) on change in fair value of assets/liabilities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47"/>
        </w:trPr>
        <w:tc>
          <w:tcPr>
            <w:tcW w:w="6080" w:type="dxa"/>
            <w:vAlign w:val="bottom"/>
            <w:gridSpan w:val="2"/>
          </w:tcPr>
          <w:p>
            <w:pPr>
              <w:ind w:left="160"/>
              <w:spacing w:after="0"/>
              <w:rPr>
                <w:sz w:val="20"/>
                <w:szCs w:val="20"/>
                <w:color w:val="auto"/>
              </w:rPr>
            </w:pPr>
            <w:r>
              <w:rPr>
                <w:rFonts w:ascii="Arial" w:cs="Arial" w:eastAsia="Arial" w:hAnsi="Arial"/>
                <w:sz w:val="11"/>
                <w:szCs w:val="11"/>
                <w:color w:val="auto"/>
              </w:rPr>
              <w:t>Total revenues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7,276</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7,867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7,827</w:t>
            </w:r>
          </w:p>
        </w:tc>
        <w:tc>
          <w:tcPr>
            <w:tcW w:w="0" w:type="dxa"/>
            <w:vAlign w:val="bottom"/>
          </w:tcPr>
          <w:p>
            <w:pPr>
              <w:spacing w:after="0"/>
              <w:rPr>
                <w:sz w:val="1"/>
                <w:szCs w:val="1"/>
                <w:color w:val="auto"/>
              </w:rPr>
            </w:pPr>
          </w:p>
        </w:tc>
      </w:tr>
      <w:tr>
        <w:trPr>
          <w:trHeight w:val="173"/>
        </w:trPr>
        <w:tc>
          <w:tcPr>
            <w:tcW w:w="16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Costs and Expenses: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Losses and loss adjustment expenses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4,033</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Commissions and other underwriting expenses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1,935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1,935</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 charges on borrowed money</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Expenses of MIEs</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47"/>
        </w:trPr>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6,740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6,754</w:t>
            </w:r>
          </w:p>
        </w:tc>
        <w:tc>
          <w:tcPr>
            <w:tcW w:w="0" w:type="dxa"/>
            <w:vAlign w:val="bottom"/>
          </w:tcPr>
          <w:p>
            <w:pPr>
              <w:spacing w:after="0"/>
              <w:rPr>
                <w:sz w:val="1"/>
                <w:szCs w:val="1"/>
                <w:color w:val="auto"/>
              </w:rPr>
            </w:pPr>
          </w:p>
        </w:tc>
      </w:tr>
      <w:tr>
        <w:trPr>
          <w:trHeight w:val="153"/>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before income taxes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53"/>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Core Net Operating Earnings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rPr>
                <w:sz w:val="20"/>
                <w:szCs w:val="20"/>
                <w:color w:val="auto"/>
              </w:rPr>
            </w:pPr>
            <w:r>
              <w:rPr>
                <w:rFonts w:ascii="Arial" w:cs="Arial" w:eastAsia="Arial" w:hAnsi="Arial"/>
                <w:sz w:val="11"/>
                <w:szCs w:val="11"/>
                <w:color w:val="auto"/>
              </w:rPr>
              <w:t>Non-core earnings (loss) (*):</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Realized gains (losses) on securities,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080" w:type="dxa"/>
            <w:vAlign w:val="bottom"/>
            <w:gridSpan w:val="2"/>
          </w:tcPr>
          <w:p>
            <w:pPr>
              <w:ind w:left="100"/>
              <w:spacing w:after="0"/>
              <w:rPr>
                <w:sz w:val="20"/>
                <w:szCs w:val="20"/>
                <w:color w:val="auto"/>
              </w:rPr>
            </w:pPr>
            <w:r>
              <w:rPr>
                <w:rFonts w:ascii="Arial" w:cs="Arial" w:eastAsia="Arial" w:hAnsi="Arial"/>
                <w:sz w:val="11"/>
                <w:szCs w:val="11"/>
                <w:color w:val="auto"/>
              </w:rPr>
              <w:t>Realized loss on subsidiary</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Special A&amp;E charge, net of tax</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Gain on retirement of debt, net of tax</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Earnings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See the reconciliation of core earnings to GAAP net earnings under </w:t>
      </w:r>
      <w:r>
        <w:rPr>
          <w:rFonts w:ascii="Arial" w:cs="Arial" w:eastAsia="Arial" w:hAnsi="Arial"/>
          <w:sz w:val="13"/>
          <w:szCs w:val="13"/>
          <w:i w:val="1"/>
          <w:iCs w:val="1"/>
          <w:color w:val="auto"/>
        </w:rPr>
        <w:t>“Results of Operations — General”</w:t>
      </w:r>
      <w:r>
        <w:rPr>
          <w:rFonts w:ascii="Arial" w:cs="Arial" w:eastAsia="Arial" w:hAnsi="Arial"/>
          <w:sz w:val="13"/>
          <w:szCs w:val="13"/>
          <w:color w:val="auto"/>
        </w:rPr>
        <w:t xml:space="preserve"> for details on the tax impacts of these reconciling items.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Insurance Segment — Results of Operations</w:t>
      </w:r>
    </w:p>
    <w:p>
      <w:pPr>
        <w:spacing w:after="0" w:line="28"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AFG’s property and casualty insurance operations contributed $1.29 billion in GAAP pretax earnings in 2025 compared to $1.33 billion in 2024, a decrease of $40 million (3%). Property and casualty core pretax earnings were $1.29 billion in 2025 compared to $1.33 billion in 2024, a decrease of $41 million (3%). The decrease in GAAP and core pretax earnings in 2025 compared to 2024 reflects lower net investment income from AFG’s alternative investment portfolio (partnerships and similar investments and AFG-managed CLOs), partially offset by higher underwriting profit and higher investment income outside of alternative investments.</w:t>
      </w:r>
    </w:p>
    <w:p>
      <w:pPr>
        <w:spacing w:after="0" w:line="160"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AFG’s property and casualty insurance operations contributed $1.33 billion in GAAP pretax earnings in 2024 compared to $1.30 billion in 2023, an increase of $28 million (2%). Property and casualty core pretax earnings were $1.33 billion in 2024 compared to $1.30 billion in 2023, an increase of $24 million (2%). The increase in GAAP and core pretax earnings in 2024 compared to 2023 reflects higher investment income outside of alternative investments, partially offset by lower investment income from AFG’s alternative investment portfolio and lower underwriting profit.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following table details AFG’s GAAP and core earnings before income taxes from its property and casualty insurance operations for the years ended December 31, 2025, 2024 and 2023 (dollars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bottom w:val="single" w:sz="8" w:color="auto"/>
            </w:tcBorders>
            <w:gridSpan w:val="3"/>
          </w:tcPr>
          <w:p>
            <w:pPr>
              <w:jc w:val="center"/>
              <w:ind w:left="840"/>
              <w:spacing w:after="0"/>
              <w:rPr>
                <w:sz w:val="20"/>
                <w:szCs w:val="20"/>
                <w:color w:val="auto"/>
              </w:rPr>
            </w:pPr>
            <w:r>
              <w:rPr>
                <w:rFonts w:ascii="Arial" w:cs="Arial" w:eastAsia="Arial" w:hAnsi="Arial"/>
                <w:sz w:val="11"/>
                <w:szCs w:val="11"/>
                <w:color w:val="auto"/>
              </w:rPr>
              <w:t>% Change</w:t>
            </w:r>
          </w:p>
        </w:tc>
        <w:tc>
          <w:tcPr>
            <w:tcW w:w="900" w:type="dxa"/>
            <w:vAlign w:val="bottom"/>
            <w:tcBorders>
              <w:bottom w:val="single" w:sz="8" w:color="auto"/>
            </w:tcBorders>
          </w:tcPr>
          <w:p>
            <w:pPr>
              <w:spacing w:after="0"/>
              <w:rPr>
                <w:sz w:val="13"/>
                <w:szCs w:val="13"/>
                <w:color w:val="auto"/>
              </w:rPr>
            </w:pPr>
          </w:p>
        </w:tc>
      </w:tr>
      <w:tr>
        <w:trPr>
          <w:trHeight w:val="150"/>
        </w:trPr>
        <w:tc>
          <w:tcPr>
            <w:tcW w:w="45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color w:val="auto"/>
              </w:rPr>
              <w:t>2025 - 2024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2024 - 2023</w:t>
            </w:r>
          </w:p>
        </w:tc>
      </w:tr>
      <w:tr>
        <w:trPr>
          <w:trHeight w:val="164"/>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written premiums</w:t>
            </w: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premiums ceded</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(3,584)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(3,394)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written premiums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7,110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7,139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6,692</w:t>
            </w: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in unearned premiums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w:t>
            </w:r>
          </w:p>
        </w:tc>
      </w:tr>
      <w:tr>
        <w:trPr>
          <w:trHeight w:val="16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6,531</w:t>
            </w: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Loss and loss adjustment expenses</w:t>
            </w:r>
          </w:p>
        </w:tc>
        <w:tc>
          <w:tcPr>
            <w:tcW w:w="3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4,388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4,455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4,017</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and other underwriting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2,029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4580" w:type="dxa"/>
            <w:vAlign w:val="bottom"/>
          </w:tcPr>
          <w:p>
            <w:pPr>
              <w:ind w:left="20"/>
              <w:spacing w:after="0"/>
              <w:rPr>
                <w:sz w:val="20"/>
                <w:szCs w:val="20"/>
                <w:color w:val="auto"/>
              </w:rPr>
            </w:pPr>
            <w:r>
              <w:rPr>
                <w:rFonts w:ascii="Arial" w:cs="Arial" w:eastAsia="Arial" w:hAnsi="Arial"/>
                <w:sz w:val="13"/>
                <w:szCs w:val="13"/>
                <w:b w:val="1"/>
                <w:bCs w:val="1"/>
                <w:color w:val="auto"/>
              </w:rPr>
              <w:t>Underwriting gain</w:t>
            </w:r>
          </w:p>
        </w:tc>
        <w:tc>
          <w:tcPr>
            <w:tcW w:w="320" w:type="dxa"/>
            <w:vAlign w:val="bottom"/>
          </w:tcPr>
          <w:p>
            <w:pPr>
              <w:spacing w:after="0"/>
              <w:rPr>
                <w:sz w:val="13"/>
                <w:szCs w:val="13"/>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629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631</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4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3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725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729</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and expenses, net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0"/>
        </w:trPr>
        <w:tc>
          <w:tcPr>
            <w:tcW w:w="4580" w:type="dxa"/>
            <w:vAlign w:val="bottom"/>
          </w:tcPr>
          <w:p>
            <w:pPr>
              <w:ind w:left="20"/>
              <w:spacing w:after="0"/>
              <w:rPr>
                <w:sz w:val="20"/>
                <w:szCs w:val="20"/>
                <w:color w:val="auto"/>
              </w:rPr>
            </w:pPr>
            <w:r>
              <w:rPr>
                <w:rFonts w:ascii="Arial" w:cs="Arial" w:eastAsia="Arial" w:hAnsi="Arial"/>
                <w:sz w:val="13"/>
                <w:szCs w:val="13"/>
                <w:b w:val="1"/>
                <w:bCs w:val="1"/>
                <w:color w:val="auto"/>
              </w:rPr>
              <w:t>Core earnings before income taxes</w:t>
            </w:r>
          </w:p>
        </w:tc>
        <w:tc>
          <w:tcPr>
            <w:tcW w:w="320" w:type="dxa"/>
            <w:vAlign w:val="bottom"/>
          </w:tcPr>
          <w:p>
            <w:pPr>
              <w:spacing w:after="0"/>
              <w:rPr>
                <w:sz w:val="13"/>
                <w:szCs w:val="13"/>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1,287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1,304</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 (loss) on subsidiaries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39"/>
        </w:trPr>
        <w:tc>
          <w:tcPr>
            <w:tcW w:w="458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GAAP earnings before income taxes</w:t>
            </w:r>
          </w:p>
        </w:tc>
        <w:tc>
          <w:tcPr>
            <w:tcW w:w="32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1,288</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39"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1,328</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97"/>
              <w:spacing w:after="0" w:line="139" w:lineRule="exact"/>
              <w:rPr>
                <w:sz w:val="20"/>
                <w:szCs w:val="20"/>
                <w:color w:val="auto"/>
              </w:rPr>
            </w:pPr>
            <w:r>
              <w:rPr>
                <w:rFonts w:ascii="Arial" w:cs="Arial" w:eastAsia="Arial" w:hAnsi="Arial"/>
                <w:sz w:val="13"/>
                <w:szCs w:val="13"/>
                <w:color w:val="auto"/>
              </w:rPr>
              <w:t>1,300</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gridSpan w:val="3"/>
          </w:tcPr>
          <w:p>
            <w:pPr>
              <w:jc w:val="center"/>
              <w:ind w:left="840"/>
              <w:spacing w:after="0"/>
              <w:rPr>
                <w:sz w:val="20"/>
                <w:szCs w:val="20"/>
                <w:color w:val="auto"/>
              </w:rPr>
            </w:pPr>
            <w:r>
              <w:rPr>
                <w:rFonts w:ascii="Arial" w:cs="Arial" w:eastAsia="Arial" w:hAnsi="Arial"/>
                <w:sz w:val="11"/>
                <w:szCs w:val="11"/>
                <w:color w:val="auto"/>
              </w:rPr>
              <w:t>Change</w:t>
            </w:r>
          </w:p>
        </w:tc>
        <w:tc>
          <w:tcPr>
            <w:tcW w:w="900" w:type="dxa"/>
            <w:vAlign w:val="bottom"/>
            <w:tcBorders>
              <w:bottom w:val="single" w:sz="8" w:color="auto"/>
            </w:tcBorders>
          </w:tcPr>
          <w:p>
            <w:pPr>
              <w:spacing w:after="0"/>
              <w:rPr>
                <w:sz w:val="24"/>
                <w:szCs w:val="24"/>
                <w:color w:val="auto"/>
              </w:rPr>
            </w:pPr>
          </w:p>
        </w:tc>
      </w:tr>
      <w:tr>
        <w:trPr>
          <w:trHeight w:val="156"/>
        </w:trPr>
        <w:tc>
          <w:tcPr>
            <w:tcW w:w="4580" w:type="dxa"/>
            <w:vAlign w:val="bottom"/>
          </w:tcPr>
          <w:p>
            <w:pPr>
              <w:ind w:left="20"/>
              <w:spacing w:after="0"/>
              <w:rPr>
                <w:sz w:val="20"/>
                <w:szCs w:val="20"/>
                <w:color w:val="auto"/>
              </w:rPr>
            </w:pPr>
            <w:r>
              <w:rPr>
                <w:rFonts w:ascii="Arial" w:cs="Arial" w:eastAsia="Arial" w:hAnsi="Arial"/>
                <w:sz w:val="13"/>
                <w:szCs w:val="13"/>
                <w:b w:val="1"/>
                <w:bCs w:val="1"/>
                <w:color w:val="auto"/>
              </w:rPr>
              <w:t>Combined Ratios:</w:t>
            </w:r>
          </w:p>
        </w:tc>
        <w:tc>
          <w:tcPr>
            <w:tcW w:w="32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Arial" w:cs="Arial" w:eastAsia="Arial" w:hAnsi="Arial"/>
                <w:sz w:val="11"/>
                <w:szCs w:val="11"/>
                <w:color w:val="auto"/>
              </w:rPr>
              <w:t>2023</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217"/>
              <w:spacing w:after="0"/>
              <w:rPr>
                <w:sz w:val="20"/>
                <w:szCs w:val="20"/>
                <w:color w:val="auto"/>
              </w:rPr>
            </w:pPr>
            <w:r>
              <w:rPr>
                <w:rFonts w:ascii="Arial" w:cs="Arial" w:eastAsia="Arial" w:hAnsi="Arial"/>
                <w:sz w:val="11"/>
                <w:szCs w:val="11"/>
                <w:color w:val="auto"/>
              </w:rPr>
              <w:t>2024 - 2023</w:t>
            </w:r>
          </w:p>
        </w:tc>
      </w:tr>
      <w:tr>
        <w:trPr>
          <w:trHeight w:val="150"/>
        </w:trPr>
        <w:tc>
          <w:tcPr>
            <w:tcW w:w="45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Specialty lines</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69"/>
        </w:trPr>
        <w:tc>
          <w:tcPr>
            <w:tcW w:w="4580" w:type="dxa"/>
            <w:vAlign w:val="bottom"/>
          </w:tcPr>
          <w:p>
            <w:pPr>
              <w:ind w:left="280"/>
              <w:spacing w:after="0"/>
              <w:rPr>
                <w:sz w:val="20"/>
                <w:szCs w:val="20"/>
                <w:color w:val="auto"/>
              </w:rPr>
            </w:pPr>
            <w:r>
              <w:rPr>
                <w:rFonts w:ascii="Arial" w:cs="Arial" w:eastAsia="Arial" w:hAnsi="Arial"/>
                <w:sz w:val="13"/>
                <w:szCs w:val="13"/>
                <w:color w:val="auto"/>
              </w:rPr>
              <w:t>Loss and LAE ratio</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0"/>
        </w:trPr>
        <w:tc>
          <w:tcPr>
            <w:tcW w:w="4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Underwriting expense ratio</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62"/>
        </w:trPr>
        <w:tc>
          <w:tcPr>
            <w:tcW w:w="4580" w:type="dxa"/>
            <w:vAlign w:val="bottom"/>
          </w:tcPr>
          <w:p>
            <w:pPr>
              <w:ind w:left="520"/>
              <w:spacing w:after="0"/>
              <w:rPr>
                <w:sz w:val="20"/>
                <w:szCs w:val="20"/>
                <w:color w:val="auto"/>
              </w:rPr>
            </w:pPr>
            <w:r>
              <w:rPr>
                <w:rFonts w:ascii="Arial" w:cs="Arial" w:eastAsia="Arial" w:hAnsi="Arial"/>
                <w:sz w:val="13"/>
                <w:szCs w:val="13"/>
                <w:color w:val="auto"/>
              </w:rPr>
              <w:t>Combined ratio</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78"/>
        </w:trPr>
        <w:tc>
          <w:tcPr>
            <w:tcW w:w="4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Aggregate — including exited lines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and LAE ratio</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Underwriting expense ratio</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(0.9%)</w:t>
            </w:r>
          </w:p>
        </w:tc>
      </w:tr>
      <w:tr>
        <w:trPr>
          <w:trHeight w:val="187"/>
        </w:trPr>
        <w:tc>
          <w:tcPr>
            <w:tcW w:w="4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Combined ratio</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AFG reports the underwriting performance of its Specialty property and casualty insurance business in the following sub-segments: (i) Property and transportation, (ii) Specialty casualty and (iii) Specialty financial.</w:t>
      </w:r>
    </w:p>
    <w:p>
      <w:pPr>
        <w:spacing w:after="0" w:line="139"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Gross Written Premiums</w:t>
      </w:r>
    </w:p>
    <w:p>
      <w:pPr>
        <w:spacing w:after="0" w:line="10" w:lineRule="exact"/>
        <w:rPr>
          <w:sz w:val="20"/>
          <w:szCs w:val="20"/>
          <w:color w:val="auto"/>
        </w:rPr>
      </w:pPr>
    </w:p>
    <w:p>
      <w:pPr>
        <w:ind w:right="120"/>
        <w:spacing w:after="0" w:line="295" w:lineRule="auto"/>
        <w:rPr>
          <w:sz w:val="20"/>
          <w:szCs w:val="20"/>
          <w:color w:val="auto"/>
        </w:rPr>
      </w:pPr>
      <w:r>
        <w:rPr>
          <w:rFonts w:ascii="Arial" w:cs="Arial" w:eastAsia="Arial" w:hAnsi="Arial"/>
          <w:sz w:val="13"/>
          <w:szCs w:val="13"/>
          <w:color w:val="auto"/>
        </w:rPr>
        <w:t>Gross written premiums (“GWP”) for AFG’s property and casualty insurance segment were $10.69 billion in 2025 compared to $10.53 billion in 2024, an increase of $161 million (2%). GWP increased $877 million (9%) in 2024 compared to 2023. Detail of AFG’s property and casualty gross written premiums is shown below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gridSpan w:val="3"/>
          </w:tcPr>
          <w:p>
            <w:pPr>
              <w:ind w:left="88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1"/>
                <w:szCs w:val="11"/>
                <w:color w:val="auto"/>
              </w:rPr>
              <w:t>2025</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2023</w:t>
            </w:r>
          </w:p>
        </w:tc>
        <w:tc>
          <w:tcPr>
            <w:tcW w:w="1200" w:type="dxa"/>
            <w:vAlign w:val="bottom"/>
            <w:gridSpan w:val="2"/>
          </w:tcPr>
          <w:p>
            <w:pPr>
              <w:jc w:val="right"/>
              <w:ind w:right="200"/>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2024 - 2023</w:t>
            </w:r>
          </w:p>
        </w:tc>
      </w:tr>
      <w:tr>
        <w:trPr>
          <w:trHeight w:val="150"/>
        </w:trPr>
        <w:tc>
          <w:tcPr>
            <w:tcW w:w="2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1"/>
                <w:szCs w:val="11"/>
                <w:color w:val="auto"/>
              </w:rPr>
              <w:t>GWP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1"/>
                <w:szCs w:val="11"/>
                <w:color w:val="auto"/>
              </w:rPr>
              <w:t>GWP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1"/>
                <w:szCs w:val="11"/>
                <w:color w:val="auto"/>
              </w:rPr>
              <w:t>GWP</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4,543</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4,368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28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10,694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10,533</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9,656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0"/>
        </w:trPr>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Reinsurance Premiums Ceded</w:t>
      </w:r>
    </w:p>
    <w:p>
      <w:pPr>
        <w:spacing w:after="0" w:line="21"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Reinsurance premiums ceded (“Ceded”) for AFG’s property and casualty insurance segment were 34% of gross written premiums for the year ended December 31, 2025, 32% for year ended December 31, 2024 and 31% December 31, 2023, an increase of 2 percentage points for 2025 compared to 2024 and an increase of 1 percentage point for 2024 compared to 2023. Detail of AFG’s property and casualty reinsurance premiums ceded is shown below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1"/>
                <w:szCs w:val="11"/>
                <w:color w:val="auto"/>
              </w:rPr>
              <w:t>Year ended December 31,</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1"/>
                <w:szCs w:val="11"/>
                <w:color w:val="auto"/>
              </w:rPr>
              <w:t>Change in % of GWP</w:t>
            </w:r>
          </w:p>
        </w:tc>
      </w:tr>
      <w:tr>
        <w:trPr>
          <w:trHeight w:val="150"/>
        </w:trPr>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2025</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2024</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2023</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color w:val="auto"/>
              </w:rPr>
              <w:t>2024 - 2023</w:t>
            </w:r>
          </w:p>
        </w:tc>
      </w:tr>
      <w:tr>
        <w:trPr>
          <w:trHeight w:val="150"/>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1"/>
                <w:szCs w:val="11"/>
                <w:color w:val="auto"/>
              </w:rPr>
              <w:t>Ceded</w:t>
            </w: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 of GWP</w:t>
            </w:r>
          </w:p>
        </w:tc>
        <w:tc>
          <w:tcPr>
            <w:tcW w:w="180" w:type="dxa"/>
            <w:vAlign w:val="bottom"/>
          </w:tcPr>
          <w:p>
            <w:pPr>
              <w:spacing w:after="0"/>
              <w:rPr>
                <w:sz w:val="13"/>
                <w:szCs w:val="13"/>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color w:val="auto"/>
              </w:rPr>
              <w:t>Ceded</w:t>
            </w:r>
          </w:p>
        </w:tc>
        <w:tc>
          <w:tcPr>
            <w:tcW w:w="900" w:type="dxa"/>
            <w:vAlign w:val="bottom"/>
            <w:gridSpan w:val="2"/>
          </w:tcPr>
          <w:p>
            <w:pPr>
              <w:ind w:left="40"/>
              <w:spacing w:after="0"/>
              <w:rPr>
                <w:sz w:val="20"/>
                <w:szCs w:val="20"/>
                <w:color w:val="auto"/>
              </w:rPr>
            </w:pPr>
            <w:r>
              <w:rPr>
                <w:rFonts w:ascii="Arial" w:cs="Arial" w:eastAsia="Arial" w:hAnsi="Arial"/>
                <w:sz w:val="11"/>
                <w:szCs w:val="11"/>
                <w:color w:val="auto"/>
              </w:rPr>
              <w:t>% of GWP</w:t>
            </w:r>
          </w:p>
        </w:tc>
        <w:tc>
          <w:tcPr>
            <w:tcW w:w="180" w:type="dxa"/>
            <w:vAlign w:val="bottom"/>
          </w:tcPr>
          <w:p>
            <w:pPr>
              <w:spacing w:after="0"/>
              <w:rPr>
                <w:sz w:val="13"/>
                <w:szCs w:val="13"/>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1"/>
                <w:szCs w:val="11"/>
                <w:color w:val="auto"/>
              </w:rPr>
              <w:t>Ceded</w:t>
            </w:r>
          </w:p>
        </w:tc>
        <w:tc>
          <w:tcPr>
            <w:tcW w:w="820" w:type="dxa"/>
            <w:vAlign w:val="bottom"/>
          </w:tcPr>
          <w:p>
            <w:pPr>
              <w:jc w:val="right"/>
              <w:ind w:right="178"/>
              <w:spacing w:after="0"/>
              <w:rPr>
                <w:sz w:val="20"/>
                <w:szCs w:val="20"/>
                <w:color w:val="auto"/>
              </w:rPr>
            </w:pPr>
            <w:r>
              <w:rPr>
                <w:rFonts w:ascii="Arial" w:cs="Arial" w:eastAsia="Arial" w:hAnsi="Arial"/>
                <w:sz w:val="11"/>
                <w:szCs w:val="11"/>
                <w:color w:val="auto"/>
              </w:rPr>
              <w:t>% of GWP</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280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2800" w:type="dxa"/>
            <w:vAlign w:val="bottom"/>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Written Premiums</w:t>
      </w:r>
    </w:p>
    <w:p>
      <w:pPr>
        <w:spacing w:after="0" w:line="21" w:lineRule="exact"/>
        <w:rPr>
          <w:sz w:val="20"/>
          <w:szCs w:val="20"/>
          <w:color w:val="auto"/>
        </w:rPr>
      </w:pPr>
    </w:p>
    <w:p>
      <w:pPr>
        <w:ind w:right="240"/>
        <w:spacing w:after="0" w:line="278" w:lineRule="auto"/>
        <w:rPr>
          <w:sz w:val="20"/>
          <w:szCs w:val="20"/>
          <w:color w:val="auto"/>
        </w:rPr>
      </w:pPr>
      <w:r>
        <w:rPr>
          <w:rFonts w:ascii="Arial" w:cs="Arial" w:eastAsia="Arial" w:hAnsi="Arial"/>
          <w:sz w:val="13"/>
          <w:szCs w:val="13"/>
          <w:color w:val="auto"/>
        </w:rPr>
        <w:t>Net written premiums (“NWP”) for AFG’s property and casualty insurance segment were $7.11 billion in 2025 compared to $7.14 billion in 2024, a decrease of $29 million. NWP increased $447 million (7%) in 2024 compared to 2023. Detail of AFG’s property and casualty net written premiums is shown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1"/>
                <w:szCs w:val="11"/>
                <w:color w:val="auto"/>
              </w:rPr>
              <w:t>2025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gridSpan w:val="3"/>
          </w:tcPr>
          <w:p>
            <w:pPr>
              <w:jc w:val="right"/>
              <w:ind w:right="800"/>
              <w:spacing w:after="0"/>
              <w:rPr>
                <w:sz w:val="20"/>
                <w:szCs w:val="20"/>
                <w:color w:val="auto"/>
              </w:rPr>
            </w:pPr>
            <w:r>
              <w:rPr>
                <w:rFonts w:ascii="Arial" w:cs="Arial" w:eastAsia="Arial" w:hAnsi="Arial"/>
                <w:sz w:val="11"/>
                <w:szCs w:val="11"/>
                <w:color w:val="auto"/>
                <w:w w:val="97"/>
              </w:rPr>
              <w:t>2023</w:t>
            </w:r>
          </w:p>
        </w:tc>
        <w:tc>
          <w:tcPr>
            <w:tcW w:w="1220" w:type="dxa"/>
            <w:vAlign w:val="bottom"/>
            <w:gridSpan w:val="2"/>
          </w:tcPr>
          <w:p>
            <w:pPr>
              <w:jc w:val="right"/>
              <w:ind w:right="199"/>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2024 - 2023</w:t>
            </w:r>
          </w:p>
        </w:tc>
      </w:tr>
      <w:tr>
        <w:trPr>
          <w:trHeight w:val="150"/>
        </w:trPr>
        <w:tc>
          <w:tcPr>
            <w:tcW w:w="2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1"/>
                <w:szCs w:val="11"/>
                <w:color w:val="auto"/>
              </w:rPr>
              <w:t>NWP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1"/>
                <w:szCs w:val="11"/>
                <w:color w:val="auto"/>
              </w:rPr>
              <w:t>NWP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1"/>
                <w:szCs w:val="11"/>
                <w:color w:val="auto"/>
              </w:rPr>
              <w:t>NWP</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3,246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3,169</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2"/>
        </w:trPr>
        <w:tc>
          <w:tcPr>
            <w:tcW w:w="286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7,139</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6,692</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0"/>
        </w:trPr>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Net Earned Premiums</w:t>
      </w:r>
    </w:p>
    <w:p>
      <w:pPr>
        <w:spacing w:after="0" w:line="10" w:lineRule="exact"/>
        <w:rPr>
          <w:sz w:val="20"/>
          <w:szCs w:val="20"/>
          <w:color w:val="auto"/>
        </w:rPr>
      </w:pPr>
    </w:p>
    <w:p>
      <w:pPr>
        <w:ind w:right="260"/>
        <w:spacing w:after="0" w:line="295" w:lineRule="auto"/>
        <w:rPr>
          <w:sz w:val="20"/>
          <w:szCs w:val="20"/>
          <w:color w:val="auto"/>
        </w:rPr>
      </w:pPr>
      <w:r>
        <w:rPr>
          <w:rFonts w:ascii="Arial" w:cs="Arial" w:eastAsia="Arial" w:hAnsi="Arial"/>
          <w:sz w:val="13"/>
          <w:szCs w:val="13"/>
          <w:color w:val="auto"/>
        </w:rPr>
        <w:t>Net earned premiums (“NEP”) for AFG’s property and casualty insurance segment were $7.05 billion in 2025 compared to $7.04 billion in 2024, an increase of $10 million. NEP increased $505 million (8%) in 2024 compared to 2023. Detail of AFG’s property and casualty net earned premiums is shown below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color w:val="auto"/>
              </w:rPr>
              <w:t>Year ended December 31,</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color w:val="auto"/>
              </w:rPr>
              <w:t>% Change</w:t>
            </w:r>
          </w:p>
        </w:tc>
        <w:tc>
          <w:tcPr>
            <w:tcW w:w="880" w:type="dxa"/>
            <w:vAlign w:val="bottom"/>
            <w:tcBorders>
              <w:bottom w:val="single" w:sz="8" w:color="auto"/>
            </w:tcBorders>
          </w:tcPr>
          <w:p>
            <w:pPr>
              <w:spacing w:after="0"/>
              <w:rPr>
                <w:sz w:val="13"/>
                <w:szCs w:val="13"/>
                <w:color w:val="auto"/>
              </w:rPr>
            </w:pPr>
          </w:p>
        </w:tc>
      </w:tr>
      <w:tr>
        <w:trPr>
          <w:trHeight w:val="150"/>
        </w:trPr>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2025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1"/>
                <w:szCs w:val="11"/>
                <w:color w:val="auto"/>
                <w:w w:val="97"/>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3"/>
          </w:tcPr>
          <w:p>
            <w:pPr>
              <w:jc w:val="right"/>
              <w:ind w:right="800"/>
              <w:spacing w:after="0"/>
              <w:rPr>
                <w:sz w:val="20"/>
                <w:szCs w:val="20"/>
                <w:color w:val="auto"/>
              </w:rPr>
            </w:pPr>
            <w:r>
              <w:rPr>
                <w:rFonts w:ascii="Arial" w:cs="Arial" w:eastAsia="Arial" w:hAnsi="Arial"/>
                <w:sz w:val="11"/>
                <w:szCs w:val="11"/>
                <w:color w:val="auto"/>
                <w:w w:val="97"/>
              </w:rPr>
              <w:t>2023</w:t>
            </w: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198"/>
              <w:spacing w:after="0"/>
              <w:rPr>
                <w:sz w:val="20"/>
                <w:szCs w:val="20"/>
                <w:color w:val="auto"/>
              </w:rPr>
            </w:pPr>
            <w:r>
              <w:rPr>
                <w:rFonts w:ascii="Arial" w:cs="Arial" w:eastAsia="Arial" w:hAnsi="Arial"/>
                <w:sz w:val="11"/>
                <w:szCs w:val="11"/>
                <w:color w:val="auto"/>
              </w:rPr>
              <w:t>2024 - 2023</w:t>
            </w:r>
          </w:p>
        </w:tc>
      </w:tr>
      <w:tr>
        <w:trPr>
          <w:trHeight w:val="150"/>
        </w:trPr>
        <w:tc>
          <w:tcPr>
            <w:tcW w:w="28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1"/>
                <w:szCs w:val="11"/>
                <w:color w:val="auto"/>
              </w:rPr>
              <w:t>NEP</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1"/>
                <w:szCs w:val="11"/>
                <w:color w:val="auto"/>
              </w:rPr>
              <w:t>NEP</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1"/>
                <w:szCs w:val="11"/>
                <w:color w:val="auto"/>
              </w:rPr>
              <w:t>NEP</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r>
      <w:tr>
        <w:trPr>
          <w:trHeight w:val="16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3,176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3,112</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48%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2"/>
        </w:trPr>
        <w:tc>
          <w:tcPr>
            <w:tcW w:w="286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7,046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7,036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6,531</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460" w:type="dxa"/>
            <w:vAlign w:val="bottom"/>
            <w:gridSpan w:val="3"/>
          </w:tcPr>
          <w:p>
            <w:pPr>
              <w:ind w:left="8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2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Gross written premiums increased $161 million (2%) in 2025 compared to 2024. The Specialty property and casualty insurance operations continue to achieve year-over-year premium growth as a result of new business opportunities, a good renewal rate environment and increased exposures. Overall average renewal rates increased approximately 5% in 2025. Excluding the workers’ compensation businesses, renewal pricing increased approximately 6%.</w:t>
      </w:r>
    </w:p>
    <w:p>
      <w:pPr>
        <w:spacing w:after="0" w:line="16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$877 million (9%) increase in gross written premiums in 2024 compared to 2023 reflects growth in each of the Specialty property and casualty sub-segments as a result of additional crop premiums from the CRS acquisition in the Property and transportation sub-segment and new business opportunities, increased exposures and a good renewal rate environment. Overall average renewal rates increased approximately 7% in 2024. Excluding the workers’ compensation businesses, renewal pricing increased approximately 8%.</w:t>
      </w:r>
    </w:p>
    <w:p>
      <w:pPr>
        <w:spacing w:after="0" w:line="15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Gross written premiums decreased $4 million in 2025 compared to 2024. This decrease was primarily the result of the impact of lower commodity prices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on crop insurance premiums, partially offset by growth in the transportation businesses as a result of increased exposures, new business opportunities and a favorable rate environment. Average renewal rates increased approximately 7% for this group in 2025. Reinsurance premiums ceded as a percentage of gross written premiums increased 1 percentage point in 2025 compared to 2024, reflecting growth in certain programs in the transportation businesses which cede a higher percentage of premiums than some of the other businesses in the Property and transportation sub-segment and higher cessions in the crop and aviation businesses.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Gross written premiums increased $589 million (14%) in 2024 compared to 2023. Year-over-year premium growth resulted from additional crop premium associated with the CRS acquisition as well as new business opportunities, a favorable rate environment and increased exposures in the commercial auto businesses. The year-over-year premium growth was tempered by the impact of lower year-over-year commodity pricing on winter wheat premiums, coupled with elevated pricing competition and the non-renewal of certain under-performing accounts in the transportation businesses. Excluding crop premium, gross and net written premiums in this group grew by 5% and 4%, respectively. Average renewal rates increased approximately 8% for this group in 2024. Reinsurance premiums ceded as a percentage of gross written premiums increased 2 percentage points in 2024 compared to 2023, reflecting the impact of higher cessions in the crop business and growth in certain programs in the transportation businesses which cede a larger percentage of premiums than some of the other businesses in the Property and transportation sub-segment.</w:t>
      </w:r>
    </w:p>
    <w:p>
      <w:pPr>
        <w:spacing w:after="0" w:line="32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Gross written premiums increased $77 million (2%) in 2025 compared to 2024. The higher-year-over-year premiums resulted primarily from the mergers and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acquisitions liability business and growth across several of the targeted markets businesses resulting from new business opportunities, higher rates and strong policy retention and growth in the workers’ compensation businesses. These items were partially offset by lower premiums in the excess and surplus businesses and lower premiums due to a challenging market in the directors’ and officers’ liability business as well as the continued non-renewal of certain housing and daycare accounts in the social services businesses. Average renewal rates increased approximately 6% for this group in 2025. Excluding workers’ compensation businesses, renewal rates for this group increased approximately 8% in 2025. Reinsurance premiums ceded as a percentage of gross written premiums increased 1 percentage point in 2025 compared to 2024, reflecting higher cessions and higher reinsurance costs in the excess liability business and growth in the public sector and mergers and acquisitions liability businesses, both of which cede a larger percentage of premiums than some of the other businesses in the Specialty casualty sub-segment.</w:t>
      </w:r>
    </w:p>
    <w:p>
      <w:pPr>
        <w:spacing w:after="0" w:line="331"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Gross written premiums increased $175 million (4%) in 2024 compared to 2023. The higher year-over-year premiums resulted primarily from growth in the excess and surplus, excess liability and certain targeted markets businesses as a result of rate increases, new business opportunities and strong policy retention. The mergers and acquisitions liability business also benefited from an increase in mergers and acquisition activity. This growth was tempered by lower year-over-year workers’ compensation premiums. Average renewal rates increased approximately 6% for this group in 2024. Excluding overall rate decreases in the workers’ compensation businesses, renewal rates for this group increased approximately 9% in 2024. Reinsurance premiums ceded as a percentage of gross written premiums increased 2 percentage points in 2024 compared to 2023, reflecting the impact of higher premiums in the excess and surplus and mergers and acquisitions liability businesses, which cede a larger percentage of premiums than some of the other businesses in the Specialty casualty sub-segment and higher cessions in the public sector business, partially offset by lower cessions in certain more heavily reinsured products in the social services business.</w:t>
      </w:r>
    </w:p>
    <w:p>
      <w:pPr>
        <w:spacing w:after="0" w:line="171"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Gross written premiums increased $88 million (7%) in 2025 compared to 2024 due primarily to growth in the financial institutions business and AFG’s European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operations. Average renewal rates decreased approximately 1% for this group in 2025. Reinsurance premiums ceded as a percentage of gross written premiums increased 2 percentage points in 2025 compared to 2024, reflecting higher cessions of catastrophe exposed business in the financial institutions business, partially offset by the impact of lower reinstatement premiums paid to reinsurers in the fidelity and surety businesses.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Gross written premiums increased $113 million (10%) in 2024 compared to 2023. Year-over-year growth in the financial institutions business was partially offset by a decision to pause writing of new intellectual property-related coverage. Average renewal rates for this group increased approximately 6% in 2024. Reinsurance premiums ceded as a percentage of gross written premiums decreased 1 percentage point in 2024 compared to 2023, reflecting lower gross written premiums in the innovative markets business, which cedes a larger percentage of premiums than some of the other businesses in the Specialty financial sub-segment, partially offset by the impact of higher reinstatement premiums paid to reinsurers in the fidelity and surety businesses.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Combined Ratio</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(dollars in millions) details the components of the combined ratio and underwriting profit for AFG’s property and casualty insurance segment for 2025, 2024 and 2023:</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and transportation</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casualty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Specialty financial</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Specialty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 including exited lines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Loss and LAE ratio</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expense ratio</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Combined ratio</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Underwriting profit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24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color w:val="auto"/>
              </w:rPr>
              <w:t>Year ended December 31,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color w:val="auto"/>
              </w:rPr>
              <w:t>Change</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ended December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2024 - 2023</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320"/>
        </w:trPr>
        <w:tc>
          <w:tcPr>
            <w:tcW w:w="920" w:type="dxa"/>
            <w:vAlign w:val="bottom"/>
          </w:tcPr>
          <w:p>
            <w:pPr>
              <w:jc w:val="right"/>
              <w:spacing w:after="0"/>
              <w:rPr>
                <w:sz w:val="20"/>
                <w:szCs w:val="20"/>
                <w:color w:val="auto"/>
              </w:rPr>
            </w:pPr>
            <w:r>
              <w:rPr>
                <w:rFonts w:ascii="Arial" w:cs="Arial" w:eastAsia="Arial" w:hAnsi="Arial"/>
                <w:sz w:val="13"/>
                <w:szCs w:val="13"/>
                <w:color w:val="auto"/>
              </w:rPr>
              <w:t>67.1%</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335</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66.9%</w:t>
            </w:r>
          </w:p>
        </w:tc>
        <w:tc>
          <w:tcPr>
            <w:tcW w:w="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61.5%</w:t>
            </w:r>
          </w:p>
        </w:tc>
        <w:tc>
          <w:tcPr>
            <w:tcW w:w="122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2.5%</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37.8%</w:t>
            </w: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62.2%</w:t>
            </w:r>
          </w:p>
        </w:tc>
        <w:tc>
          <w:tcPr>
            <w:tcW w:w="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61.5%</w:t>
            </w: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634</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626</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62.2%</w:t>
            </w:r>
          </w:p>
        </w:tc>
        <w:tc>
          <w:tcPr>
            <w:tcW w:w="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61.6%</w:t>
            </w: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629</w:t>
            </w:r>
          </w:p>
        </w:tc>
        <w:tc>
          <w:tcPr>
            <w:tcW w:w="80" w:type="dxa"/>
            <w:vAlign w:val="bottom"/>
          </w:tcPr>
          <w:p>
            <w:pPr>
              <w:spacing w:after="0" w:line="20" w:lineRule="exact"/>
              <w:rPr>
                <w:sz w:val="1"/>
                <w:szCs w:val="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line="20" w:lineRule="exact"/>
              <w:rPr>
                <w:sz w:val="1"/>
                <w:szCs w:val="1"/>
                <w:color w:val="auto"/>
              </w:rPr>
            </w:pPr>
          </w:p>
        </w:tc>
      </w:tr>
      <w:tr>
        <w:trPr>
          <w:trHeight w:val="130"/>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-3307080</wp:posOffset>
            </wp:positionV>
            <wp:extent cx="716153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-3091815</wp:posOffset>
            </wp:positionV>
            <wp:extent cx="7161530" cy="107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-2856230</wp:posOffset>
            </wp:positionV>
            <wp:extent cx="7161530" cy="121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-2626995</wp:posOffset>
            </wp:positionV>
            <wp:extent cx="7161530"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-2411095</wp:posOffset>
            </wp:positionV>
            <wp:extent cx="716153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-2175510</wp:posOffset>
            </wp:positionV>
            <wp:extent cx="7161530" cy="121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-1946275</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-1731010</wp:posOffset>
            </wp:positionV>
            <wp:extent cx="716153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-1494790</wp:posOffset>
            </wp:positionV>
            <wp:extent cx="7161530" cy="121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-1266190</wp:posOffset>
            </wp:positionV>
            <wp:extent cx="7161530"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-1050290</wp:posOffset>
            </wp:positionV>
            <wp:extent cx="7161530" cy="107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-814705</wp:posOffset>
            </wp:positionV>
            <wp:extent cx="7161530" cy="121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-585470</wp:posOffset>
            </wp:positionV>
            <wp:extent cx="7161530" cy="107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-370205</wp:posOffset>
            </wp:positionV>
            <wp:extent cx="7161530" cy="107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-133985</wp:posOffset>
            </wp:positionV>
            <wp:extent cx="7161530"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720"/>
            <w:col w:w="8140"/>
          </w:cols>
          <w:pgMar w:left="300" w:top="121" w:right="319" w:bottom="1440" w:gutter="0" w:footer="0" w:header="0"/>
          <w:type w:val="continuous"/>
        </w:sectPr>
      </w:pPr>
    </w:p>
    <w:p>
      <w:pPr>
        <w:spacing w:after="0" w:line="48"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The Specialty property and casualty insurance operations generated an underwriting profit of $634 million in 2025 compared to $626 million in 2024, an increase of $8 million (1%). Higher underwriting profit in the Property and transportation and Specialty financial sub-segments was partially offset by lower underwriting profit in the Specialty casualty sub-segment. Overall catastrophe losses were $137 million (2.0 points on the combined ratio) for 2025 compared to catastrophe losses of $182 million (2.6 points), including $2 million in net reinstatement premiums, for 2024.</w:t>
      </w:r>
    </w:p>
    <w:p>
      <w:pPr>
        <w:spacing w:after="0" w:line="153" w:lineRule="exact"/>
        <w:rPr>
          <w:sz w:val="20"/>
          <w:szCs w:val="20"/>
          <w:color w:val="auto"/>
        </w:rPr>
      </w:pPr>
    </w:p>
    <w:p>
      <w:pPr>
        <w:ind w:right="200"/>
        <w:spacing w:after="0" w:line="269" w:lineRule="auto"/>
        <w:rPr>
          <w:sz w:val="20"/>
          <w:szCs w:val="20"/>
          <w:color w:val="auto"/>
        </w:rPr>
      </w:pPr>
      <w:r>
        <w:rPr>
          <w:rFonts w:ascii="Arial" w:cs="Arial" w:eastAsia="Arial" w:hAnsi="Arial"/>
          <w:sz w:val="13"/>
          <w:szCs w:val="13"/>
          <w:color w:val="auto"/>
        </w:rPr>
        <w:t>The Specialty property and casualty insurance operations generated an underwriting profit of $626 million in 2024 compared to $633 million in 2023, a decrease of $7 million (1%). Higher underwriting profit in the Property and transportation and Specialty financial sub-segments was more than offset by lower underwriting profit in the Specialty casualty sub-segment. Overall catastrophe losses were $182 million (2.6 points on the combined ratio), including $2 million in net reinstatement premiums, for 2024 compared to catastrophe losses of $165 million (2.5 points), including $3 million in net reinstatement premiums, for 2023.</w:t>
      </w:r>
    </w:p>
    <w:p>
      <w:pPr>
        <w:spacing w:after="0" w:line="16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Underwriting profit for this group was $335 million in 2025 compared to $214 million in 2024, an increase of $121 million (57%) reflecting higher</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underwriting profitability in the crop insurance operations which benefitted from record yields for corn and soybeans and favorable commodity pricing trends throughout the growing season, partially offset by lower year-over-year underwriting profit in the property and inland marine business and transportation businesses. Catastrophe losses were $26 million (1.0 points on the combined ratio) in 2025 compared to catastrophe losses of $66 million (2.3 points), including $1 million in net reinstatement premiums, in 2024.</w:t>
      </w:r>
    </w:p>
    <w:p>
      <w:pPr>
        <w:spacing w:after="0" w:line="158"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Underwriting profit for this group was $214 million in 2024 compared to $174 million in 2023, an increase of $40 million (23%). Higher year-over-year underwriting profit in the property and inland marine and crop insurance operations was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640"/>
        <w:spacing w:after="0" w:line="297" w:lineRule="auto"/>
        <w:rPr>
          <w:sz w:val="20"/>
          <w:szCs w:val="20"/>
          <w:color w:val="auto"/>
        </w:rPr>
      </w:pPr>
      <w:r>
        <w:rPr>
          <w:rFonts w:ascii="Arial" w:cs="Arial" w:eastAsia="Arial" w:hAnsi="Arial"/>
          <w:sz w:val="13"/>
          <w:szCs w:val="13"/>
          <w:color w:val="auto"/>
        </w:rPr>
        <w:t>partially offset by lower underwriting profitability in the transportation businesses. Catastrophe losses were $66 million (2.3 points on the combined ratio), including $1 million in net reinstatement premiums, in 2024 compared to catastrophe losses of $56 million (2.1 points), including $2 million in net reinstatement premiums, in 2023.</w:t>
      </w:r>
    </w:p>
    <w:p>
      <w:pPr>
        <w:spacing w:after="0" w:line="13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Underwriting profit for this group was $129 million in 2025 compared to $279 million in 2024, a decrease of $150 million (54%), reflecting lower underwriting profit in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directors’ and officers’ liability, excess and surplus, mergers and acquisitions liability and workers’ compensation businesses. Catastrophe losses were $39 million (1.3 points on the combined ratio) in 2025 compared to catastrophe losses of $35 million (1.0 point), including $1 million in net reinstatement premiums, in 2024.</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Underwriting profit for this group was $279 million in 2024 compared to $348 million in 2023, a decrease of $69 million (20%). Higher year-over-year underwriting profit in the targeted markets businesses was more than offset by lower levels of favorable prior year reserve development in the executive liability business and social inflation driven adverse development in the umbrella and excess business. Catastrophe losses were $35 million (1.0 point on the combined ratio), including $1 million in net reinstatement premiums, in 2024 compared to catastrophe losses of $59 million (1.9 points), including $1 million in net reinstatement premiums, in 2023.</w:t>
      </w:r>
    </w:p>
    <w:p>
      <w:pPr>
        <w:spacing w:after="0" w:line="153" w:lineRule="exact"/>
        <w:rPr>
          <w:sz w:val="20"/>
          <w:szCs w:val="20"/>
          <w:color w:val="auto"/>
        </w:rPr>
      </w:pPr>
    </w:p>
    <w:p>
      <w:pPr>
        <w:jc w:val="both"/>
        <w:ind w:right="100"/>
        <w:spacing w:after="0" w:line="245"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Underwriting profit for this group was $170 million in 2025 compared to $133 million in 2024, an increase of $37 million (28%). This year-over-year increase reflects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higher underwriting profit in the surety, fidelity and financial institutions businesses. Catastrophe losses were $72 million (6.6 points on the combined ratio) in 2025 compared to catastrophe losses of $81 million (7.9 points) in 2024.</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Underwriting profit for this group was $133 million in 2024 compared to $111 million in 2023, an increase of $22 million (20%). This year-over-year increase reflects higher underwriting profit in the financial institutions business, partially offset by lower profitability resulting from the pause in writing of intellectual property-related coverage. Catastrophe losses were $81 million (7.9 points on the combined ratio) in 2024 compared to catastrophe losses of $50 million (5.7 points) in 2023.</w:t>
      </w:r>
    </w:p>
    <w:p>
      <w:pPr>
        <w:spacing w:after="0" w:line="16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underwriting results for AFG’s property and casualty insurance segment include adverse prior year reserve development of $5 million in 2025, $6 million in 2024 and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$2 million in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Losses and Loss Adjustment Expenses</w:t>
      </w:r>
    </w:p>
    <w:p>
      <w:pPr>
        <w:spacing w:after="0" w:line="2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AFG’s overall loss and LAE ratio was 62.2%, 63.3% and 61.6% in 2025, 2024 and 2023, respectively. The components of AFG’s property and casualty losses and LAE amounts and ratio are detailed below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color w:val="auto"/>
              </w:rPr>
              <w:t>Year ended December 31,</w:t>
            </w: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Amount</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color w:val="auto"/>
              </w:rPr>
              <w:t>Ratio</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1"/>
                <w:szCs w:val="11"/>
                <w:color w:val="auto"/>
              </w:rPr>
              <w:t>Change in Ratio</w:t>
            </w:r>
          </w:p>
        </w:tc>
        <w:tc>
          <w:tcPr>
            <w:tcW w:w="0" w:type="dxa"/>
            <w:vAlign w:val="bottom"/>
          </w:tcPr>
          <w:p>
            <w:pPr>
              <w:spacing w:after="0"/>
              <w:rPr>
                <w:sz w:val="1"/>
                <w:szCs w:val="1"/>
                <w:color w:val="auto"/>
              </w:rPr>
            </w:pPr>
          </w:p>
        </w:tc>
      </w:tr>
      <w:tr>
        <w:trPr>
          <w:trHeight w:val="150"/>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880" w:type="dxa"/>
            <w:vAlign w:val="bottom"/>
          </w:tcPr>
          <w:p>
            <w:pPr>
              <w:jc w:val="right"/>
              <w:ind w:right="25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860" w:type="dxa"/>
            <w:vAlign w:val="bottom"/>
          </w:tcPr>
          <w:p>
            <w:pPr>
              <w:jc w:val="right"/>
              <w:ind w:right="237"/>
              <w:spacing w:after="0"/>
              <w:rPr>
                <w:sz w:val="20"/>
                <w:szCs w:val="20"/>
                <w:color w:val="auto"/>
              </w:rPr>
            </w:pPr>
            <w:r>
              <w:rPr>
                <w:rFonts w:ascii="Arial" w:cs="Arial" w:eastAsia="Arial" w:hAnsi="Arial"/>
                <w:sz w:val="11"/>
                <w:szCs w:val="11"/>
                <w:color w:val="auto"/>
              </w:rPr>
              <w:t>2023</w:t>
            </w:r>
          </w:p>
        </w:tc>
        <w:tc>
          <w:tcPr>
            <w:tcW w:w="1060" w:type="dxa"/>
            <w:vAlign w:val="bottom"/>
            <w:gridSpan w:val="2"/>
          </w:tcPr>
          <w:p>
            <w:pPr>
              <w:jc w:val="right"/>
              <w:ind w:right="183"/>
              <w:spacing w:after="0"/>
              <w:rPr>
                <w:sz w:val="20"/>
                <w:szCs w:val="20"/>
                <w:color w:val="auto"/>
              </w:rPr>
            </w:pPr>
            <w:r>
              <w:rPr>
                <w:rFonts w:ascii="Arial" w:cs="Arial" w:eastAsia="Arial" w:hAnsi="Arial"/>
                <w:sz w:val="9"/>
                <w:szCs w:val="9"/>
                <w:color w:val="auto"/>
              </w:rPr>
              <w:t>2025 - 2024</w:t>
            </w:r>
          </w:p>
        </w:tc>
        <w:tc>
          <w:tcPr>
            <w:tcW w:w="8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Arial" w:cs="Arial" w:eastAsia="Arial" w:hAnsi="Arial"/>
                <w:sz w:val="9"/>
                <w:szCs w:val="9"/>
                <w:color w:val="auto"/>
              </w:rPr>
              <w:t>2024 - 2023</w:t>
            </w:r>
          </w:p>
        </w:tc>
        <w:tc>
          <w:tcPr>
            <w:tcW w:w="0" w:type="dxa"/>
            <w:vAlign w:val="bottom"/>
          </w:tcPr>
          <w:p>
            <w:pPr>
              <w:spacing w:after="0"/>
              <w:rPr>
                <w:sz w:val="1"/>
                <w:szCs w:val="1"/>
                <w:color w:val="auto"/>
              </w:rPr>
            </w:pPr>
          </w:p>
        </w:tc>
      </w:tr>
      <w:tr>
        <w:trPr>
          <w:trHeight w:val="15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transportation</w:t>
            </w: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1,880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1,801</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68.4%</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7"/>
        </w:trPr>
        <w:tc>
          <w:tcPr>
            <w:tcW w:w="390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Property and transportation losses and LAE and ratio</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casualty</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2,092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1,974</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1,967</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63.2%</w:t>
            </w:r>
          </w:p>
        </w:tc>
        <w:tc>
          <w:tcPr>
            <w:tcW w:w="1060" w:type="dxa"/>
            <w:vAlign w:val="bottom"/>
            <w:gridSpan w:val="2"/>
          </w:tcPr>
          <w:p>
            <w:pPr>
              <w:jc w:val="right"/>
              <w:ind w:right="3"/>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27"/>
        </w:trPr>
        <w:tc>
          <w:tcPr>
            <w:tcW w:w="390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06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casualty losses and LAE and ratio</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1,914</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Specialty financial</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7"/>
        </w:trPr>
        <w:tc>
          <w:tcPr>
            <w:tcW w:w="390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Specialty financial losses and LAE and ratio</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Specialty</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4,332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4,339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61.4%</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27"/>
        </w:trPr>
        <w:tc>
          <w:tcPr>
            <w:tcW w:w="390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Specialty losses and LAE and ratio</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Aggregate — including exited lines</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3"/>
                <w:szCs w:val="13"/>
                <w:color w:val="auto"/>
              </w:rPr>
              <w:t>Current year, excluding catastrophe losses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4,332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4,339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Prior accident years development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27"/>
        </w:trPr>
        <w:tc>
          <w:tcPr>
            <w:tcW w:w="3900" w:type="dxa"/>
            <w:vAlign w:val="bottom"/>
          </w:tcPr>
          <w:p>
            <w:pPr>
              <w:ind w:left="220"/>
              <w:spacing w:after="0" w:line="128" w:lineRule="exact"/>
              <w:rPr>
                <w:sz w:val="20"/>
                <w:szCs w:val="20"/>
                <w:color w:val="auto"/>
              </w:rPr>
            </w:pPr>
            <w:r>
              <w:rPr>
                <w:rFonts w:ascii="Arial" w:cs="Arial" w:eastAsia="Arial" w:hAnsi="Arial"/>
                <w:sz w:val="13"/>
                <w:szCs w:val="13"/>
                <w:color w:val="auto"/>
              </w:rPr>
              <w:t>Current year catastrophe losses including the impact of net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reinstatement premiums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Aggregate losses and LAE and ratio</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Current accident year losses and LAE, excluding catastrophe losses</w:t>
      </w:r>
    </w:p>
    <w:p>
      <w:pPr>
        <w:spacing w:after="0" w:line="22" w:lineRule="exact"/>
        <w:rPr>
          <w:sz w:val="20"/>
          <w:szCs w:val="20"/>
          <w:color w:val="auto"/>
        </w:rPr>
      </w:pPr>
    </w:p>
    <w:p>
      <w:pPr>
        <w:ind w:right="120"/>
        <w:spacing w:after="0" w:line="295" w:lineRule="auto"/>
        <w:rPr>
          <w:sz w:val="20"/>
          <w:szCs w:val="20"/>
          <w:color w:val="auto"/>
        </w:rPr>
      </w:pPr>
      <w:r>
        <w:rPr>
          <w:rFonts w:ascii="Arial" w:cs="Arial" w:eastAsia="Arial" w:hAnsi="Arial"/>
          <w:sz w:val="13"/>
          <w:szCs w:val="13"/>
          <w:color w:val="auto"/>
        </w:rPr>
        <w:t>The current accident year loss and LAE ratio, excluding catastrophe losses for AFG’s Specialty property and casualty insurance operations was 61.4% in 2025, 61.7% in 2024 and 62.4% in 2023.</w:t>
      </w:r>
    </w:p>
    <w:p>
      <w:pPr>
        <w:spacing w:after="0" w:line="140" w:lineRule="exact"/>
        <w:rPr>
          <w:sz w:val="20"/>
          <w:szCs w:val="20"/>
          <w:color w:val="auto"/>
        </w:rPr>
      </w:pPr>
    </w:p>
    <w:p>
      <w:pPr>
        <w:jc w:val="both"/>
        <w:ind w:right="60"/>
        <w:spacing w:after="0" w:line="245"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The 2.5 percentage points decrease in the loss and LAE ratio for the current year, excluding catastrophe losses in 2025 compared to 2024, reflects very</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strong earnings in the crop business and growth and improved results in the property and inland marine business, which has a lower loss and LAE ratio than some of the other businesses in the Property and transportation sub-segment, partially offset by higher claim severity in the aviation business.</w:t>
      </w:r>
    </w:p>
    <w:p>
      <w:pPr>
        <w:spacing w:after="0" w:line="172" w:lineRule="exact"/>
        <w:rPr>
          <w:sz w:val="20"/>
          <w:szCs w:val="20"/>
          <w:color w:val="auto"/>
        </w:rPr>
      </w:pPr>
    </w:p>
    <w:p>
      <w:pPr>
        <w:jc w:val="both"/>
        <w:ind w:right="220"/>
        <w:spacing w:after="0" w:line="276" w:lineRule="auto"/>
        <w:rPr>
          <w:sz w:val="20"/>
          <w:szCs w:val="20"/>
          <w:color w:val="auto"/>
        </w:rPr>
      </w:pPr>
      <w:r>
        <w:rPr>
          <w:rFonts w:ascii="Arial" w:cs="Arial" w:eastAsia="Arial" w:hAnsi="Arial"/>
          <w:sz w:val="13"/>
          <w:szCs w:val="13"/>
          <w:color w:val="auto"/>
        </w:rPr>
        <w:t>The 0.3 percentage point increase in the loss and LAE ratio for the current year, excluding catastrophe losses in 2024 compared to 2023, reflects growth in the crop business, which has a higher loss and LAE ratio than some of the other businesses in the Property and transportation sub-segment and higher reported claim severity in the commercial auto business, partially offset by the impact of improved profitability in the property and inland marine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20"/>
        <w:spacing w:after="0" w:line="239"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The 2.8 percentage points increase in the loss and LAE ratio for the current year, excluding catastrophe losses in 2025 compared to 2024, reflects higher than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anticipated claim severity in the excess and surplus and social services businesses.</w:t>
      </w:r>
    </w:p>
    <w:p>
      <w:pPr>
        <w:spacing w:after="0" w:line="175" w:lineRule="exact"/>
        <w:rPr>
          <w:sz w:val="20"/>
          <w:szCs w:val="20"/>
          <w:color w:val="auto"/>
        </w:rPr>
      </w:pPr>
    </w:p>
    <w:p>
      <w:pPr>
        <w:ind w:right="680"/>
        <w:spacing w:after="0" w:line="297" w:lineRule="auto"/>
        <w:rPr>
          <w:sz w:val="20"/>
          <w:szCs w:val="20"/>
          <w:color w:val="auto"/>
        </w:rPr>
      </w:pPr>
      <w:r>
        <w:rPr>
          <w:rFonts w:ascii="Arial" w:cs="Arial" w:eastAsia="Arial" w:hAnsi="Arial"/>
          <w:sz w:val="13"/>
          <w:szCs w:val="13"/>
          <w:color w:val="auto"/>
        </w:rPr>
        <w:t>The 1.0 percentage point decrease in the loss and LAE ratio for the current year, excluding catastrophe losses in 2024 compared to 2023, reflects improved results in the workers’ compensation and targeted markets businesses, partially offset by higher claim severity in the excess and surplus business.</w:t>
      </w:r>
    </w:p>
    <w:p>
      <w:pPr>
        <w:spacing w:after="0" w:line="13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The 1.8 percentage points decrease in the loss and LAE ratio for the current year, excluding catastrophe losses in 2025 compared to 2024, reflects improved results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 the surety and fidelity businesses and growth in the financial institutions business, which has a lower loss and LAE ratio than some of the other businesses in the Specialty financial sub-segment, partially offset by growth in AFG’s European operations, which has a higher loss and LAE ratio than some of the other businesses in the Specialty financial sub-segment.</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0.8 percentage point decrease in the loss and LAE ratio for the current year, excluding catastrophe losses in 2024 compared to 2023, reflects growth in the financial institutions business, which has a lower loss and LAE ratio than some of the other businesses in the Specialty financial sub-segment, partially offset by higher reported losses and lower premiums in the fidelity and surety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Net prior year reserve development</w:t>
      </w:r>
    </w:p>
    <w:p>
      <w:pPr>
        <w:spacing w:after="0" w:line="22" w:lineRule="exact"/>
        <w:rPr>
          <w:sz w:val="20"/>
          <w:szCs w:val="20"/>
          <w:color w:val="auto"/>
        </w:rPr>
      </w:pPr>
    </w:p>
    <w:p>
      <w:pPr>
        <w:ind w:right="460"/>
        <w:spacing w:after="0" w:line="278" w:lineRule="auto"/>
        <w:rPr>
          <w:sz w:val="20"/>
          <w:szCs w:val="20"/>
          <w:color w:val="auto"/>
        </w:rPr>
      </w:pPr>
      <w:r>
        <w:rPr>
          <w:rFonts w:ascii="Arial" w:cs="Arial" w:eastAsia="Arial" w:hAnsi="Arial"/>
          <w:sz w:val="13"/>
          <w:szCs w:val="13"/>
          <w:color w:val="auto"/>
        </w:rPr>
        <w:t>AFG’s Specialty property and casualty insurance operations recorded net favorable reserve development related to prior accident years of $86 million in 2025, $70 million in 2024 and $226 million in 2023, an increase of $16 million (23%) in 2025 compared to 2024 and a decrease of $156 million (69%) in 2024 compared to 2023.</w:t>
      </w:r>
    </w:p>
    <w:p>
      <w:pPr>
        <w:spacing w:after="0" w:line="151"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Net favorable reserve development of $63 million in 2025 reflects lower than anticipated losses in the crop business, lower than expected claim severity in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aviation and ocean marine businesses and lower than anticipated claim frequency and severity in the property and inland marine business.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Net favorable reserve development of $96 million in 2024 reflects lower than anticipated losses in the crop business, lower than expected claim severity in the property and inland marine and aviation businesses and lower than anticipated claim frequency and severity in the ocean marine business.</w:t>
      </w:r>
    </w:p>
    <w:p>
      <w:pPr>
        <w:spacing w:after="0" w:line="139" w:lineRule="exact"/>
        <w:rPr>
          <w:sz w:val="20"/>
          <w:szCs w:val="20"/>
          <w:color w:val="auto"/>
        </w:rPr>
      </w:pPr>
    </w:p>
    <w:p>
      <w:pPr>
        <w:ind w:right="720"/>
        <w:spacing w:after="0" w:line="314" w:lineRule="auto"/>
        <w:rPr>
          <w:sz w:val="20"/>
          <w:szCs w:val="20"/>
          <w:color w:val="auto"/>
        </w:rPr>
      </w:pPr>
      <w:r>
        <w:rPr>
          <w:rFonts w:ascii="Arial" w:cs="Arial" w:eastAsia="Arial" w:hAnsi="Arial"/>
          <w:sz w:val="13"/>
          <w:szCs w:val="13"/>
          <w:color w:val="auto"/>
        </w:rPr>
        <w:t>Net favorable reserve development of $82 million in 2023 reflects lower than anticipated losses in the crop business, lower than expected claim frequency and severity across the transportation businesses and lower than anticipated claim frequency in the property and inland marine and ocean marine businesses and in the Singapore operations.</w:t>
      </w:r>
    </w:p>
    <w:p>
      <w:pPr>
        <w:spacing w:after="0" w:line="129" w:lineRule="exact"/>
        <w:rPr>
          <w:sz w:val="20"/>
          <w:szCs w:val="20"/>
          <w:color w:val="auto"/>
        </w:rPr>
      </w:pPr>
    </w:p>
    <w:p>
      <w:pPr>
        <w:jc w:val="both"/>
        <w:ind w:right="80"/>
        <w:spacing w:after="0" w:line="232"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Net adverse reserve development of $20 million in 2025 reflects higher than expected claim severity in the excess and surplus, social services, excess liability, public</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sector and general liability businesses, partially offset by lower than anticipated claim severity in the workers’ compensation and executive liability businesses.</w:t>
      </w:r>
    </w:p>
    <w:p>
      <w:pPr>
        <w:spacing w:after="0" w:line="185" w:lineRule="exact"/>
        <w:rPr>
          <w:sz w:val="20"/>
          <w:szCs w:val="20"/>
          <w:color w:val="auto"/>
        </w:rPr>
      </w:pPr>
    </w:p>
    <w:p>
      <w:pPr>
        <w:jc w:val="both"/>
        <w:ind w:right="80"/>
        <w:spacing w:after="0" w:line="276" w:lineRule="auto"/>
        <w:rPr>
          <w:sz w:val="20"/>
          <w:szCs w:val="20"/>
          <w:color w:val="auto"/>
        </w:rPr>
      </w:pPr>
      <w:r>
        <w:rPr>
          <w:rFonts w:ascii="Arial" w:cs="Arial" w:eastAsia="Arial" w:hAnsi="Arial"/>
          <w:sz w:val="13"/>
          <w:szCs w:val="13"/>
          <w:color w:val="auto"/>
        </w:rPr>
        <w:t>Net adverse reserve development of $37 million in 2024 reflects higher than anticipated claim frequency and severity in the umbrella and excess liability and social services businesses and higher than expected claim severity in the public sector and general liability businesses, partially offset by lower than anticipated claim severity in the workers’ compensation businesses and lower than expected claim frequency and severity in the executive liability business.</w:t>
      </w:r>
    </w:p>
    <w:p>
      <w:pPr>
        <w:spacing w:after="0" w:line="153"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Net favorable reserve development of $111 million in 2023 reflects lower than anticipated claim 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business and higher than expected claim frequency and severity in the excess liability and general liability businesses.</w:t>
      </w:r>
    </w:p>
    <w:p>
      <w:pPr>
        <w:spacing w:after="0" w:line="148"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Net favorable reserve development of $43 million in 2025 reflects lower than anticipated claim frequency in the financial institutions business and lower than expected</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claim severity in the surety, fidelity and trade credit businesses.</w:t>
      </w:r>
    </w:p>
    <w:p>
      <w:pPr>
        <w:spacing w:after="0" w:line="175" w:lineRule="exact"/>
        <w:rPr>
          <w:sz w:val="20"/>
          <w:szCs w:val="20"/>
          <w:color w:val="auto"/>
        </w:rPr>
      </w:pPr>
    </w:p>
    <w:p>
      <w:pPr>
        <w:ind w:right="440"/>
        <w:spacing w:after="0" w:line="314" w:lineRule="auto"/>
        <w:rPr>
          <w:sz w:val="20"/>
          <w:szCs w:val="20"/>
          <w:color w:val="auto"/>
        </w:rPr>
      </w:pPr>
      <w:r>
        <w:rPr>
          <w:rFonts w:ascii="Arial" w:cs="Arial" w:eastAsia="Arial" w:hAnsi="Arial"/>
          <w:sz w:val="13"/>
          <w:szCs w:val="13"/>
          <w:color w:val="auto"/>
        </w:rPr>
        <w:t>Net favorable reserve development of $11 million in 2024 reflects lower than anticipated claim frequency and severity in the financial institutions and fidelity businesses and lower than expected claim frequency in the trade credit business, partially offset by higher than anticipated claim severity in the innovative markets and surety businesses.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480"/>
        <w:spacing w:after="0" w:line="297" w:lineRule="auto"/>
        <w:rPr>
          <w:sz w:val="20"/>
          <w:szCs w:val="20"/>
          <w:color w:val="auto"/>
        </w:rPr>
      </w:pPr>
      <w:r>
        <w:rPr>
          <w:rFonts w:ascii="Arial" w:cs="Arial" w:eastAsia="Arial" w:hAnsi="Arial"/>
          <w:sz w:val="13"/>
          <w:szCs w:val="13"/>
          <w:color w:val="auto"/>
        </w:rPr>
        <w:t>Net favorable reserve development of $33 million in 2023 reflects lower than anticipated claim frequency in the trade credit, financial institutions and surety businesses and lower than expected claim frequency and severity in the fidelity business.</w:t>
      </w:r>
    </w:p>
    <w:p>
      <w:pPr>
        <w:spacing w:after="0" w:line="13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00274E"/>
        </w:rPr>
        <w:t xml:space="preserve">Aggregate </w:t>
      </w:r>
      <w:r>
        <w:rPr>
          <w:rFonts w:ascii="Arial" w:cs="Arial" w:eastAsia="Arial" w:hAnsi="Arial"/>
          <w:sz w:val="13"/>
          <w:szCs w:val="13"/>
          <w:color w:val="000000"/>
        </w:rPr>
        <w:t>Aggregate net prior accident years reserve development for AFG’s property and casualty insurance segment includes net adverse prior year reserve development of $5 million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 2025, $6 million in 2024 and $2 million in 2023 related to business outside the Specialty group that AFG no longer writes.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00274E"/>
        </w:rPr>
        <w:t>Catastrophe losses</w:t>
      </w:r>
    </w:p>
    <w:p>
      <w:pPr>
        <w:spacing w:after="0" w:line="22" w:lineRule="exact"/>
        <w:rPr>
          <w:sz w:val="20"/>
          <w:szCs w:val="20"/>
          <w:color w:val="auto"/>
        </w:rPr>
      </w:pPr>
    </w:p>
    <w:p>
      <w:pPr>
        <w:jc w:val="both"/>
        <w:ind w:right="220"/>
        <w:spacing w:after="0" w:line="275" w:lineRule="auto"/>
        <w:rPr>
          <w:sz w:val="20"/>
          <w:szCs w:val="20"/>
          <w:color w:val="auto"/>
        </w:rPr>
      </w:pPr>
      <w:r>
        <w:rPr>
          <w:rFonts w:ascii="Arial" w:cs="Arial" w:eastAsia="Arial" w:hAnsi="Arial"/>
          <w:sz w:val="13"/>
          <w:szCs w:val="13"/>
          <w:color w:val="auto"/>
        </w:rPr>
        <w:t>AFG generally seeks to reduce its exposure to catastrophes (whether resulting from climate change or otherwise) through individual risk selection, including minimizing coastal and known fault-line exposures, and the purchase of reinsurance. AFG recorded net catastrophe losses of $137 million in 2025 primarily from California wildfires and storms in multiple regions of the United States.</w:t>
      </w:r>
    </w:p>
    <w:p>
      <w:pPr>
        <w:spacing w:after="0" w:line="153"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Catastrophe losses of $180 million in 2024 (before $2 million in net reinstatement premiums) resulted primarily from winter and convective storms in multiple regions of the United States in the first and second quarters, Hurricane Helene in the third quarter and Hurricane Milton in the fourth quarter.</w:t>
      </w:r>
    </w:p>
    <w:p>
      <w:pPr>
        <w:spacing w:after="0" w:line="139"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Catastrophe losses of $162 million in 2023 (before $3 million in net reinstatement premiums) resulted primarily from February and March storms across much of the United States in the first quarter and storms in multiple regions of the United States in the second, third and fourth quarters.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Commissions and Other Underwriting Expenses</w:t>
      </w:r>
    </w:p>
    <w:p>
      <w:pPr>
        <w:spacing w:after="0" w:line="10" w:lineRule="exact"/>
        <w:rPr>
          <w:sz w:val="20"/>
          <w:szCs w:val="20"/>
          <w:color w:val="auto"/>
        </w:rPr>
      </w:pPr>
    </w:p>
    <w:p>
      <w:pPr>
        <w:ind w:right="100"/>
        <w:spacing w:after="0" w:line="278" w:lineRule="auto"/>
        <w:rPr>
          <w:sz w:val="20"/>
          <w:szCs w:val="20"/>
          <w:color w:val="auto"/>
        </w:rPr>
      </w:pPr>
      <w:r>
        <w:rPr>
          <w:rFonts w:ascii="Arial" w:cs="Arial" w:eastAsia="Arial" w:hAnsi="Arial"/>
          <w:sz w:val="13"/>
          <w:szCs w:val="13"/>
          <w:color w:val="auto"/>
        </w:rPr>
        <w:t>AFG’s property and casualty commissions and other underwriting expenses (“U/W Exp”) were $2.03 billion in 2025 compared to $1.96 billion in 2024, an increase of $68 million (3%). AFG’s underwriting expense ratio was 28.8% in 2025 compared to 27.9% in 2024, an increase of 0.9 percentage points.</w:t>
      </w:r>
    </w:p>
    <w:p>
      <w:pPr>
        <w:spacing w:after="0" w:line="162"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AFG’s property and casualty U/W Exp were $1.96 billion in 2024 compared to $1.88 billion in 2023, an increase of $78 million (4%). AFG’s underwriting expense ratio was 27.9% in 2024 compared to 28.8% in 2023, a decrease of 0.9 percentage points.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Detail of AFG’s property and casualty commissions and other underwriting expenses and underwriting expense ratios is shown below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color w:val="auto"/>
              </w:rPr>
              <w:t>Year ended December 31,</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1"/>
                <w:szCs w:val="11"/>
                <w:color w:val="auto"/>
              </w:rPr>
              <w:t>Change in % of NEP</w:t>
            </w:r>
          </w:p>
        </w:tc>
      </w:tr>
      <w:tr>
        <w:trPr>
          <w:trHeight w:val="150"/>
        </w:trPr>
        <w:tc>
          <w:tcPr>
            <w:tcW w:w="2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783"/>
              <w:spacing w:after="0"/>
              <w:rPr>
                <w:sz w:val="20"/>
                <w:szCs w:val="20"/>
                <w:color w:val="auto"/>
              </w:rPr>
            </w:pPr>
            <w:r>
              <w:rPr>
                <w:rFonts w:ascii="Arial" w:cs="Arial" w:eastAsia="Arial" w:hAnsi="Arial"/>
                <w:sz w:val="11"/>
                <w:szCs w:val="11"/>
                <w:color w:val="auto"/>
                <w:w w:val="97"/>
              </w:rPr>
              <w:t>2024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1"/>
                <w:szCs w:val="11"/>
                <w:color w:val="auto"/>
                <w:w w:val="97"/>
              </w:rPr>
              <w:t>2023</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color w:val="auto"/>
              </w:rPr>
              <w:t>2024 - 2023</w:t>
            </w:r>
          </w:p>
        </w:tc>
      </w:tr>
      <w:tr>
        <w:trPr>
          <w:trHeight w:val="150"/>
        </w:trPr>
        <w:tc>
          <w:tcPr>
            <w:tcW w:w="28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color w:val="auto"/>
              </w:rPr>
              <w:t>U/W Exp</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color w:val="auto"/>
              </w:rPr>
              <w:t>% of NEP</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U/W Exp</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color w:val="auto"/>
              </w:rPr>
              <w:t>U/W Exp</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 of NEP</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r>
      <w:tr>
        <w:trPr>
          <w:trHeight w:val="164"/>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transportation</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Specialty casualty</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850</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27.3%</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Specialty financial</w:t>
            </w: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60" w:type="dxa"/>
            <w:vAlign w:val="bottom"/>
            <w:tcBorders>
              <w:bottom w:val="single" w:sz="8" w:color="auto"/>
            </w:tcBorders>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60" w:type="dxa"/>
            <w:vAlign w:val="bottom"/>
            <w:tcBorders>
              <w:bottom w:val="single" w:sz="8" w:color="auto"/>
            </w:tcBorders>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2"/>
        </w:trPr>
        <w:tc>
          <w:tcPr>
            <w:tcW w:w="28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1,961</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1,883</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28.8%</w:t>
            </w:r>
          </w:p>
        </w:tc>
        <w:tc>
          <w:tcPr>
            <w:tcW w:w="1220" w:type="dxa"/>
            <w:vAlign w:val="bottom"/>
            <w:gridSpan w:val="2"/>
          </w:tcPr>
          <w:p>
            <w:pPr>
              <w:jc w:val="right"/>
              <w:ind w:right="3"/>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b w:val="1"/>
          <w:bCs w:val="1"/>
          <w:i w:val="1"/>
          <w:iCs w:val="1"/>
          <w:color w:val="00274E"/>
        </w:rPr>
        <w:t xml:space="preserve">Property and transportation </w:t>
      </w:r>
      <w:r>
        <w:rPr>
          <w:rFonts w:ascii="Arial" w:cs="Arial" w:eastAsia="Arial" w:hAnsi="Arial"/>
          <w:sz w:val="13"/>
          <w:szCs w:val="13"/>
          <w:color w:val="000000"/>
        </w:rPr>
        <w:t>Commissions and other underwriting expenses as a percentage of net earned premiums decreased 1.9 percentage points in 2025 compared to 2024</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reflecting higher ceding commissions from reinsurers resulting from very strong crop insurance results, partially offset by higher costs for software and other expenses associated with certain initiatives in IT security, customer experience and data analytics.</w:t>
      </w:r>
    </w:p>
    <w:p>
      <w:pPr>
        <w:spacing w:after="0" w:line="176"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Commissions and other underwriting expenses as a percentage of net earned premiums decreased 1.0 percentage points in 2024 compared to 2023 reflecting the impact on the ratio of higher earned premiums, including in the crop business which has a lower commissions and other underwriting expense ratio compared to some of the other businesses in the Property and transportation sub-segment and lower average commission rates in the transportation businesses due to a change in the mix of business.</w:t>
      </w:r>
    </w:p>
    <w:p>
      <w:pPr>
        <w:spacing w:after="0" w:line="14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00274E"/>
        </w:rPr>
        <w:t xml:space="preserve">Specialty casualty </w:t>
      </w:r>
      <w:r>
        <w:rPr>
          <w:rFonts w:ascii="Arial" w:cs="Arial" w:eastAsia="Arial" w:hAnsi="Arial"/>
          <w:sz w:val="13"/>
          <w:szCs w:val="13"/>
          <w:color w:val="000000"/>
        </w:rPr>
        <w:t>Commissions and other underwriting expenses as a percentage of net earned premiums increased 2.3 percentage points in 2025 compared to 2024 reflecting an</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increase in average commission rates in certain excess and surplus businesses resulting from changes in reinsurance treaties, higher costs for software and other expenses associated with certain initiatives in IT security, customer experience and data analytics and changes in the mix of business.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500"/>
        <w:spacing w:after="0" w:line="297" w:lineRule="auto"/>
        <w:rPr>
          <w:sz w:val="20"/>
          <w:szCs w:val="20"/>
          <w:color w:val="auto"/>
        </w:rPr>
      </w:pPr>
      <w:r>
        <w:rPr>
          <w:rFonts w:ascii="Arial" w:cs="Arial" w:eastAsia="Arial" w:hAnsi="Arial"/>
          <w:sz w:val="13"/>
          <w:szCs w:val="13"/>
          <w:color w:val="auto"/>
        </w:rPr>
        <w:t>Commissions and other underwriting expenses as a percentage of net earned premiums decreased 0.5 percentage points in 2024 compared to 2023 reflecting a change in the mix of business towards products with lower commission rates, partially offset by lower ceding commissions received in the workers’ compensation businesses.</w:t>
      </w:r>
    </w:p>
    <w:p>
      <w:pPr>
        <w:spacing w:after="0" w:line="139"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i w:val="1"/>
          <w:iCs w:val="1"/>
          <w:color w:val="00274E"/>
        </w:rPr>
        <w:t xml:space="preserve">Specialty financial </w:t>
      </w:r>
      <w:r>
        <w:rPr>
          <w:rFonts w:ascii="Arial" w:cs="Arial" w:eastAsia="Arial" w:hAnsi="Arial"/>
          <w:sz w:val="13"/>
          <w:szCs w:val="13"/>
          <w:color w:val="000000"/>
        </w:rPr>
        <w:t>Commissions and other underwriting expenses as a percentage of net earned premiums increased 3.1 percentage points in 2025 compared to 2024 reflecting higher</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profit-based commissions to agents in the financial institutions business and higher costs for software and other expenses associated with certain initiatives in IT security, customer experience and data analytics, partially offset by a change in the mix of business towards products with lower commission rates.</w:t>
      </w:r>
    </w:p>
    <w:p>
      <w:pPr>
        <w:spacing w:after="0" w:line="172" w:lineRule="exact"/>
        <w:rPr>
          <w:sz w:val="20"/>
          <w:szCs w:val="20"/>
          <w:color w:val="auto"/>
        </w:rPr>
      </w:pPr>
    </w:p>
    <w:p>
      <w:pPr>
        <w:ind w:right="120"/>
        <w:spacing w:after="0" w:line="314" w:lineRule="auto"/>
        <w:rPr>
          <w:sz w:val="20"/>
          <w:szCs w:val="20"/>
          <w:color w:val="auto"/>
        </w:rPr>
      </w:pPr>
      <w:r>
        <w:rPr>
          <w:rFonts w:ascii="Arial" w:cs="Arial" w:eastAsia="Arial" w:hAnsi="Arial"/>
          <w:sz w:val="13"/>
          <w:szCs w:val="13"/>
          <w:color w:val="auto"/>
        </w:rPr>
        <w:t>Commissions and other underwriting expenses as a percentage of net earned premiums decreased 4.1 percentage points in 2024 compared to 2023 due primarily to the impact on the ratio of higher earned premiums in the financial institutions business and a change in the mix of business towards products with lower commission rates.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Net Investment Income</w:t>
      </w:r>
    </w:p>
    <w:p>
      <w:pPr>
        <w:spacing w:after="0" w:line="10"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color w:val="auto"/>
        </w:rPr>
        <w:t>Net investment income in AFG’s property and casualty insurance operations was $725 million in 2025 compared to $784 million in 2024, a decrease of $59 million (8%). Net investment income in AFG’s property and casualty insurance operations was $784 million in 2024 compared to $729 million in 2023, an increase of $55 million (8%). The average invested assets and overall yield earned on investments held by AFG’s property and casualty insurance operations are provided below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1"/>
                <w:szCs w:val="11"/>
                <w:color w:val="auto"/>
              </w:rPr>
              <w:t>Year ended December 31,</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703"/>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1"/>
                <w:szCs w:val="11"/>
                <w:color w:val="auto"/>
              </w:rPr>
              <w:t>2024 - 2023</w:t>
            </w: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ind w:left="200"/>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38"/>
              <w:spacing w:after="0"/>
              <w:rPr>
                <w:sz w:val="20"/>
                <w:szCs w:val="20"/>
                <w:color w:val="auto"/>
              </w:rPr>
            </w:pPr>
            <w:r>
              <w:rPr>
                <w:rFonts w:ascii="Arial" w:cs="Arial" w:eastAsia="Arial" w:hAnsi="Arial"/>
                <w:sz w:val="11"/>
                <w:szCs w:val="11"/>
                <w:color w:val="auto"/>
              </w:rPr>
              <w:t>Change</w:t>
            </w:r>
          </w:p>
        </w:tc>
        <w:tc>
          <w:tcPr>
            <w:tcW w:w="8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Arial" w:cs="Arial" w:eastAsia="Arial" w:hAnsi="Arial"/>
                <w:sz w:val="11"/>
                <w:szCs w:val="11"/>
                <w:color w:val="auto"/>
              </w:rPr>
              <w:t>% Change</w:t>
            </w:r>
          </w:p>
        </w:tc>
        <w:tc>
          <w:tcPr>
            <w:tcW w:w="180" w:type="dxa"/>
            <w:vAlign w:val="bottom"/>
          </w:tcPr>
          <w:p>
            <w:pPr>
              <w:spacing w:after="0"/>
              <w:rPr>
                <w:sz w:val="13"/>
                <w:szCs w:val="13"/>
                <w:color w:val="auto"/>
              </w:rPr>
            </w:pPr>
          </w:p>
        </w:tc>
        <w:tc>
          <w:tcPr>
            <w:tcW w:w="780" w:type="dxa"/>
            <w:vAlign w:val="bottom"/>
          </w:tcPr>
          <w:p>
            <w:pPr>
              <w:jc w:val="right"/>
              <w:ind w:right="218"/>
              <w:spacing w:after="0"/>
              <w:rPr>
                <w:sz w:val="20"/>
                <w:szCs w:val="20"/>
                <w:color w:val="auto"/>
              </w:rPr>
            </w:pPr>
            <w:r>
              <w:rPr>
                <w:rFonts w:ascii="Arial" w:cs="Arial" w:eastAsia="Arial" w:hAnsi="Arial"/>
                <w:sz w:val="11"/>
                <w:szCs w:val="11"/>
                <w:color w:val="auto"/>
              </w:rPr>
              <w:t>Change</w:t>
            </w:r>
          </w:p>
        </w:tc>
        <w:tc>
          <w:tcPr>
            <w:tcW w:w="80" w:type="dxa"/>
            <w:vAlign w:val="bottom"/>
          </w:tcPr>
          <w:p>
            <w:pPr>
              <w:spacing w:after="0"/>
              <w:rPr>
                <w:sz w:val="13"/>
                <w:szCs w:val="13"/>
                <w:color w:val="auto"/>
              </w:rPr>
            </w:pPr>
          </w:p>
        </w:tc>
        <w:tc>
          <w:tcPr>
            <w:tcW w:w="1060" w:type="dxa"/>
            <w:vAlign w:val="bottom"/>
          </w:tcPr>
          <w:p>
            <w:pPr>
              <w:jc w:val="right"/>
              <w:ind w:right="203"/>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5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investment income:</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280" w:type="dxa"/>
            <w:vAlign w:val="bottom"/>
          </w:tcPr>
          <w:p>
            <w:pPr>
              <w:ind w:left="180"/>
              <w:spacing w:after="0" w:line="128" w:lineRule="exact"/>
              <w:rPr>
                <w:sz w:val="20"/>
                <w:szCs w:val="20"/>
                <w:color w:val="auto"/>
              </w:rPr>
            </w:pPr>
            <w:r>
              <w:rPr>
                <w:rFonts w:ascii="Arial" w:cs="Arial" w:eastAsia="Arial" w:hAnsi="Arial"/>
                <w:sz w:val="13"/>
                <w:szCs w:val="13"/>
                <w:color w:val="auto"/>
              </w:rPr>
              <w:t>Net investment income, excluding alternative</w:t>
            </w: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656</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500"/>
              <w:spacing w:after="0"/>
              <w:rPr>
                <w:sz w:val="20"/>
                <w:szCs w:val="20"/>
                <w:color w:val="auto"/>
              </w:rPr>
            </w:pPr>
            <w:r>
              <w:rPr>
                <w:rFonts w:ascii="Arial" w:cs="Arial" w:eastAsia="Arial" w:hAnsi="Arial"/>
                <w:sz w:val="13"/>
                <w:szCs w:val="13"/>
                <w:color w:val="auto"/>
              </w:rPr>
              <w:t>626</w:t>
            </w:r>
          </w:p>
        </w:tc>
        <w:tc>
          <w:tcPr>
            <w:tcW w:w="100" w:type="dxa"/>
            <w:vAlign w:val="bottom"/>
          </w:tcPr>
          <w:p>
            <w:pPr>
              <w:spacing w:after="0"/>
              <w:rPr>
                <w:sz w:val="11"/>
                <w:szCs w:val="11"/>
                <w:color w:val="auto"/>
              </w:rPr>
            </w:pP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ind w:left="540"/>
              <w:spacing w:after="0"/>
              <w:rPr>
                <w:sz w:val="20"/>
                <w:szCs w:val="20"/>
                <w:color w:val="auto"/>
              </w:rPr>
            </w:pPr>
            <w:r>
              <w:rPr>
                <w:rFonts w:ascii="Arial" w:cs="Arial" w:eastAsia="Arial" w:hAnsi="Arial"/>
                <w:sz w:val="13"/>
                <w:szCs w:val="13"/>
                <w:color w:val="auto"/>
              </w:rPr>
              <w:t>566</w:t>
            </w:r>
          </w:p>
        </w:tc>
        <w:tc>
          <w:tcPr>
            <w:tcW w:w="80" w:type="dxa"/>
            <w:vAlign w:val="bottom"/>
          </w:tcPr>
          <w:p>
            <w:pPr>
              <w:spacing w:after="0"/>
              <w:rPr>
                <w:sz w:val="11"/>
                <w:szCs w:val="11"/>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auto"/>
              </w:rPr>
              <w:t>30</w:t>
            </w:r>
          </w:p>
        </w:tc>
        <w:tc>
          <w:tcPr>
            <w:tcW w:w="114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98"/>
              <w:spacing w:after="0"/>
              <w:rPr>
                <w:sz w:val="20"/>
                <w:szCs w:val="20"/>
                <w:color w:val="auto"/>
              </w:rPr>
            </w:pPr>
            <w:r>
              <w:rPr>
                <w:rFonts w:ascii="Arial" w:cs="Arial" w:eastAsia="Arial" w:hAnsi="Arial"/>
                <w:sz w:val="13"/>
                <w:szCs w:val="13"/>
                <w:color w:val="auto"/>
              </w:rPr>
              <w:t>60</w:t>
            </w:r>
          </w:p>
        </w:tc>
        <w:tc>
          <w:tcPr>
            <w:tcW w:w="1140" w:type="dxa"/>
            <w:vAlign w:val="bottom"/>
            <w:gridSpan w:val="2"/>
            <w:vMerge w:val="restart"/>
          </w:tcPr>
          <w:p>
            <w:pPr>
              <w:jc w:val="right"/>
              <w:ind w:right="3"/>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3280" w:type="dxa"/>
            <w:vAlign w:val="bottom"/>
          </w:tcPr>
          <w:p>
            <w:pPr>
              <w:ind w:left="320"/>
              <w:spacing w:after="0"/>
              <w:rPr>
                <w:sz w:val="20"/>
                <w:szCs w:val="20"/>
                <w:color w:val="auto"/>
              </w:rPr>
            </w:pPr>
            <w:r>
              <w:rPr>
                <w:rFonts w:ascii="Arial" w:cs="Arial" w:eastAsia="Arial" w:hAnsi="Arial"/>
                <w:sz w:val="13"/>
                <w:szCs w:val="13"/>
                <w:color w:val="auto"/>
              </w:rPr>
              <w:t>investments</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Alternative investments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3280" w:type="dxa"/>
            <w:vAlign w:val="bottom"/>
          </w:tcPr>
          <w:p>
            <w:pPr>
              <w:ind w:left="360"/>
              <w:spacing w:after="0"/>
              <w:rPr>
                <w:sz w:val="20"/>
                <w:szCs w:val="20"/>
                <w:color w:val="auto"/>
              </w:rPr>
            </w:pPr>
            <w:r>
              <w:rPr>
                <w:rFonts w:ascii="Arial" w:cs="Arial" w:eastAsia="Arial" w:hAnsi="Arial"/>
                <w:sz w:val="13"/>
                <w:szCs w:val="13"/>
                <w:color w:val="auto"/>
              </w:rPr>
              <w:t>Total net investment income</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725</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ind w:left="500"/>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Pr>
          <w:p>
            <w:pPr>
              <w:ind w:left="540"/>
              <w:spacing w:after="0"/>
              <w:rPr>
                <w:sz w:val="20"/>
                <w:szCs w:val="20"/>
                <w:color w:val="auto"/>
              </w:rPr>
            </w:pPr>
            <w:r>
              <w:rPr>
                <w:rFonts w:ascii="Arial" w:cs="Arial" w:eastAsia="Arial" w:hAnsi="Arial"/>
                <w:sz w:val="13"/>
                <w:szCs w:val="13"/>
                <w:color w:val="auto"/>
              </w:rPr>
              <w:t>729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(59)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55</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80" w:type="dxa"/>
            <w:vAlign w:val="bottom"/>
          </w:tcPr>
          <w:p>
            <w:pPr>
              <w:ind w:left="20"/>
              <w:spacing w:after="0"/>
              <w:rPr>
                <w:sz w:val="20"/>
                <w:szCs w:val="20"/>
                <w:color w:val="auto"/>
              </w:rPr>
            </w:pPr>
            <w:r>
              <w:rPr>
                <w:rFonts w:ascii="Arial" w:cs="Arial" w:eastAsia="Arial" w:hAnsi="Arial"/>
                <w:sz w:val="13"/>
                <w:szCs w:val="13"/>
                <w:color w:val="auto"/>
              </w:rPr>
              <w:t>Average invested assets (at amortized cost)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16,144</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ind w:left="320"/>
              <w:spacing w:after="0"/>
              <w:rPr>
                <w:sz w:val="20"/>
                <w:szCs w:val="20"/>
                <w:color w:val="auto"/>
              </w:rPr>
            </w:pPr>
            <w:r>
              <w:rPr>
                <w:rFonts w:ascii="Arial" w:cs="Arial" w:eastAsia="Arial" w:hAnsi="Arial"/>
                <w:sz w:val="13"/>
                <w:szCs w:val="13"/>
                <w:color w:val="auto"/>
              </w:rPr>
              <w:t>15,479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Pr>
          <w:p>
            <w:pPr>
              <w:ind w:left="360"/>
              <w:spacing w:after="0"/>
              <w:rPr>
                <w:sz w:val="20"/>
                <w:szCs w:val="20"/>
                <w:color w:val="auto"/>
              </w:rPr>
            </w:pPr>
            <w:r>
              <w:rPr>
                <w:rFonts w:ascii="Arial" w:cs="Arial" w:eastAsia="Arial" w:hAnsi="Arial"/>
                <w:sz w:val="13"/>
                <w:szCs w:val="13"/>
                <w:color w:val="auto"/>
              </w:rPr>
              <w:t>14,753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665</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726</w:t>
            </w:r>
          </w:p>
        </w:tc>
        <w:tc>
          <w:tcPr>
            <w:tcW w:w="1140" w:type="dxa"/>
            <w:vAlign w:val="bottom"/>
            <w:gridSpan w:val="2"/>
          </w:tcPr>
          <w:p>
            <w:pPr>
              <w:jc w:val="right"/>
              <w:ind w:right="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80" w:type="dxa"/>
            <w:vAlign w:val="bottom"/>
          </w:tcPr>
          <w:p>
            <w:pPr>
              <w:ind w:left="20"/>
              <w:spacing w:after="0"/>
              <w:rPr>
                <w:sz w:val="20"/>
                <w:szCs w:val="20"/>
                <w:color w:val="auto"/>
              </w:rPr>
            </w:pPr>
            <w:r>
              <w:rPr>
                <w:rFonts w:ascii="Arial" w:cs="Arial" w:eastAsia="Arial" w:hAnsi="Arial"/>
                <w:sz w:val="13"/>
                <w:szCs w:val="13"/>
                <w:color w:val="auto"/>
              </w:rPr>
              <w:t>Yield on fixed maturities (before investment expenses)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w w:val="92"/>
              </w:rPr>
              <w:t>5.02%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w w:val="97"/>
              </w:rPr>
              <w:t>4.67%</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80" w:type="dxa"/>
            <w:vAlign w:val="bottom"/>
          </w:tcPr>
          <w:p>
            <w:pPr>
              <w:ind w:left="20"/>
              <w:spacing w:after="0" w:line="128" w:lineRule="exact"/>
              <w:rPr>
                <w:sz w:val="20"/>
                <w:szCs w:val="20"/>
                <w:color w:val="auto"/>
              </w:rPr>
            </w:pPr>
            <w:r>
              <w:rPr>
                <w:rFonts w:ascii="Arial" w:cs="Arial" w:eastAsia="Arial" w:hAnsi="Arial"/>
                <w:sz w:val="13"/>
                <w:szCs w:val="13"/>
                <w:color w:val="auto"/>
                <w:w w:val="98"/>
              </w:rPr>
              <w:t>Yield (net investment income as a % of average invested</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4.49%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ind w:left="500"/>
              <w:spacing w:after="0"/>
              <w:rPr>
                <w:sz w:val="20"/>
                <w:szCs w:val="20"/>
                <w:color w:val="auto"/>
              </w:rPr>
            </w:pPr>
            <w:r>
              <w:rPr>
                <w:rFonts w:ascii="Arial" w:cs="Arial" w:eastAsia="Arial" w:hAnsi="Arial"/>
                <w:sz w:val="13"/>
                <w:szCs w:val="13"/>
                <w:color w:val="auto"/>
                <w:w w:val="92"/>
              </w:rPr>
              <w:t>5.06%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ind w:left="540"/>
              <w:spacing w:after="0"/>
              <w:rPr>
                <w:sz w:val="20"/>
                <w:szCs w:val="20"/>
                <w:color w:val="auto"/>
              </w:rPr>
            </w:pPr>
            <w:r>
              <w:rPr>
                <w:rFonts w:ascii="Arial" w:cs="Arial" w:eastAsia="Arial" w:hAnsi="Arial"/>
                <w:sz w:val="13"/>
                <w:szCs w:val="13"/>
                <w:color w:val="auto"/>
                <w:w w:val="97"/>
              </w:rPr>
              <w:t>4.94%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(0.57%)</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3"/>
                <w:szCs w:val="13"/>
                <w:color w:val="auto"/>
              </w:rPr>
              <w:t>assets)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The decrease in the property and casualty insurance segment’s net investment income in 2025 compared to 2024 reflects the impact of lower returns on AFG’s alternative investments portfolio (partnerships and similar investments and AFG-managed CLOs), partially offset by higher balances of invested assets and higher returns on fixed income investments. The property and casualty insurance segment’s overall yield on investments (net investment income as a percentage of average invested assets) was 4.49% in 2025 compared to 5.06% in 2024, a decrease of 0.57 percentage points. The annualized return earned on alternative investments was 2.5% in 2025 compared to 6.1% in 2024.</w:t>
      </w:r>
    </w:p>
    <w:p>
      <w:pPr>
        <w:spacing w:after="0" w:line="153"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increase in net investment income in 2024 compared to 2023 reflects the impact of higher balances of invested assets and higher returns on fixed maturity investments, partially offset by lower returns on AFG’s alternative investments portfolio. The property and casualty insurance segment’s overall yield on investments was 5.06% in 2024 compared to 4.94% in 2023, an increase of 0.12 percentage points. The annualized return earned on alternative investments was 6.1% in 2024 compared to 7.0% in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Property and Casualty Other Income and Expenses, Net</w:t>
      </w:r>
    </w:p>
    <w:p>
      <w:pPr>
        <w:spacing w:after="0" w:line="21"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Other income and expenses, net for AFG’s property and casualty insurance operations was a net expense of $67 million in 2025, $76 million in 2024 and $56 million in 2023, an improvement of $9 million (12%) in 2025 compared to 2024 and an increase of $20 million (36%) in 2024 compared to 2023. The table below details the items included in other income and expenses, net for AFG’s property and casualty insurance operations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3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7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2025</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color w:val="auto"/>
              </w:rPr>
              <w:t>2023</w:t>
            </w:r>
          </w:p>
        </w:tc>
      </w:tr>
      <w:tr>
        <w:trPr>
          <w:trHeight w:val="164"/>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Other expenses: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170"/>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intangibles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7320" w:type="dxa"/>
            <w:vAlign w:val="bottom"/>
          </w:tcPr>
          <w:p>
            <w:pPr>
              <w:ind w:left="220"/>
              <w:spacing w:after="0"/>
              <w:rPr>
                <w:sz w:val="20"/>
                <w:szCs w:val="20"/>
                <w:color w:val="auto"/>
              </w:rPr>
            </w:pPr>
            <w:r>
              <w:rPr>
                <w:rFonts w:ascii="Arial" w:cs="Arial" w:eastAsia="Arial" w:hAnsi="Arial"/>
                <w:sz w:val="13"/>
                <w:szCs w:val="13"/>
                <w:color w:val="auto"/>
              </w:rPr>
              <w:t>Interest expense on funds withheld</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71"/>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 expenses related to CRS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73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other expenses</w:t>
            </w:r>
          </w:p>
        </w:tc>
        <w:tc>
          <w:tcPr>
            <w:tcW w:w="8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2"/>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Other income and expenses, net</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(67)</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20"/>
        </w:trPr>
        <w:tc>
          <w:tcPr>
            <w:tcW w:w="7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$7 million in 2025 and $9 million of expenses in 2024 and 2023 related to certain technology initiatives.</w:t>
      </w:r>
    </w:p>
    <w:p>
      <w:pPr>
        <w:spacing w:after="0" w:line="201"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The increase in other income in 2025 compared to 2024 and the decrease in other income in 2024 compared to 2023 reflects death benefits received on a company-owned life insurance policy in 2025 and 2023. The $5 million (10%) decrease in interest expense on funds withheld in 2025 compared to 2024 reflects the impact of lower balances and lower interest rates paid on funds withheld.</w:t>
      </w:r>
    </w:p>
    <w:p>
      <w:pPr>
        <w:spacing w:after="0" w:line="163"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The higher amortization of intangibles in 2024 compared to 2023 reflects the acquisition of CRS in July 2023. The $9 million (22%) increase in interest expense on funds withheld in 2024 compared to 2023 reflects the impact of higher balances and higher interest rates paid on funds withheld.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Other and Unallocated — Results of Operations</w:t>
      </w:r>
    </w:p>
    <w:p>
      <w:pPr>
        <w:spacing w:after="0" w:line="17"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AFG’s net GAAP pretax loss outside of its property and casualty insurance segment (excluding realized gains and losses) totaled $225 million in 2025 compared to $204 million in 2024, an increase of $21 million (10%). AFG’s net core pretax loss outside of its property and casualty insurance segment (excluding realized gains and losses) totaled $200 million in 2025 compared to $190 million in 2024, an increase of $10 million (5%).</w:t>
      </w:r>
    </w:p>
    <w:p>
      <w:pPr>
        <w:spacing w:after="0" w:line="153" w:lineRule="exact"/>
        <w:rPr>
          <w:sz w:val="20"/>
          <w:szCs w:val="20"/>
          <w:color w:val="auto"/>
        </w:rPr>
      </w:pPr>
    </w:p>
    <w:p>
      <w:pPr>
        <w:jc w:val="both"/>
        <w:ind w:right="140"/>
        <w:spacing w:after="0" w:line="276" w:lineRule="auto"/>
        <w:rPr>
          <w:sz w:val="20"/>
          <w:szCs w:val="20"/>
          <w:color w:val="auto"/>
        </w:rPr>
      </w:pPr>
      <w:r>
        <w:rPr>
          <w:rFonts w:ascii="Arial" w:cs="Arial" w:eastAsia="Arial" w:hAnsi="Arial"/>
          <w:sz w:val="13"/>
          <w:szCs w:val="13"/>
          <w:color w:val="auto"/>
        </w:rPr>
        <w:t>AFG’s net GAAP pretax loss outside of its property and casualty insurance segment (excluding realized gains and losses) totaled $204 million in 2024 compared to $191 million in 2023, an increase of $13 million (7%). AFG’s net core pretax loss outside of its property and casualty insurance segment (excluding realized gains and losses) totaled $190 million in 2024 compared to $177 million in 2023, an increase of $13 million (7%).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right="500"/>
        <w:spacing w:after="0" w:line="289" w:lineRule="auto"/>
        <w:rPr>
          <w:sz w:val="20"/>
          <w:szCs w:val="20"/>
          <w:color w:val="auto"/>
        </w:rPr>
      </w:pPr>
      <w:r>
        <w:rPr>
          <w:rFonts w:ascii="Arial" w:cs="Arial" w:eastAsia="Arial" w:hAnsi="Arial"/>
          <w:sz w:val="13"/>
          <w:szCs w:val="13"/>
          <w:color w:val="auto"/>
        </w:rPr>
        <w:t>The following table details AFG’s GAAP and core loss before income taxes from operations outside of its property and casualty insurance segment in 2025, 2024 and 2023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Year ended December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color w:val="auto"/>
              </w:rPr>
              <w:t>% Change</w:t>
            </w:r>
          </w:p>
        </w:tc>
        <w:tc>
          <w:tcPr>
            <w:tcW w:w="940" w:type="dxa"/>
            <w:vAlign w:val="bottom"/>
            <w:tcBorders>
              <w:bottom w:val="single" w:sz="8" w:color="auto"/>
            </w:tcBorders>
          </w:tcPr>
          <w:p>
            <w:pPr>
              <w:spacing w:after="0"/>
              <w:rPr>
                <w:sz w:val="13"/>
                <w:szCs w:val="13"/>
                <w:color w:val="auto"/>
              </w:rPr>
            </w:pPr>
          </w:p>
        </w:tc>
      </w:tr>
      <w:tr>
        <w:trPr>
          <w:trHeight w:val="150"/>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97"/>
              <w:spacing w:after="0"/>
              <w:rPr>
                <w:sz w:val="20"/>
                <w:szCs w:val="20"/>
                <w:color w:val="auto"/>
              </w:rPr>
            </w:pPr>
            <w:r>
              <w:rPr>
                <w:rFonts w:ascii="Arial" w:cs="Arial" w:eastAsia="Arial" w:hAnsi="Arial"/>
                <w:sz w:val="11"/>
                <w:szCs w:val="11"/>
                <w:color w:val="auto"/>
              </w:rPr>
              <w:t>2023</w:t>
            </w:r>
          </w:p>
        </w:tc>
        <w:tc>
          <w:tcPr>
            <w:tcW w:w="1280" w:type="dxa"/>
            <w:vAlign w:val="bottom"/>
            <w:gridSpan w:val="2"/>
          </w:tcPr>
          <w:p>
            <w:pPr>
              <w:jc w:val="right"/>
              <w:ind w:right="239"/>
              <w:spacing w:after="0"/>
              <w:rPr>
                <w:sz w:val="20"/>
                <w:szCs w:val="20"/>
                <w:color w:val="auto"/>
              </w:rPr>
            </w:pPr>
            <w:r>
              <w:rPr>
                <w:rFonts w:ascii="Arial" w:cs="Arial" w:eastAsia="Arial" w:hAnsi="Arial"/>
                <w:sz w:val="11"/>
                <w:szCs w:val="11"/>
                <w:color w:val="auto"/>
              </w:rPr>
              <w:t>2025 - 2024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37"/>
              <w:spacing w:after="0"/>
              <w:rPr>
                <w:sz w:val="20"/>
                <w:szCs w:val="20"/>
                <w:color w:val="auto"/>
              </w:rPr>
            </w:pPr>
            <w:r>
              <w:rPr>
                <w:rFonts w:ascii="Arial" w:cs="Arial" w:eastAsia="Arial" w:hAnsi="Arial"/>
                <w:sz w:val="11"/>
                <w:szCs w:val="11"/>
                <w:color w:val="auto"/>
              </w:rPr>
              <w:t>2024 - 2023</w:t>
            </w:r>
          </w:p>
        </w:tc>
      </w:tr>
      <w:tr>
        <w:trPr>
          <w:trHeight w:val="15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69"/>
        </w:trPr>
        <w:tc>
          <w:tcPr>
            <w:tcW w:w="6160" w:type="dxa"/>
            <w:vAlign w:val="bottom"/>
          </w:tcPr>
          <w:p>
            <w:pPr>
              <w:ind w:left="180"/>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6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 — P&amp;C fees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income</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6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27"/>
        </w:trPr>
        <w:tc>
          <w:tcPr>
            <w:tcW w:w="6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9"/>
        </w:trPr>
        <w:tc>
          <w:tcPr>
            <w:tcW w:w="6160" w:type="dxa"/>
            <w:vAlign w:val="bottom"/>
          </w:tcPr>
          <w:p>
            <w:pPr>
              <w:ind w:left="140"/>
              <w:spacing w:after="0"/>
              <w:rPr>
                <w:sz w:val="20"/>
                <w:szCs w:val="20"/>
                <w:color w:val="auto"/>
              </w:rPr>
            </w:pPr>
            <w:r>
              <w:rPr>
                <w:rFonts w:ascii="Arial" w:cs="Arial" w:eastAsia="Arial" w:hAnsi="Arial"/>
                <w:sz w:val="13"/>
                <w:szCs w:val="13"/>
                <w:color w:val="auto"/>
              </w:rPr>
              <w:t>P&amp;C — loss adjustment and underwriting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6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expense — expenses associated with P&amp;C fees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expenses (*)</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gridSpan w:val="3"/>
          </w:tcPr>
          <w:p>
            <w:pPr>
              <w:ind w:left="8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Costs and expenses, excluding interest charges on borrowed money</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6160" w:type="dxa"/>
            <w:vAlign w:val="bottom"/>
          </w:tcPr>
          <w:p>
            <w:pPr>
              <w:ind w:left="20"/>
              <w:spacing w:after="0"/>
              <w:rPr>
                <w:sz w:val="20"/>
                <w:szCs w:val="20"/>
                <w:color w:val="auto"/>
              </w:rPr>
            </w:pPr>
            <w:r>
              <w:rPr>
                <w:rFonts w:ascii="Arial" w:cs="Arial" w:eastAsia="Arial" w:hAnsi="Arial"/>
                <w:sz w:val="13"/>
                <w:szCs w:val="13"/>
                <w:color w:val="auto"/>
              </w:rPr>
              <w:t>Loss before income taxes, excluding realized gains and losses and interest charges on borrowed money</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6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charges on borrowed money</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160" w:type="dxa"/>
            <w:vAlign w:val="bottom"/>
          </w:tcPr>
          <w:p>
            <w:pPr>
              <w:ind w:left="20"/>
              <w:spacing w:after="0"/>
              <w:rPr>
                <w:sz w:val="20"/>
                <w:szCs w:val="20"/>
                <w:color w:val="auto"/>
              </w:rPr>
            </w:pPr>
            <w:r>
              <w:rPr>
                <w:rFonts w:ascii="Arial" w:cs="Arial" w:eastAsia="Arial" w:hAnsi="Arial"/>
                <w:sz w:val="13"/>
                <w:szCs w:val="13"/>
                <w:b w:val="1"/>
                <w:bCs w:val="1"/>
                <w:color w:val="auto"/>
              </w:rPr>
              <w:t>Core loss before income taxes, excluding realized gains and losses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non-core special A&amp;E charge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Pretax non-core gain on retirement of debt</w:t>
            </w: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520" w:type="dxa"/>
            <w:vAlign w:val="bottom"/>
            <w:gridSpan w:val="3"/>
          </w:tcPr>
          <w:p>
            <w:pPr>
              <w:ind w:left="8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87"/>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GAAP loss before income taxes, excluding realized gains and losses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10" w:lineRule="exact"/>
        <w:rPr>
          <w:sz w:val="20"/>
          <w:szCs w:val="20"/>
          <w:color w:val="auto"/>
        </w:rPr>
      </w:pPr>
    </w:p>
    <w:p>
      <w:pPr>
        <w:ind w:left="320" w:right="360" w:hanging="315"/>
        <w:spacing w:after="0" w:line="314" w:lineRule="auto"/>
        <w:tabs>
          <w:tab w:leader="none" w:pos="313"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Excludes pretax non-core special A&amp;E charges of $25 million, $14 million and $15 million in 2025, 2024 and 2023, respectively, and a pretax non-core gain on retirement of debt of $1 million in 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Net Investment Income</w:t>
      </w:r>
    </w:p>
    <w:p>
      <w:pPr>
        <w:spacing w:after="0" w:line="10" w:lineRule="exact"/>
        <w:rPr>
          <w:sz w:val="20"/>
          <w:szCs w:val="20"/>
          <w:color w:val="auto"/>
        </w:rPr>
      </w:pPr>
    </w:p>
    <w:p>
      <w:pPr>
        <w:ind w:right="440"/>
        <w:spacing w:after="0" w:line="275" w:lineRule="auto"/>
        <w:rPr>
          <w:sz w:val="20"/>
          <w:szCs w:val="20"/>
          <w:color w:val="auto"/>
        </w:rPr>
      </w:pPr>
      <w:r>
        <w:rPr>
          <w:rFonts w:ascii="Arial" w:cs="Arial" w:eastAsia="Arial" w:hAnsi="Arial"/>
          <w:sz w:val="13"/>
          <w:szCs w:val="13"/>
          <w:color w:val="auto"/>
        </w:rPr>
        <w:t>AFG recorded net investment income on investments held outside of its property and casualty insurance segment of $25 million, $29 million and $40 million in 2025, 2024 and 2023, respectively. The $4 million (14%) decrease in 2025 compared to 2024 reflects lower income on fixed maturity investments. The $11 million (28%) decrease in 2024 compared to 2023 reflects the impact of lower average investment balances.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P&amp;C Fees and Related Expenses</w:t>
      </w:r>
    </w:p>
    <w:p>
      <w:pPr>
        <w:spacing w:after="0" w:line="1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2025, AFG collected $98 million in fees for these services compared to $100 million in 2024 and $91 million in 2023. Management views this fee income, net of the $68 million in 2025, $60 million in 2024 and $57 million in 2023, in expenses incurred to generate such fees, as a reduction in the cost of underwriting its property and casualty insurance policies. In addition, AFG’s property and casualty insurance businesses earned $11 million in 2024 and $34 million in 2023 in fees as compensation for providing services related to the administration of crop insurance business generated by CRS for its former owner prior to the acquisition date.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Income</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 xml:space="preserve">Other income in the table above includes $11 million in 2025, $13 million in 2024 and $16 million in 2023,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3"/>
          <w:szCs w:val="13"/>
          <w:i w:val="1"/>
          <w:iCs w:val="1"/>
          <w:color w:val="auto"/>
        </w:rPr>
        <w:t>“Results of Operations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Segmented Statement of Earnings.” </w:t>
      </w:r>
      <w:r>
        <w:rPr>
          <w:rFonts w:ascii="Arial" w:cs="Arial" w:eastAsia="Arial" w:hAnsi="Arial"/>
          <w:sz w:val="13"/>
          <w:szCs w:val="13"/>
          <w:color w:val="auto"/>
        </w:rPr>
        <w:t>Excluding amounts eliminated in consolidation, AFG recorded other income outside of its property and casualty insurance segment of $5 million in 2025,</w:t>
      </w:r>
      <w:r>
        <w:rPr>
          <w:rFonts w:ascii="Arial" w:cs="Arial" w:eastAsia="Arial" w:hAnsi="Arial"/>
          <w:sz w:val="13"/>
          <w:szCs w:val="13"/>
          <w:i w:val="1"/>
          <w:iCs w:val="1"/>
          <w:color w:val="auto"/>
        </w:rPr>
        <w:t xml:space="preserve"> </w:t>
      </w:r>
      <w:r>
        <w:rPr>
          <w:rFonts w:ascii="Arial" w:cs="Arial" w:eastAsia="Arial" w:hAnsi="Arial"/>
          <w:sz w:val="13"/>
          <w:szCs w:val="13"/>
          <w:color w:val="auto"/>
        </w:rPr>
        <w:t>2024 and 2023.</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Other Expenses</w:t>
      </w:r>
    </w:p>
    <w:p>
      <w:pPr>
        <w:spacing w:after="0" w:line="21" w:lineRule="exact"/>
        <w:rPr>
          <w:sz w:val="20"/>
          <w:szCs w:val="20"/>
          <w:color w:val="auto"/>
        </w:rPr>
      </w:pPr>
    </w:p>
    <w:p>
      <w:pPr>
        <w:ind w:right="540"/>
        <w:spacing w:after="0" w:line="278" w:lineRule="auto"/>
        <w:rPr>
          <w:sz w:val="20"/>
          <w:szCs w:val="20"/>
          <w:color w:val="auto"/>
        </w:rPr>
      </w:pPr>
      <w:r>
        <w:rPr>
          <w:rFonts w:ascii="Arial" w:cs="Arial" w:eastAsia="Arial" w:hAnsi="Arial"/>
          <w:sz w:val="13"/>
          <w:szCs w:val="13"/>
          <w:color w:val="auto"/>
        </w:rPr>
        <w:t>Excluding the non-core special A&amp;E charges discussed below, AFG’s holding companies and other operations outside of its property and casualty insurance segment recorded other expenses of $161 million in both 2025 and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Excluding the non-core special A&amp;E charges and the non-core gain on retirement of debt discussed below, AFG’s holding companies and other operations outside of its property and casualty insurance segment recorded other expenses of $161 million in 2024 compared to $162 million in 2023, a decrease of $1 million (1%).</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Interest Charges on Borrowed Money</w:t>
      </w:r>
    </w:p>
    <w:p>
      <w:pPr>
        <w:spacing w:after="0" w:line="21"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AFG’s holding companies and other operations outside of its property and casualty insurance segment recorded interest expense of $80 million in 2025 and $76 million in both 2024 and 2023. The $4 million (5%) increase in interest expense in 2025 compared to 2024 and 2023 reflects the issuance of $350 million principal amount of 5.00% Senior Notes in September 2025.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Special A&amp;E Charges</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 xml:space="preserve">As a result of the in-depth internal reviews of A&amp;E exposures discussed under </w:t>
      </w:r>
      <w:r>
        <w:rPr>
          <w:rFonts w:ascii="Arial" w:cs="Arial" w:eastAsia="Arial" w:hAnsi="Arial"/>
          <w:sz w:val="13"/>
          <w:szCs w:val="13"/>
          <w:i w:val="1"/>
          <w:iCs w:val="1"/>
          <w:color w:val="auto"/>
        </w:rPr>
        <w:t>“Uncertainties — Asbestos and Environmental-related (“A&amp;E”) Insurance Reserves,”</w:t>
      </w:r>
      <w:r>
        <w:rPr>
          <w:rFonts w:ascii="Arial" w:cs="Arial" w:eastAsia="Arial" w:hAnsi="Arial"/>
          <w:sz w:val="13"/>
          <w:szCs w:val="13"/>
          <w:color w:val="auto"/>
        </w:rPr>
        <w:t xml:space="preserve"> AFG’s holding companies and other operations outside of its property and casualty insurance segment recorded pretax non-core special charges of $25 million in 2025, $14 million in 2024 and $15 million in 2023 to increase liabilities related to the A&amp;E exposures of AFG’s former railroad and manufacturing operations. The charges in all periods reflect changes in the scope and costs of investigation and an increase in estimated remediation costs at a limited number of sites. AFG has also increased its reserve for asbestos and toxic substance exposures arising out of these operations. Total charges recorded to increase liabilities for A&amp;E exposures of AFG’s former railroad and manufacturing operations (included in other expenses) were $35 million in 2025, $24 million in 2024, and $22 million in 2023.</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Holding Company and Other — Gain on Retirement of Debt</w:t>
      </w:r>
    </w:p>
    <w:p>
      <w:pPr>
        <w:spacing w:after="0" w:line="21" w:lineRule="exact"/>
        <w:rPr>
          <w:sz w:val="20"/>
          <w:szCs w:val="20"/>
          <w:color w:val="auto"/>
        </w:rPr>
      </w:pPr>
    </w:p>
    <w:p>
      <w:pPr>
        <w:ind w:right="160"/>
        <w:spacing w:after="0" w:line="278" w:lineRule="auto"/>
        <w:rPr>
          <w:sz w:val="20"/>
          <w:szCs w:val="20"/>
          <w:color w:val="auto"/>
        </w:rPr>
      </w:pPr>
      <w:r>
        <w:rPr>
          <w:rFonts w:ascii="Arial" w:cs="Arial" w:eastAsia="Arial" w:hAnsi="Arial"/>
          <w:sz w:val="13"/>
          <w:szCs w:val="13"/>
          <w:color w:val="auto"/>
        </w:rPr>
        <w:t>During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Gains (Losses) on Securities</w:t>
      </w:r>
    </w:p>
    <w:p>
      <w:pPr>
        <w:spacing w:after="0" w:line="17"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AFG’s realized gains (losses) on securities were net gains of $10 million in 2025 compared to less than $1 million in 2024, an increase of $10 million. AFG’s consolidated realized gains (losses) on securities were net gains of less than $1 million in 2024 compared to net losses of $36 million in 2023, a change of $36 million. Realized gains (losses) on securities consisted of the following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0"/>
        </w:trPr>
        <w:tc>
          <w:tcPr>
            <w:tcW w:w="75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2023</w:t>
            </w:r>
          </w:p>
        </w:tc>
      </w:tr>
      <w:tr>
        <w:trPr>
          <w:trHeight w:val="153"/>
        </w:trPr>
        <w:tc>
          <w:tcPr>
            <w:tcW w:w="7540" w:type="dxa"/>
            <w:vAlign w:val="bottom"/>
            <w:shd w:val="clear" w:color="auto" w:fill="CCEEFF"/>
          </w:tcPr>
          <w:p>
            <w:pPr>
              <w:jc w:val="center"/>
              <w:ind w:right="4356"/>
              <w:spacing w:after="0"/>
              <w:rPr>
                <w:sz w:val="20"/>
                <w:szCs w:val="20"/>
                <w:color w:val="auto"/>
              </w:rPr>
            </w:pPr>
            <w:r>
              <w:rPr>
                <w:rFonts w:ascii="Arial" w:cs="Arial" w:eastAsia="Arial" w:hAnsi="Arial"/>
                <w:sz w:val="13"/>
                <w:szCs w:val="13"/>
                <w:color w:val="auto"/>
                <w:w w:val="97"/>
              </w:rPr>
              <w:t>Realized gains (losses) before impairment allowances: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Disposals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the fair value of equity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Change in the fair value of derivatives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75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51"/>
        </w:trPr>
        <w:tc>
          <w:tcPr>
            <w:tcW w:w="7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7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allowance for impairments on securities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2"/>
        </w:trPr>
        <w:tc>
          <w:tcPr>
            <w:tcW w:w="7540" w:type="dxa"/>
            <w:vAlign w:val="bottom"/>
          </w:tcPr>
          <w:p>
            <w:pPr>
              <w:jc w:val="center"/>
              <w:ind w:right="4356"/>
              <w:spacing w:after="0"/>
              <w:rPr>
                <w:sz w:val="20"/>
                <w:szCs w:val="20"/>
                <w:color w:val="auto"/>
              </w:rPr>
            </w:pPr>
            <w:r>
              <w:rPr>
                <w:rFonts w:ascii="Arial" w:cs="Arial" w:eastAsia="Arial" w:hAnsi="Arial"/>
                <w:sz w:val="13"/>
                <w:szCs w:val="13"/>
                <w:color w:val="auto"/>
                <w:w w:val="98"/>
              </w:rPr>
              <w:t>Realized gains (losses) on securities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
        </w:trPr>
        <w:tc>
          <w:tcPr>
            <w:tcW w:w="7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$33 million net realized loss from disposals in 2023 includes losses of $15 million from the sale of investments in banks and $5 million from the sale of municipal bonds.</w:t>
      </w:r>
    </w:p>
    <w:p>
      <w:pPr>
        <w:spacing w:after="0" w:line="201"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The $31 million net realized gain from the change in the fair value of equity securities in 2025 includes gains of $16 million on investments in banks and financing companies and $14 million on investments in media companies, partially offset by losses of $7 million on investments in healthcare companies.</w:t>
      </w:r>
    </w:p>
    <w:p>
      <w:pPr>
        <w:spacing w:after="0" w:line="139"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The $32 million net realized gain from the change in the fair value of equity securities in 2024 includes gains of $21 million on investments in banks and financing companies, $8 million on investments in natural gas companies and $5 million on investments in technology companies, partially offset by losses of $6 million on investments in energy companies.</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The $10 million net realized gain from the change in the fair value of equity securities in 2023 includes gains of $8 million on investments in retail companies, $7 million on investments in banks and financing companies, $5 million on investments in capital goods companies and $4 million on investments in natural gas companies, partially offset by losses of $8 million on investments in media companies and $6 million on investments in energy companies.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$16 million change in allowance for impairments on securities in 2025 reflects $7 million in new allowances on fixed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maturities related to commercial real estate funds and additional $7 million of changes in allowances for various securities and mortgage loans that were previously impaired.</w:t>
      </w:r>
    </w:p>
    <w:p>
      <w:pPr>
        <w:spacing w:after="0" w:line="201"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The $27 million change in allowance for impairments on securities in 2024 relates primarily to allowances taken on corporate bonds from a single issuer in the financial sector and fixed maturities from a single issuer in the retail sector.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Realized Gain (Loss) on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During the third quarter of 2025, AFG recorded a $3 million pretax realized gain resulting from the remeasurement of its existing investment in Radion to fair value (see </w:t>
      </w:r>
      <w:r>
        <w:rPr>
          <w:rFonts w:ascii="Arial" w:cs="Arial" w:eastAsia="Arial" w:hAnsi="Arial"/>
          <w:sz w:val="13"/>
          <w:szCs w:val="13"/>
          <w:i w:val="1"/>
          <w:iCs w:val="1"/>
          <w:color w:val="auto"/>
        </w:rPr>
        <w:t>Note B —</w:t>
      </w:r>
    </w:p>
    <w:p>
      <w:pPr>
        <w:ind w:right="160"/>
        <w:spacing w:after="0" w:line="244" w:lineRule="auto"/>
        <w:rPr>
          <w:sz w:val="20"/>
          <w:szCs w:val="20"/>
          <w:color w:val="auto"/>
        </w:rPr>
      </w:pPr>
      <w:r>
        <w:rPr>
          <w:rFonts w:ascii="Arial" w:cs="Arial" w:eastAsia="Arial" w:hAnsi="Arial"/>
          <w:sz w:val="13"/>
          <w:szCs w:val="13"/>
          <w:i w:val="1"/>
          <w:iCs w:val="1"/>
          <w:color w:val="auto"/>
        </w:rPr>
        <w:t xml:space="preserve">“Acquisitions of Businesses” </w:t>
      </w:r>
      <w:r>
        <w:rPr>
          <w:rFonts w:ascii="Arial" w:cs="Arial" w:eastAsia="Arial" w:hAnsi="Arial"/>
          <w:sz w:val="13"/>
          <w:szCs w:val="13"/>
          <w:color w:val="auto"/>
        </w:rPr>
        <w:t>to the financial statements) and a $2 million pretax realized loss on the write-off of certain intangible assets (see</w:t>
      </w:r>
      <w:r>
        <w:rPr>
          <w:rFonts w:ascii="Arial" w:cs="Arial" w:eastAsia="Arial" w:hAnsi="Arial"/>
          <w:sz w:val="13"/>
          <w:szCs w:val="13"/>
          <w:i w:val="1"/>
          <w:iCs w:val="1"/>
          <w:color w:val="auto"/>
        </w:rPr>
        <w:t xml:space="preserve"> Note H — “Goodwill and Other Intangibles” </w:t>
      </w:r>
      <w:r>
        <w:rPr>
          <w:rFonts w:ascii="Arial" w:cs="Arial" w:eastAsia="Arial" w:hAnsi="Arial"/>
          <w:sz w:val="13"/>
          <w:szCs w:val="13"/>
          <w:color w:val="auto"/>
        </w:rPr>
        <w:t>to</w:t>
      </w:r>
      <w:r>
        <w:rPr>
          <w:rFonts w:ascii="Arial" w:cs="Arial" w:eastAsia="Arial" w:hAnsi="Arial"/>
          <w:sz w:val="13"/>
          <w:szCs w:val="13"/>
          <w:i w:val="1"/>
          <w:iCs w:val="1"/>
          <w:color w:val="auto"/>
        </w:rPr>
        <w:t xml:space="preserve"> </w:t>
      </w:r>
      <w:r>
        <w:rPr>
          <w:rFonts w:ascii="Arial" w:cs="Arial" w:eastAsia="Arial" w:hAnsi="Arial"/>
          <w:sz w:val="13"/>
          <w:szCs w:val="13"/>
          <w:color w:val="auto"/>
        </w:rPr>
        <w:t>the financial statements)</w:t>
      </w:r>
      <w:r>
        <w:rPr>
          <w:rFonts w:ascii="Arial" w:cs="Arial" w:eastAsia="Arial" w:hAnsi="Arial"/>
          <w:sz w:val="13"/>
          <w:szCs w:val="13"/>
          <w:i w:val="1"/>
          <w:i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In the second quarter of 2024, AFG recorded $4 million in net tax expense related to a pending IRS settlement regarding the sale of a subsidiary in a prior year.</w:t>
      </w:r>
    </w:p>
    <w:p>
      <w:pPr>
        <w:spacing w:after="0" w:line="201"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 xml:space="preserve">In the third quarter of 2023, AFG recorded a realized loss on subsidiary of $4 million, consisting of a $26 million goodwill impairment charge, partially offset by a $22 million reduction in the fair value of a contingent consideration liability, both related to AFG’s investment in Verikai. See </w:t>
      </w:r>
      <w:r>
        <w:rPr>
          <w:rFonts w:ascii="Arial" w:cs="Arial" w:eastAsia="Arial" w:hAnsi="Arial"/>
          <w:sz w:val="13"/>
          <w:szCs w:val="13"/>
          <w:i w:val="1"/>
          <w:iCs w:val="1"/>
          <w:color w:val="auto"/>
        </w:rPr>
        <w:t>Note D — “Fair Value Measurements”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 H — “Goodwill and Other Intangibles”</w:t>
      </w:r>
      <w:r>
        <w:rPr>
          <w:rFonts w:ascii="Arial" w:cs="Arial" w:eastAsia="Arial" w:hAnsi="Arial"/>
          <w:sz w:val="13"/>
          <w:szCs w:val="13"/>
          <w:color w:val="auto"/>
        </w:rPr>
        <w:t xml:space="preserve"> to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Consolidated Income Taxes</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 xml:space="preserve">AFG’s consolidated provision for income taxes was $231 million in 2025 compared to $237 million in 2024, a decrease of $6 million (3%). AFG’s consolidated provision for income taxes was $237 million in 2024 compared to $221 million in 2023, an increase of $16 million (7%). See </w:t>
      </w:r>
      <w:r>
        <w:rPr>
          <w:rFonts w:ascii="Arial" w:cs="Arial" w:eastAsia="Arial" w:hAnsi="Arial"/>
          <w:sz w:val="13"/>
          <w:szCs w:val="13"/>
          <w:i w:val="1"/>
          <w:iCs w:val="1"/>
          <w:color w:val="auto"/>
        </w:rPr>
        <w:t>Note L — “Income Taxes”</w:t>
      </w:r>
      <w:r>
        <w:rPr>
          <w:rFonts w:ascii="Arial" w:cs="Arial" w:eastAsia="Arial" w:hAnsi="Arial"/>
          <w:sz w:val="13"/>
          <w:szCs w:val="13"/>
          <w:color w:val="auto"/>
        </w:rPr>
        <w:t xml:space="preserve"> to the financial statements for an analysis of items affecting AFG’s effective tax rate.</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RECENTLY ADOPTED ACCOUNTING STANDARDS</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L — “Income Taxes”</w:t>
      </w:r>
      <w:r>
        <w:rPr>
          <w:rFonts w:ascii="Arial" w:cs="Arial" w:eastAsia="Arial" w:hAnsi="Arial"/>
          <w:sz w:val="13"/>
          <w:szCs w:val="13"/>
          <w:color w:val="auto"/>
        </w:rPr>
        <w:t xml:space="preserve"> to the financial statements for accounting guidance adopted on January 1, 2025, which expanded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b w:val="1"/>
          <w:bCs w:val="1"/>
          <w:color w:val="00274E"/>
        </w:rPr>
        <w:t>ACCOUNTING STANDARDS TO BE ADOPTED</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 xml:space="preserve">In November 2024, the FASB issued ASU No. 2024-03 (“ASU 2024-03”), </w:t>
      </w:r>
      <w:r>
        <w:rPr>
          <w:rFonts w:ascii="Arial" w:cs="Arial" w:eastAsia="Arial" w:hAnsi="Arial"/>
          <w:sz w:val="13"/>
          <w:szCs w:val="13"/>
          <w:i w:val="1"/>
          <w:iCs w:val="1"/>
          <w:color w:val="auto"/>
        </w:rPr>
        <w:t>Income Statement — Reporting Comprehensive Income — Expense Disaggregation Disclosures (Subtopic 220-40):</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Disaggregation of Income Statement Expenses. </w:t>
      </w:r>
      <w:r>
        <w:rPr>
          <w:rFonts w:ascii="Arial" w:cs="Arial" w:eastAsia="Arial" w:hAnsi="Arial"/>
          <w:sz w:val="13"/>
          <w:szCs w:val="13"/>
          <w:color w:val="auto"/>
        </w:rPr>
        <w:t>ASU 2024-03 requires additional information and disaggregation of specified expense categories in the notes to financial statements. ASU</w:t>
      </w:r>
      <w:r>
        <w:rPr>
          <w:rFonts w:ascii="Arial" w:cs="Arial" w:eastAsia="Arial" w:hAnsi="Arial"/>
          <w:sz w:val="13"/>
          <w:szCs w:val="13"/>
          <w:i w:val="1"/>
          <w:iCs w:val="1"/>
          <w:color w:val="auto"/>
        </w:rPr>
        <w:t xml:space="preserve"> </w:t>
      </w:r>
      <w:r>
        <w:rPr>
          <w:rFonts w:ascii="Arial" w:cs="Arial" w:eastAsia="Arial" w:hAnsi="Arial"/>
          <w:sz w:val="13"/>
          <w:szCs w:val="13"/>
          <w:color w:val="auto"/>
        </w:rPr>
        <w:t>2024-04 is effective for fiscal years beginning after December 15, 2026, and interim periods within fiscal years beginning after December 15, 2027, with early adoption permitted and applied either prospectively or retrospectively. As of December 31, 2025,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7A. Quantitative and Qualitative Disclosures about Market Risk</w:t>
      </w:r>
    </w:p>
    <w:p>
      <w:pPr>
        <w:spacing w:after="0" w:line="210"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Market risk represents the potential economic loss arising from adverse changes in the fair value of financial instruments. AFG’s exposures to market risk relate primarily to its investment portfolio, which is exposed to interest rate risk and, to a lesser extent, equity price risk. To a much lesser extent, AFG’s long-term debt is also exposed to interest rate risk.</w:t>
      </w:r>
    </w:p>
    <w:p>
      <w:pPr>
        <w:spacing w:after="0" w:line="13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b w:val="1"/>
          <w:bCs w:val="1"/>
          <w:i w:val="1"/>
          <w:iCs w:val="1"/>
          <w:color w:val="00274E"/>
        </w:rPr>
        <w:t xml:space="preserve">Fixed Maturity Interest Rate Risk </w:t>
      </w:r>
      <w:r>
        <w:rPr>
          <w:rFonts w:ascii="Arial" w:cs="Arial" w:eastAsia="Arial" w:hAnsi="Arial"/>
          <w:sz w:val="13"/>
          <w:szCs w:val="13"/>
          <w:color w:val="000000"/>
        </w:rPr>
        <w:t>In general, the fair value of AFG’s fixed maturity investments is inversely correlated to changes in interest rates. AFG’s fixed maturity portfolio is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comprised of primarily fixed-rate investments with intermediate-term maturities. This practice is designed to allow flexibility in reacting to fluctuations of interest rates. The portfolios of AFG’s insurance operations are managed with an attempt to achieve an adequate risk-adjusted return while maintaining sufficient liquidity to meet policyholder obligations.</w:t>
      </w:r>
    </w:p>
    <w:p>
      <w:pPr>
        <w:spacing w:after="0" w:line="172" w:lineRule="exact"/>
        <w:rPr>
          <w:sz w:val="20"/>
          <w:szCs w:val="20"/>
          <w:color w:val="auto"/>
        </w:rPr>
      </w:pPr>
    </w:p>
    <w:p>
      <w:pPr>
        <w:ind w:right="140"/>
        <w:spacing w:after="0" w:line="275" w:lineRule="auto"/>
        <w:rPr>
          <w:sz w:val="20"/>
          <w:szCs w:val="20"/>
          <w:color w:val="auto"/>
        </w:rPr>
      </w:pPr>
      <w:r>
        <w:rPr>
          <w:rFonts w:ascii="Arial" w:cs="Arial" w:eastAsia="Arial" w:hAnsi="Arial"/>
          <w:sz w:val="13"/>
          <w:szCs w:val="13"/>
          <w:color w:val="auto"/>
        </w:rPr>
        <w:t xml:space="preserve">Consistent with the discussion in </w:t>
      </w:r>
      <w:r>
        <w:rPr>
          <w:rFonts w:ascii="Arial" w:cs="Arial" w:eastAsia="Arial" w:hAnsi="Arial"/>
          <w:sz w:val="13"/>
          <w:szCs w:val="13"/>
          <w:i w:val="1"/>
          <w:iCs w:val="1"/>
          <w:color w:val="auto"/>
        </w:rPr>
        <w:t>Item 7 — Management’s Discussion and Analysis — “Investments,”</w:t>
      </w:r>
      <w:r>
        <w:rPr>
          <w:rFonts w:ascii="Arial" w:cs="Arial" w:eastAsia="Arial" w:hAnsi="Arial"/>
          <w:sz w:val="13"/>
          <w:szCs w:val="13"/>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December 31 (based on the duration of the portfolio, dollars in millions). Effects of increases or decreases from the 100 basis points illustrated would be approximately proportional.</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5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color w:val="auto"/>
              </w:rPr>
              <w:t>2024</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fixed maturity portfolio</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11,143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10,474</w:t>
            </w:r>
          </w:p>
        </w:tc>
      </w:tr>
      <w:tr>
        <w:trPr>
          <w:trHeight w:val="169"/>
        </w:trPr>
        <w:tc>
          <w:tcPr>
            <w:tcW w:w="8540" w:type="dxa"/>
            <w:vAlign w:val="bottom"/>
          </w:tcPr>
          <w:p>
            <w:pPr>
              <w:ind w:left="20"/>
              <w:spacing w:after="0"/>
              <w:rPr>
                <w:sz w:val="20"/>
                <w:szCs w:val="20"/>
                <w:color w:val="auto"/>
              </w:rPr>
            </w:pPr>
            <w:r>
              <w:rPr>
                <w:rFonts w:ascii="Arial" w:cs="Arial" w:eastAsia="Arial" w:hAnsi="Arial"/>
                <w:sz w:val="13"/>
                <w:szCs w:val="13"/>
                <w:color w:val="auto"/>
              </w:rPr>
              <w:t>Percentage impact on fair value of 100 bps increase in interest rates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8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Pretax impact on fair value of fixed maturity portfolio</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(314)</w:t>
            </w:r>
          </w:p>
        </w:tc>
      </w:tr>
    </w:tbl>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00274E"/>
        </w:rPr>
        <w:t xml:space="preserve">Equity Price Risk </w:t>
      </w:r>
      <w:r>
        <w:rPr>
          <w:rFonts w:ascii="Arial" w:cs="Arial" w:eastAsia="Arial" w:hAnsi="Arial"/>
          <w:sz w:val="13"/>
          <w:szCs w:val="13"/>
          <w:color w:val="000000"/>
        </w:rPr>
        <w:t>AFG’s equity securities are reported at fair value with holding gains and losses recognized in net earnings. At December 31, 2025 and 2024, the fair value of AFG’s</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equity securities totaled $785 million and $751 million, respectively. These investments are exposed to price risk, which is the potential loss arising from decreases in fair value. Market prices of equity securities, in general, are subject to fluctuations, which could cause future values to differ significantly from the current reported values. General economic swings influence the performance of the underlying industries and companies within those industries. Industry and company-specific risks also have the potential to substantially affect the value of AFG’s portfolio.</w:t>
      </w:r>
    </w:p>
    <w:p>
      <w:pPr>
        <w:spacing w:after="0" w:line="158"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color w:val="auto"/>
        </w:rPr>
        <w:t>AFG utilizes a total return swap to offset changes in liabilities related to the equity price risk of certain deferred compensation arrangements. Gains or losses from changes in fair value of the total return swap are generally offset by changes in the carrying value of the related liabilities, both of which are included in other expenses.</w:t>
      </w:r>
    </w:p>
    <w:p>
      <w:pPr>
        <w:spacing w:after="0" w:line="129"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00274E"/>
        </w:rPr>
        <w:t xml:space="preserve">Long-Term Debt </w:t>
      </w:r>
      <w:r>
        <w:rPr>
          <w:rFonts w:ascii="Arial" w:cs="Arial" w:eastAsia="Arial" w:hAnsi="Arial"/>
          <w:sz w:val="13"/>
          <w:szCs w:val="13"/>
          <w:color w:val="000000"/>
        </w:rPr>
        <w:t>The following table shows scheduled principal payments on fixed-rate long-term debt of AFG and its subsidiaries and related weighted average interest rates for each of</w:t>
      </w:r>
      <w:r>
        <w:rPr>
          <w:rFonts w:ascii="Arial" w:cs="Arial" w:eastAsia="Arial" w:hAnsi="Arial"/>
          <w:sz w:val="16"/>
          <w:szCs w:val="16"/>
          <w:b w:val="1"/>
          <w:bCs w:val="1"/>
          <w:i w:val="1"/>
          <w:iCs w:val="1"/>
          <w:color w:val="00274E"/>
        </w:rPr>
        <w:t xml:space="preserve"> </w:t>
      </w:r>
      <w:r>
        <w:rPr>
          <w:rFonts w:ascii="Arial" w:cs="Arial" w:eastAsia="Arial" w:hAnsi="Arial"/>
          <w:sz w:val="13"/>
          <w:szCs w:val="13"/>
          <w:color w:val="000000"/>
        </w:rPr>
        <w:t>the subsequent five years and for all years thereafter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5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color w:val="auto"/>
              </w:rPr>
              <w:t>December 31, 2025</w:t>
            </w:r>
          </w:p>
        </w:tc>
        <w:tc>
          <w:tcPr>
            <w:tcW w:w="64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color w:val="auto"/>
              </w:rPr>
              <w:t>December 31, 2024</w:t>
            </w:r>
          </w:p>
        </w:tc>
        <w:tc>
          <w:tcPr>
            <w:tcW w:w="64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r>
      <w:tr>
        <w:trPr>
          <w:trHeight w:val="150"/>
        </w:trPr>
        <w:tc>
          <w:tcPr>
            <w:tcW w:w="256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Scheduled Principal Payments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Rate</w:t>
            </w:r>
          </w:p>
        </w:tc>
        <w:tc>
          <w:tcPr>
            <w:tcW w:w="25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Scheduled Principal Payments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color w:val="auto"/>
              </w:rPr>
              <w:t>Rate</w:t>
            </w:r>
          </w:p>
        </w:tc>
        <w:tc>
          <w:tcPr>
            <w:tcW w:w="1100" w:type="dxa"/>
            <w:vAlign w:val="bottom"/>
            <w:tcBorders>
              <w:bottom w:val="single" w:sz="8" w:color="CCEEFF"/>
            </w:tcBorders>
          </w:tcPr>
          <w:p>
            <w:pPr>
              <w:spacing w:after="0"/>
              <w:rPr>
                <w:sz w:val="13"/>
                <w:szCs w:val="13"/>
                <w:color w:val="auto"/>
              </w:rPr>
            </w:pPr>
          </w:p>
        </w:tc>
      </w:tr>
      <w:tr>
        <w:trPr>
          <w:trHeight w:val="164"/>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2026</w:t>
            </w: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2025</w:t>
            </w:r>
          </w:p>
        </w:tc>
        <w:tc>
          <w:tcPr>
            <w:tcW w:w="4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w:t>
            </w:r>
          </w:p>
        </w:tc>
      </w:tr>
      <w:tr>
        <w:trPr>
          <w:trHeight w:val="169"/>
        </w:trPr>
        <w:tc>
          <w:tcPr>
            <w:tcW w:w="2560" w:type="dxa"/>
            <w:vAlign w:val="bottom"/>
          </w:tcPr>
          <w:p>
            <w:pPr>
              <w:ind w:left="1080"/>
              <w:spacing w:after="0"/>
              <w:rPr>
                <w:sz w:val="20"/>
                <w:szCs w:val="20"/>
                <w:color w:val="auto"/>
              </w:rPr>
            </w:pPr>
            <w:r>
              <w:rPr>
                <w:rFonts w:ascii="Arial" w:cs="Arial" w:eastAsia="Arial" w:hAnsi="Arial"/>
                <w:sz w:val="13"/>
                <w:szCs w:val="13"/>
                <w:color w:val="auto"/>
              </w:rPr>
              <w:t>2027</w:t>
            </w:r>
          </w:p>
        </w:tc>
        <w:tc>
          <w:tcPr>
            <w:tcW w:w="42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580" w:type="dxa"/>
            <w:vAlign w:val="bottom"/>
          </w:tcPr>
          <w:p>
            <w:pPr>
              <w:ind w:left="1100"/>
              <w:spacing w:after="0"/>
              <w:rPr>
                <w:sz w:val="20"/>
                <w:szCs w:val="20"/>
                <w:color w:val="auto"/>
              </w:rPr>
            </w:pPr>
            <w:r>
              <w:rPr>
                <w:rFonts w:ascii="Arial" w:cs="Arial" w:eastAsia="Arial" w:hAnsi="Arial"/>
                <w:sz w:val="13"/>
                <w:szCs w:val="13"/>
                <w:color w:val="auto"/>
              </w:rPr>
              <w:t>2026</w:t>
            </w:r>
          </w:p>
        </w:tc>
        <w:tc>
          <w:tcPr>
            <w:tcW w:w="4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120"/>
              <w:spacing w:after="0"/>
              <w:rPr>
                <w:sz w:val="20"/>
                <w:szCs w:val="20"/>
                <w:color w:val="auto"/>
              </w:rPr>
            </w:pPr>
            <w:r>
              <w:rPr>
                <w:rFonts w:ascii="Arial" w:cs="Arial" w:eastAsia="Arial" w:hAnsi="Arial"/>
                <w:sz w:val="13"/>
                <w:szCs w:val="13"/>
                <w:color w:val="auto"/>
              </w:rPr>
              <w:t>—%</w:t>
            </w:r>
          </w:p>
        </w:tc>
      </w:tr>
      <w:tr>
        <w:trPr>
          <w:trHeight w:val="171"/>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2028</w:t>
            </w:r>
          </w:p>
        </w:tc>
        <w:tc>
          <w:tcPr>
            <w:tcW w:w="4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2027</w:t>
            </w:r>
          </w:p>
        </w:tc>
        <w:tc>
          <w:tcPr>
            <w:tcW w:w="42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w:t>
            </w:r>
          </w:p>
        </w:tc>
      </w:tr>
      <w:tr>
        <w:trPr>
          <w:trHeight w:val="169"/>
        </w:trPr>
        <w:tc>
          <w:tcPr>
            <w:tcW w:w="2560" w:type="dxa"/>
            <w:vAlign w:val="bottom"/>
          </w:tcPr>
          <w:p>
            <w:pPr>
              <w:ind w:left="1080"/>
              <w:spacing w:after="0"/>
              <w:rPr>
                <w:sz w:val="20"/>
                <w:szCs w:val="20"/>
                <w:color w:val="auto"/>
              </w:rPr>
            </w:pPr>
            <w:r>
              <w:rPr>
                <w:rFonts w:ascii="Arial" w:cs="Arial" w:eastAsia="Arial" w:hAnsi="Arial"/>
                <w:sz w:val="13"/>
                <w:szCs w:val="13"/>
                <w:color w:val="auto"/>
              </w:rPr>
              <w:t>2029</w:t>
            </w:r>
          </w:p>
        </w:tc>
        <w:tc>
          <w:tcPr>
            <w:tcW w:w="42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580" w:type="dxa"/>
            <w:vAlign w:val="bottom"/>
          </w:tcPr>
          <w:p>
            <w:pPr>
              <w:ind w:left="1100"/>
              <w:spacing w:after="0"/>
              <w:rPr>
                <w:sz w:val="20"/>
                <w:szCs w:val="20"/>
                <w:color w:val="auto"/>
              </w:rPr>
            </w:pPr>
            <w:r>
              <w:rPr>
                <w:rFonts w:ascii="Arial" w:cs="Arial" w:eastAsia="Arial" w:hAnsi="Arial"/>
                <w:sz w:val="13"/>
                <w:szCs w:val="13"/>
                <w:color w:val="auto"/>
              </w:rPr>
              <w:t>2028</w:t>
            </w:r>
          </w:p>
        </w:tc>
        <w:tc>
          <w:tcPr>
            <w:tcW w:w="4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120"/>
              <w:spacing w:after="0"/>
              <w:rPr>
                <w:sz w:val="20"/>
                <w:szCs w:val="20"/>
                <w:color w:val="auto"/>
              </w:rPr>
            </w:pPr>
            <w:r>
              <w:rPr>
                <w:rFonts w:ascii="Arial" w:cs="Arial" w:eastAsia="Arial" w:hAnsi="Arial"/>
                <w:sz w:val="13"/>
                <w:szCs w:val="13"/>
                <w:color w:val="auto"/>
              </w:rPr>
              <w:t>—%</w:t>
            </w:r>
          </w:p>
        </w:tc>
      </w:tr>
      <w:tr>
        <w:trPr>
          <w:trHeight w:val="171"/>
        </w:trPr>
        <w:tc>
          <w:tcPr>
            <w:tcW w:w="25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2030</w:t>
            </w: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5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2029</w:t>
            </w:r>
          </w:p>
        </w:tc>
        <w:tc>
          <w:tcPr>
            <w:tcW w:w="42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3"/>
                <w:szCs w:val="13"/>
                <w:color w:val="auto"/>
              </w:rPr>
              <w:t>—%</w:t>
            </w:r>
          </w:p>
        </w:tc>
      </w:tr>
      <w:tr>
        <w:trPr>
          <w:trHeight w:val="169"/>
        </w:trPr>
        <w:tc>
          <w:tcPr>
            <w:tcW w:w="2560" w:type="dxa"/>
            <w:vAlign w:val="bottom"/>
            <w:tcBorders>
              <w:bottom w:val="single" w:sz="8" w:color="CCEEFF"/>
            </w:tcBorders>
          </w:tcPr>
          <w:p>
            <w:pPr>
              <w:ind w:left="1080"/>
              <w:spacing w:after="0"/>
              <w:rPr>
                <w:sz w:val="20"/>
                <w:szCs w:val="20"/>
                <w:color w:val="auto"/>
              </w:rPr>
            </w:pPr>
            <w:r>
              <w:rPr>
                <w:rFonts w:ascii="Arial" w:cs="Arial" w:eastAsia="Arial" w:hAnsi="Arial"/>
                <w:sz w:val="13"/>
                <w:szCs w:val="13"/>
                <w:color w:val="auto"/>
              </w:rPr>
              <w:t>Thereafter</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4.9%</w:t>
            </w:r>
          </w:p>
        </w:tc>
        <w:tc>
          <w:tcPr>
            <w:tcW w:w="2580" w:type="dxa"/>
            <w:vAlign w:val="bottom"/>
            <w:tcBorders>
              <w:bottom w:val="single" w:sz="8" w:color="CCEEFF"/>
            </w:tcBorders>
          </w:tcPr>
          <w:p>
            <w:pPr>
              <w:ind w:left="1100"/>
              <w:spacing w:after="0"/>
              <w:rPr>
                <w:sz w:val="20"/>
                <w:szCs w:val="20"/>
                <w:color w:val="auto"/>
              </w:rPr>
            </w:pPr>
            <w:r>
              <w:rPr>
                <w:rFonts w:ascii="Arial" w:cs="Arial" w:eastAsia="Arial" w:hAnsi="Arial"/>
                <w:sz w:val="13"/>
                <w:szCs w:val="13"/>
                <w:color w:val="auto"/>
              </w:rPr>
              <w:t>Thereafter</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4.9%</w:t>
            </w:r>
          </w:p>
        </w:tc>
        <w:tc>
          <w:tcPr>
            <w:tcW w:w="1100" w:type="dxa"/>
            <w:vAlign w:val="bottom"/>
            <w:tcBorders>
              <w:bottom w:val="single" w:sz="8" w:color="CCEEFF"/>
            </w:tcBorders>
          </w:tcPr>
          <w:p>
            <w:pPr>
              <w:spacing w:after="0"/>
              <w:rPr>
                <w:sz w:val="14"/>
                <w:szCs w:val="14"/>
                <w:color w:val="auto"/>
              </w:rPr>
            </w:pPr>
          </w:p>
        </w:tc>
      </w:tr>
      <w:tr>
        <w:trPr>
          <w:trHeight w:val="187"/>
        </w:trPr>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5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100" w:type="dxa"/>
            <w:vAlign w:val="bottom"/>
            <w:tcBorders>
              <w:bottom w:val="single" w:sz="8" w:color="CCEEFF"/>
            </w:tcBorders>
            <w:shd w:val="clear" w:color="auto" w:fill="CCEEFF"/>
          </w:tcPr>
          <w:p>
            <w:pPr>
              <w:spacing w:after="0"/>
              <w:rPr>
                <w:sz w:val="15"/>
                <w:szCs w:val="15"/>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11"/>
        </w:trPr>
        <w:tc>
          <w:tcPr>
            <w:tcW w:w="2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5"/>
        </w:trPr>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3"/>
                <w:szCs w:val="13"/>
                <w:color w:val="auto"/>
              </w:rPr>
              <w:t>Fair Value</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Fair Value</w:t>
            </w: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8. Financial Statements and Supplementary Data</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500" w:type="dxa"/>
            <w:vAlign w:val="bottom"/>
          </w:tcPr>
          <w:p>
            <w:pPr>
              <w:spacing w:after="0"/>
              <w:rPr>
                <w:sz w:val="13"/>
                <w:szCs w:val="13"/>
                <w:color w:val="auto"/>
              </w:rPr>
            </w:pPr>
          </w:p>
        </w:tc>
        <w:tc>
          <w:tcPr>
            <w:tcW w:w="272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w:t>
            </w:r>
          </w:p>
        </w:tc>
      </w:tr>
      <w:tr>
        <w:trPr>
          <w:trHeight w:val="179"/>
        </w:trPr>
        <w:tc>
          <w:tcPr>
            <w:tcW w:w="8500" w:type="dxa"/>
            <w:vAlign w:val="bottom"/>
          </w:tcPr>
          <w:p>
            <w:pPr>
              <w:spacing w:after="0"/>
              <w:rPr>
                <w:sz w:val="20"/>
                <w:szCs w:val="20"/>
                <w:color w:val="auto"/>
              </w:rPr>
            </w:pPr>
            <w:r>
              <w:rPr>
                <w:rFonts w:ascii="Arial" w:cs="Arial" w:eastAsia="Arial" w:hAnsi="Arial"/>
                <w:sz w:val="13"/>
                <w:szCs w:val="13"/>
                <w:color w:val="auto"/>
              </w:rPr>
              <w:t>Report of Independent Registered Public Accounting Firm (PCAOB ID: 42)</w:t>
            </w:r>
          </w:p>
        </w:tc>
        <w:tc>
          <w:tcPr>
            <w:tcW w:w="242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0E32E1"/>
              </w:rPr>
              <w:t>F-1</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Balance Sheet as of December 31, 2025 and 2024</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F-3</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Earnings for the years ended December 31, 2025, 2024 and 2023</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F-4</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Comprehensive Income for the years ended December 31, 2025, 2024 and 2023</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F-5</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Changes in Equity for the years ended December 31, 2025, 2024 and 2023</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F-6</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Consolidated Statement of Cash Flows for the years ended December 31, 2025, 2024 and 2023</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F-7</w:t>
            </w:r>
          </w:p>
        </w:tc>
      </w:tr>
      <w:tr>
        <w:trPr>
          <w:trHeight w:val="170"/>
        </w:trPr>
        <w:tc>
          <w:tcPr>
            <w:tcW w:w="850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E32E1"/>
              </w:rPr>
              <w:t>F-8</w:t>
            </w:r>
          </w:p>
        </w:tc>
      </w:tr>
    </w:tbl>
    <w:p>
      <w:pPr>
        <w:spacing w:after="0" w:line="185" w:lineRule="exact"/>
        <w:rPr>
          <w:sz w:val="20"/>
          <w:szCs w:val="20"/>
          <w:color w:val="auto"/>
        </w:rPr>
      </w:pPr>
    </w:p>
    <w:p>
      <w:pPr>
        <w:ind w:right="980"/>
        <w:spacing w:after="0" w:line="258" w:lineRule="auto"/>
        <w:rPr>
          <w:sz w:val="20"/>
          <w:szCs w:val="20"/>
          <w:color w:val="auto"/>
        </w:rPr>
      </w:pPr>
      <w:r>
        <w:rPr>
          <w:rFonts w:ascii="Arial" w:cs="Arial" w:eastAsia="Arial" w:hAnsi="Arial"/>
          <w:sz w:val="28"/>
          <w:szCs w:val="28"/>
          <w:b w:val="1"/>
          <w:bCs w:val="1"/>
          <w:color w:val="00274E"/>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9A. Controls and Procedures</w:t>
      </w:r>
    </w:p>
    <w:p>
      <w:pPr>
        <w:spacing w:after="0" w:line="31" w:lineRule="exact"/>
        <w:rPr>
          <w:sz w:val="20"/>
          <w:szCs w:val="20"/>
          <w:color w:val="auto"/>
        </w:rPr>
      </w:pPr>
    </w:p>
    <w:p>
      <w:pPr>
        <w:ind w:right="40"/>
        <w:spacing w:after="0" w:line="263" w:lineRule="auto"/>
        <w:rPr>
          <w:sz w:val="20"/>
          <w:szCs w:val="20"/>
          <w:color w:val="auto"/>
        </w:rPr>
      </w:pPr>
      <w:r>
        <w:rPr>
          <w:rFonts w:ascii="Arial" w:cs="Arial" w:eastAsia="Arial" w:hAnsi="Arial"/>
          <w:sz w:val="13"/>
          <w:szCs w:val="13"/>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fourth fiscal quarter of 2025 that materially affected, or are reasonably likely to materially affect, AFG’s internal control over financial reporting.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MANAGEMENT’S REPORT ON INTERNAL CONTROL OVER FINANCIAL REPORTING</w:t>
      </w:r>
    </w:p>
    <w:p>
      <w:pPr>
        <w:spacing w:after="0" w:line="200"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AFG’s management is responsible for establishing and maintaining adequate internal control over financial reporting, as such term is defined in Securities Exchange Act Rules 13a-15(f). Under the supervision and with the participation of management, including AFG’s Co-Chief Executive Officers and Chief Financial Officer, AFG conducted an evaluation of the effectiveness of internal control over financial reporting as of December 31, 2025, based on the criteria set forth in “Internal Control — Integrated Framework” issued in 2013 by the Committee of Sponsoring Organizations of the Treadway Commission.</w:t>
      </w:r>
    </w:p>
    <w:p>
      <w:pPr>
        <w:spacing w:after="0" w:line="168" w:lineRule="exact"/>
        <w:rPr>
          <w:sz w:val="20"/>
          <w:szCs w:val="20"/>
          <w:color w:val="auto"/>
        </w:rPr>
      </w:pPr>
    </w:p>
    <w:p>
      <w:pPr>
        <w:ind w:right="460"/>
        <w:spacing w:after="0" w:line="297" w:lineRule="auto"/>
        <w:rPr>
          <w:sz w:val="20"/>
          <w:szCs w:val="20"/>
          <w:color w:val="auto"/>
        </w:rPr>
      </w:pPr>
      <w:r>
        <w:rPr>
          <w:rFonts w:ascii="Arial" w:cs="Arial" w:eastAsia="Arial" w:hAnsi="Arial"/>
          <w:sz w:val="13"/>
          <w:szCs w:val="13"/>
          <w:color w:val="auto"/>
        </w:rPr>
        <w:t>There are inherent limitations to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39" w:lineRule="exact"/>
        <w:rPr>
          <w:sz w:val="20"/>
          <w:szCs w:val="20"/>
          <w:color w:val="auto"/>
        </w:rPr>
      </w:pPr>
    </w:p>
    <w:p>
      <w:pPr>
        <w:ind w:right="480"/>
        <w:spacing w:after="0" w:line="297" w:lineRule="auto"/>
        <w:rPr>
          <w:sz w:val="20"/>
          <w:szCs w:val="20"/>
          <w:color w:val="auto"/>
        </w:rPr>
      </w:pPr>
      <w:r>
        <w:rPr>
          <w:rFonts w:ascii="Arial" w:cs="Arial" w:eastAsia="Arial" w:hAnsi="Arial"/>
          <w:sz w:val="13"/>
          <w:szCs w:val="13"/>
          <w:color w:val="auto"/>
        </w:rPr>
        <w:t>Based on AFG’s evaluation, management concluded that internal control over financial reporting was effective as of December 31, 2025. The attestation report of AFG’s independent registered public accounting firm on AFG’s internal control over financial reporting as of December 31, 2025, is set forth on page 80.</w:t>
      </w:r>
    </w:p>
    <w:p>
      <w:pPr>
        <w:spacing w:after="0" w:line="137"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9B. Other Information</w:t>
      </w:r>
    </w:p>
    <w:p>
      <w:pPr>
        <w:spacing w:after="0" w:line="31"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During the three months ended December 31, 2025, none of the Company’s directors or officers adopted, terminated or modified a “Rule 10b5-1 trading arrangement” or “non-Rule 10b5-1 trading arrangement,” as those terms are defined in Regulation S-K, Item 408.</w:t>
      </w: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9C. Disclosure Regarding Foreign Jurisdictions that Prevent Inspections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REPORT OF INDEPENDENT REGISTERED PUBLIC ACCOUNTING FIRM</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274E"/>
        </w:rPr>
        <w:t>ON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Shareholders and the Board of Directors of American Financial Group,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We have audited American Financial Group, Inc. and subsidiaries’ internal control over financial reporting as of December 31, 2025, based on criteria established in Internal Control — Integrated Framework issued by the Committee of Sponsoring Organizations of the Treadway Commission (2013 framework) (the COSO criteria). In our opinion, American Financial Group, Inc. and subsidiaries (the Company) maintained, in all material respects, effective internal control over financial reporting as of December 31, 2025, based on the COSO criteria.</w:t>
      </w:r>
    </w:p>
    <w:p>
      <w:pPr>
        <w:spacing w:after="0" w:line="159"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 of the Company as of December 31, 2025 and 2024, the related consolidated statements of earnings, comprehensive income, changes in equity and cash flows for each of the three years in the period ended December 31, 2025, and the related notes and financial statement schedules listed in the Index at Item 15(a)(2) and our report dated February 25, 2026 expressed an unqualified opinion thereon.</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4"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9"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4"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Ohio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25, 2026</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00274E"/>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Shareholders and the Board of Directors of American Financial Group,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24"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We have audited the accompanying consolidated balance sheet of American Financial Group, Inc. and subsidiaries (the Company) as of December 31, 2025 and 2024, the related consolidated statements of earnings, comprehensive income, changes in equity and cash flows for each of the three years in the period ended December 31, 2025,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(2013 framework), and our report dated February 25, 2026 expressed an unqualified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Matters</w:t>
      </w:r>
    </w:p>
    <w:p>
      <w:pPr>
        <w:spacing w:after="0" w:line="24" w:lineRule="exact"/>
        <w:rPr>
          <w:sz w:val="20"/>
          <w:szCs w:val="20"/>
          <w:color w:val="auto"/>
        </w:rPr>
      </w:pPr>
    </w:p>
    <w:p>
      <w:pPr>
        <w:ind w:right="80"/>
        <w:spacing w:after="0" w:line="268"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60"/>
          </w:cols>
          <w:pgMar w:left="300" w:top="121" w:right="339" w:bottom="1440" w:gutter="0" w:footer="0" w:header="0"/>
        </w:sectPr>
      </w:pPr>
    </w:p>
    <w:p>
      <w:pPr>
        <w:spacing w:after="0" w:line="254" w:lineRule="exact"/>
        <w:rPr>
          <w:sz w:val="20"/>
          <w:szCs w:val="20"/>
          <w:color w:val="auto"/>
        </w:rPr>
      </w:pPr>
    </w:p>
    <w:p>
      <w:pPr>
        <w:ind w:left="20"/>
        <w:spacing w:after="0" w:line="246" w:lineRule="auto"/>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investments in fixed maturity securities</w:t>
      </w:r>
    </w:p>
    <w:p>
      <w:pPr>
        <w:spacing w:after="0" w:line="41"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As of December 31, 2025, the fair value of the Company’s fixed maturity securities totaled $11.14 billion, a portion of which are valued based on internally developed prices, using significant inputs not based on, or corroborated by, observable market information, or which are valued based on non-binding broker quotes. The fair values of these securities are determined by management applying the methodologies outlined in Note D to the consolidated financial statements. The credit spread applied by management for internally developed fixed maturity investment values and the lack of visibility into assumptions used in non-binding broker quotes are significant unobservable inputs, which create greater subjectivity when determining the fair values. Credit spread inputs are developed based on management’s review of trade activity for comparable securities and credit spreads over the treasury yield of securities with a similar duration.</w:t>
      </w:r>
    </w:p>
    <w:p>
      <w:pPr>
        <w:spacing w:after="0" w:line="159"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Auditing the fair value of the fixed maturity securities that use unobservable inputs was complex and highly judgmental due to the judgment used by the Company in determining unobservable inputs and assumptions to estimate the securities’ fair value. Significant unobservable inputs and assumptions include credit spreads over the treasury yield and non-binding broker quotes.</w:t>
      </w:r>
    </w:p>
    <w:p>
      <w:pPr>
        <w:spacing w:after="0" w:line="200" w:lineRule="exact"/>
        <w:rPr>
          <w:sz w:val="20"/>
          <w:szCs w:val="20"/>
          <w:color w:val="auto"/>
        </w:rPr>
      </w:pPr>
    </w:p>
    <w:p>
      <w:pPr>
        <w:sectPr>
          <w:pgSz w:w="11900" w:h="16838" w:orient="portrait"/>
          <w:cols w:equalWidth="0" w:num="2">
            <w:col w:w="1060" w:space="540"/>
            <w:col w:w="9660"/>
          </w:cols>
          <w:pgMar w:left="300" w:top="121" w:right="3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FF"/>
        </w:rPr>
        <w:t>Table of Contents</w:t>
      </w:r>
    </w:p>
    <w:p>
      <w:pPr>
        <w:sectPr>
          <w:pgSz w:w="11900" w:h="16838" w:orient="portrait"/>
          <w:cols w:equalWidth="0" w:num="1">
            <w:col w:w="11240"/>
          </w:cols>
          <w:pgMar w:left="300" w:top="121"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0"/>
        <w:spacing w:after="0" w:line="263"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300"/>
        <w:spacing w:after="0" w:line="246" w:lineRule="auto"/>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line="263"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management’s valuation process for the fixed maturity securities priced using unobservable inputs. This included, among others, testing controls over investment pricing and the development and review of significant inputs and assumptions used in determining the fair values.</w:t>
      </w:r>
    </w:p>
    <w:p>
      <w:pPr>
        <w:spacing w:after="0" w:line="131"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To test the Company’s investment fair values, our audit procedures included, among others, comparing the fair values for a sample of securities to pricing service values or internally developed cash flow models. With the assistance of our valuation specialists, we evaluated the valuation methodologies used by the Company and compared the Company’s fair value estimate to an independently calculated range of fair value estimates for a sample of securities. We evaluated information that corroborated or contradicted the Company’s fair value estimates, including observable spreads and transaction data for similar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Unpaid losses and loss adjustment expenses</w:t>
      </w:r>
    </w:p>
    <w:p>
      <w:pPr>
        <w:spacing w:after="0" w:line="41"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As of December 31, 2025, the Company’s unpaid losses and loss adjustment expenses reserve liabilities net of reinsurance recoverables, net of allowance, (“reserves”) totaled $9.79 billion as disclosed in Note N to the consolidated financial statements. This liability represents management’s best estimate of the ultimate net cost of all unpaid losses and loss adjustment expenses and is determined by using case-basis evaluations, actuarial projections, and management’s judgment. Estimating the reserves is inherently judgmental and is influenced by factors that are subject to significant variation, particularly for lines of business that develop or are paid over a long period of time or that contain exposures with high potential severities, such as workers’ compensation, other liability, and asbestos and environmental.</w:t>
      </w:r>
    </w:p>
    <w:p>
      <w:pPr>
        <w:spacing w:after="0" w:line="29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Auditing management’s best estimate of reserves was complex because it required the involvement of our actuarial specialists due to the highly judgmental nature of the assumptions used in the evaluation process. The significant judgment was primarily due to the sensitivity of management’s best estimate to the selection and weighting of actuarial methods, loss development factors, and expected loss ratios. These assumptions have a significant effect on the valuation of reserves.</w:t>
      </w:r>
    </w:p>
    <w:p>
      <w:pPr>
        <w:spacing w:after="0" w:line="100" w:lineRule="exact"/>
        <w:rPr>
          <w:sz w:val="20"/>
          <w:szCs w:val="20"/>
          <w:color w:val="auto"/>
        </w:rPr>
      </w:pPr>
    </w:p>
    <w:p>
      <w:pPr>
        <w:ind w:right="200"/>
        <w:spacing w:after="0" w:line="314"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the process for estimating reserves. This included, among others, the review and approval processes that management has in place for the methods and assumptions used in estimating the reserves.</w:t>
      </w:r>
    </w:p>
    <w:p>
      <w:pPr>
        <w:spacing w:after="0" w:line="129" w:lineRule="exact"/>
        <w:rPr>
          <w:sz w:val="20"/>
          <w:szCs w:val="20"/>
          <w:color w:val="auto"/>
        </w:rPr>
      </w:pPr>
    </w:p>
    <w:p>
      <w:pPr>
        <w:ind w:right="120"/>
        <w:spacing w:after="0" w:line="265" w:lineRule="auto"/>
        <w:rPr>
          <w:sz w:val="20"/>
          <w:szCs w:val="20"/>
          <w:color w:val="auto"/>
        </w:rPr>
      </w:pPr>
      <w:r>
        <w:rPr>
          <w:rFonts w:ascii="Arial" w:cs="Arial" w:eastAsia="Arial" w:hAnsi="Arial"/>
          <w:sz w:val="13"/>
          <w:szCs w:val="13"/>
          <w:color w:val="auto"/>
        </w:rPr>
        <w:t>With the assistance of actuarial specialists, our audit procedures included, among others, an evaluation of the Company’s selection and weighting of actuarial methods used, including consideration of methods used in prior periods and those used in the industry for the specific types of insurance. To evaluate the significant assumptions used by management, we compared the significant assumptions, including loss development factors, and expected loss ratios, to factors historically used and current industry benchmarks. We also performed a review of the development of prior years’ reserve estimates. With the assistance of actuarial specialists, we established an independent range of reasonable reserve estimates, which we compared to management’s best estimate.</w:t>
      </w:r>
    </w:p>
    <w:p>
      <w:pPr>
        <w:spacing w:after="0" w:line="200" w:lineRule="exact"/>
        <w:rPr>
          <w:sz w:val="20"/>
          <w:szCs w:val="20"/>
          <w:color w:val="auto"/>
        </w:rPr>
      </w:pPr>
    </w:p>
    <w:p>
      <w:pPr>
        <w:sectPr>
          <w:pgSz w:w="11900" w:h="16838" w:orient="portrait"/>
          <w:cols w:equalWidth="0" w:num="2">
            <w:col w:w="1360" w:space="240"/>
            <w:col w:w="9640"/>
          </w:cols>
          <w:pgMar w:left="300" w:top="121" w:right="359" w:bottom="1440" w:gutter="0" w:footer="0" w:header="0"/>
          <w:type w:val="continuous"/>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Company’s auditor since 1961.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Ohio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25, 2026</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00274E"/>
        </w:rPr>
        <w:t>CONSOLIDATED BALANCE SHEET</w:t>
      </w:r>
    </w:p>
    <w:p>
      <w:pPr>
        <w:jc w:val="center"/>
        <w:spacing w:after="0"/>
        <w:rPr>
          <w:sz w:val="20"/>
          <w:szCs w:val="20"/>
          <w:color w:val="auto"/>
        </w:rPr>
      </w:pPr>
      <w:r>
        <w:rPr>
          <w:rFonts w:ascii="Arial" w:cs="Arial" w:eastAsia="Arial" w:hAnsi="Arial"/>
          <w:sz w:val="16"/>
          <w:szCs w:val="16"/>
          <w:b w:val="1"/>
          <w:bCs w:val="1"/>
          <w:color w:val="00274E"/>
        </w:rPr>
        <w:t>(Dollars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8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740" w:type="dxa"/>
            <w:vAlign w:val="bottom"/>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1,727</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Fixed maturities, available for sale at fair value (amortized cost — $11,101 and $10,687; allowance for expected credit losses of $21 and $34)</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11,052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10,398</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Fixed maturities, trading at fair value</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Equity securities, at fair value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Investments accounted for using the equity method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Mortgage loans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 estate and other investments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9"/>
        </w:trPr>
        <w:tc>
          <w:tcPr>
            <w:tcW w:w="8800" w:type="dxa"/>
            <w:vAlign w:val="bottom"/>
          </w:tcPr>
          <w:p>
            <w:pPr>
              <w:ind w:left="1140"/>
              <w:spacing w:after="0"/>
              <w:rPr>
                <w:sz w:val="20"/>
                <w:szCs w:val="20"/>
                <w:color w:val="auto"/>
              </w:rPr>
            </w:pPr>
            <w:r>
              <w:rPr>
                <w:rFonts w:ascii="Arial" w:cs="Arial" w:eastAsia="Arial" w:hAnsi="Arial"/>
                <w:sz w:val="13"/>
                <w:szCs w:val="13"/>
                <w:color w:val="auto"/>
              </w:rPr>
              <w:t>Total cash and investments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17,182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15,852</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Recoverables from reinsurers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5,528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5,176</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reinsurance premiums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Agents’ balances and premiums receivable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policy acquisition costs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Assets of managed investment entities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4,050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4,140</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receivables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62"/>
        </w:trPr>
        <w:tc>
          <w:tcPr>
            <w:tcW w:w="8800" w:type="dxa"/>
            <w:vAlign w:val="bottom"/>
          </w:tcPr>
          <w:p>
            <w:pPr>
              <w:ind w:left="1140"/>
              <w:spacing w:after="0"/>
              <w:rPr>
                <w:sz w:val="20"/>
                <w:szCs w:val="20"/>
                <w:color w:val="auto"/>
              </w:rPr>
            </w:pPr>
            <w:r>
              <w:rPr>
                <w:rFonts w:ascii="Arial" w:cs="Arial" w:eastAsia="Arial" w:hAnsi="Arial"/>
                <w:sz w:val="13"/>
                <w:szCs w:val="13"/>
                <w:color w:val="auto"/>
              </w:rPr>
              <w:t>Total assets</w:t>
            </w:r>
          </w:p>
        </w:tc>
        <w:tc>
          <w:tcPr>
            <w:tcW w:w="7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32,642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30,836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800" w:type="dxa"/>
            <w:vAlign w:val="bottom"/>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Unpaid losses and loss adjustment expenses</w:t>
            </w:r>
          </w:p>
        </w:tc>
        <w:tc>
          <w:tcPr>
            <w:tcW w:w="740" w:type="dxa"/>
            <w:vAlign w:val="bottom"/>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15,094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14,179</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Unearned premiums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3,736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3,584</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Payable to reinsurers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169"/>
        </w:trPr>
        <w:tc>
          <w:tcPr>
            <w:tcW w:w="8800" w:type="dxa"/>
            <w:vAlign w:val="bottom"/>
          </w:tcPr>
          <w:p>
            <w:pPr>
              <w:ind w:left="280"/>
              <w:spacing w:after="0"/>
              <w:rPr>
                <w:sz w:val="20"/>
                <w:szCs w:val="20"/>
                <w:color w:val="auto"/>
              </w:rPr>
            </w:pPr>
            <w:r>
              <w:rPr>
                <w:rFonts w:ascii="Arial" w:cs="Arial" w:eastAsia="Arial" w:hAnsi="Arial"/>
                <w:sz w:val="13"/>
                <w:szCs w:val="13"/>
                <w:color w:val="auto"/>
              </w:rPr>
              <w:t>Liabilities of managed investment entities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3,907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liabilities</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1,976</w:t>
            </w:r>
          </w:p>
        </w:tc>
        <w:tc>
          <w:tcPr>
            <w:tcW w:w="0" w:type="dxa"/>
            <w:vAlign w:val="bottom"/>
          </w:tcPr>
          <w:p>
            <w:pPr>
              <w:spacing w:after="0"/>
              <w:rPr>
                <w:sz w:val="1"/>
                <w:szCs w:val="1"/>
                <w:color w:val="auto"/>
              </w:rPr>
            </w:pPr>
          </w:p>
        </w:tc>
      </w:tr>
      <w:tr>
        <w:trPr>
          <w:trHeight w:val="162"/>
        </w:trPr>
        <w:tc>
          <w:tcPr>
            <w:tcW w:w="88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Total liabilities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27,822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26,370</w:t>
            </w:r>
          </w:p>
        </w:tc>
        <w:tc>
          <w:tcPr>
            <w:tcW w:w="0" w:type="dxa"/>
            <w:vAlign w:val="bottom"/>
          </w:tcPr>
          <w:p>
            <w:pPr>
              <w:spacing w:after="0"/>
              <w:rPr>
                <w:sz w:val="1"/>
                <w:szCs w:val="1"/>
                <w:color w:val="auto"/>
              </w:rPr>
            </w:pPr>
          </w:p>
        </w:tc>
      </w:tr>
      <w:tr>
        <w:trPr>
          <w:trHeight w:val="170"/>
        </w:trPr>
        <w:tc>
          <w:tcPr>
            <w:tcW w:w="8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Shareholders’ equity:</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800" w:type="dxa"/>
            <w:vAlign w:val="bottom"/>
          </w:tcPr>
          <w:p>
            <w:pPr>
              <w:ind w:left="520"/>
              <w:spacing w:after="0" w:line="128" w:lineRule="exact"/>
              <w:rPr>
                <w:sz w:val="20"/>
                <w:szCs w:val="20"/>
                <w:color w:val="auto"/>
              </w:rPr>
            </w:pPr>
            <w:r>
              <w:rPr>
                <w:rFonts w:ascii="Arial" w:cs="Arial" w:eastAsia="Arial" w:hAnsi="Arial"/>
                <w:sz w:val="13"/>
                <w:szCs w:val="13"/>
                <w:color w:val="auto"/>
              </w:rPr>
              <w:t>Common Stock, no par value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800" w:type="dxa"/>
            <w:vAlign w:val="bottom"/>
          </w:tcPr>
          <w:p>
            <w:pPr>
              <w:ind w:left="520"/>
              <w:spacing w:after="0" w:line="128" w:lineRule="exact"/>
              <w:rPr>
                <w:sz w:val="20"/>
                <w:szCs w:val="20"/>
                <w:color w:val="auto"/>
              </w:rPr>
            </w:pPr>
            <w:r>
              <w:rPr>
                <w:rFonts w:ascii="Arial" w:cs="Arial" w:eastAsia="Arial" w:hAnsi="Arial"/>
                <w:sz w:val="13"/>
                <w:szCs w:val="13"/>
                <w:color w:val="auto"/>
              </w:rPr>
              <w:t>— 200,000,000 shares authorized</w:t>
            </w:r>
          </w:p>
        </w:tc>
        <w:tc>
          <w:tcPr>
            <w:tcW w:w="7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8"/>
        </w:trPr>
        <w:tc>
          <w:tcPr>
            <w:tcW w:w="8800" w:type="dxa"/>
            <w:vAlign w:val="bottom"/>
          </w:tcPr>
          <w:p>
            <w:pPr>
              <w:ind w:left="520"/>
              <w:spacing w:after="0"/>
              <w:rPr>
                <w:sz w:val="20"/>
                <w:szCs w:val="20"/>
                <w:color w:val="auto"/>
              </w:rPr>
            </w:pPr>
            <w:r>
              <w:rPr>
                <w:rFonts w:ascii="Arial" w:cs="Arial" w:eastAsia="Arial" w:hAnsi="Arial"/>
                <w:sz w:val="13"/>
                <w:szCs w:val="13"/>
                <w:color w:val="auto"/>
              </w:rPr>
              <w:t>— 83,422,202 and 83,978,258 shares outstanding</w:t>
            </w:r>
          </w:p>
        </w:tc>
        <w:tc>
          <w:tcPr>
            <w:tcW w:w="7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Capital surplus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69"/>
        </w:trPr>
        <w:tc>
          <w:tcPr>
            <w:tcW w:w="8800" w:type="dxa"/>
            <w:vAlign w:val="bottom"/>
          </w:tcPr>
          <w:p>
            <w:pPr>
              <w:ind w:left="520"/>
              <w:spacing w:after="0"/>
              <w:rPr>
                <w:sz w:val="20"/>
                <w:szCs w:val="20"/>
                <w:color w:val="auto"/>
              </w:rPr>
            </w:pPr>
            <w:r>
              <w:rPr>
                <w:rFonts w:ascii="Arial" w:cs="Arial" w:eastAsia="Arial" w:hAnsi="Arial"/>
                <w:sz w:val="13"/>
                <w:szCs w:val="13"/>
                <w:color w:val="auto"/>
              </w:rPr>
              <w:t>Retained earnings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3,357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3,211</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Accumulated other comprehensive income (loss), net of tax</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9"/>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color w:val="auto"/>
              </w:rPr>
              <w:t>Total shareholders’ equity</w:t>
            </w: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w:t>
            </w:r>
          </w:p>
        </w:tc>
        <w:tc>
          <w:tcPr>
            <w:tcW w:w="0" w:type="dxa"/>
            <w:vAlign w:val="bottom"/>
          </w:tcPr>
          <w:p>
            <w:pPr>
              <w:spacing w:after="0"/>
              <w:rPr>
                <w:sz w:val="1"/>
                <w:szCs w:val="1"/>
                <w:color w:val="auto"/>
              </w:rPr>
            </w:pPr>
          </w:p>
        </w:tc>
      </w:tr>
      <w:tr>
        <w:trPr>
          <w:trHeight w:val="187"/>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3"/>
                <w:szCs w:val="13"/>
                <w:color w:val="auto"/>
              </w:rPr>
              <w:t>Total liabilities and shareholders’ equity</w:t>
            </w: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32,642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30,836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0274E"/>
        </w:rPr>
        <w:t>CONSOLIDATED STATEMENT OF EARNINGS</w:t>
      </w:r>
    </w:p>
    <w:p>
      <w:pPr>
        <w:jc w:val="center"/>
        <w:spacing w:after="0"/>
        <w:rPr>
          <w:sz w:val="20"/>
          <w:szCs w:val="20"/>
          <w:color w:val="auto"/>
        </w:rPr>
      </w:pPr>
      <w:r>
        <w:rPr>
          <w:rFonts w:ascii="Arial" w:cs="Arial" w:eastAsia="Arial" w:hAnsi="Arial"/>
          <w:sz w:val="16"/>
          <w:szCs w:val="16"/>
          <w:b w:val="1"/>
          <w:bCs w:val="1"/>
          <w:color w:val="00274E"/>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w w:val="98"/>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2025</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2023</w:t>
            </w:r>
          </w:p>
        </w:tc>
      </w:tr>
      <w:tr>
        <w:trPr>
          <w:trHeight w:val="15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7,046</w:t>
            </w:r>
          </w:p>
        </w:tc>
        <w:tc>
          <w:tcPr>
            <w:tcW w:w="3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6,531</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investment income</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Realized gains (losses) on: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Securities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Subsidiaries</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of managed investment entities: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Investment income</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421</w:t>
            </w: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Gain (loss) on change in fair value of assets/liabilities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income</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r>
      <w:tr>
        <w:trPr>
          <w:trHeight w:val="162"/>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revenues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7,827</w:t>
            </w:r>
          </w:p>
        </w:tc>
      </w:tr>
      <w:tr>
        <w:trPr>
          <w:trHeight w:val="170"/>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4,388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4,460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4,033</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w:t>
            </w: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Interest charges on borrowed money</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Expenses of managed investment entities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expenses</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r>
      <w:tr>
        <w:trPr>
          <w:trHeight w:val="162"/>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costs and expenses</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7,200</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6,754</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Earnings before income taxes</w:t>
            </w: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1,073</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Net Earnings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842</w:t>
            </w:r>
          </w:p>
        </w:tc>
        <w:tc>
          <w:tcPr>
            <w:tcW w:w="3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852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Earnings per Common Share: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basic earnings</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7520" w:type="dxa"/>
            <w:vAlign w:val="bottom"/>
          </w:tcPr>
          <w:p>
            <w:pPr>
              <w:ind w:left="280"/>
              <w:spacing w:after="0" w:line="133" w:lineRule="exact"/>
              <w:rPr>
                <w:sz w:val="20"/>
                <w:szCs w:val="20"/>
                <w:color w:val="auto"/>
              </w:rPr>
            </w:pPr>
            <w:r>
              <w:rPr>
                <w:rFonts w:ascii="Arial" w:cs="Arial" w:eastAsia="Arial" w:hAnsi="Arial"/>
                <w:sz w:val="13"/>
                <w:szCs w:val="13"/>
                <w:color w:val="auto"/>
              </w:rPr>
              <w:t>Total diluted earnings</w:t>
            </w:r>
          </w:p>
        </w:tc>
        <w:tc>
          <w:tcPr>
            <w:tcW w:w="780" w:type="dxa"/>
            <w:vAlign w:val="bottom"/>
          </w:tcPr>
          <w:p>
            <w:pPr>
              <w:jc w:val="right"/>
              <w:ind w:right="637"/>
              <w:spacing w:after="0" w:line="133" w:lineRule="exact"/>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line="133" w:lineRule="exact"/>
              <w:rPr>
                <w:sz w:val="20"/>
                <w:szCs w:val="20"/>
                <w:color w:val="auto"/>
              </w:rPr>
            </w:pPr>
            <w:r>
              <w:rPr>
                <w:rFonts w:ascii="Arial" w:cs="Arial" w:eastAsia="Arial" w:hAnsi="Arial"/>
                <w:sz w:val="13"/>
                <w:szCs w:val="13"/>
                <w:color w:val="auto"/>
              </w:rPr>
              <w:t>10.08</w:t>
            </w:r>
          </w:p>
        </w:tc>
        <w:tc>
          <w:tcPr>
            <w:tcW w:w="38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10.57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10.05</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Average number of Common Shares:</w:t>
            </w: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Basic</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84.7</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CONSOLIDATED STATEMENT OF COMPREHENSIVE INCOME</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2"/>
                <w:szCs w:val="12"/>
                <w:color w:val="auto"/>
              </w:rPr>
              <w:t>Year ended December 31,</w:t>
            </w:r>
          </w:p>
        </w:tc>
        <w:tc>
          <w:tcPr>
            <w:tcW w:w="760" w:type="dxa"/>
            <w:vAlign w:val="bottom"/>
            <w:tcBorders>
              <w:bottom w:val="single" w:sz="8" w:color="auto"/>
            </w:tcBorders>
          </w:tcPr>
          <w:p>
            <w:pPr>
              <w:spacing w:after="0"/>
              <w:rPr>
                <w:sz w:val="14"/>
                <w:szCs w:val="14"/>
                <w:color w:val="auto"/>
              </w:rPr>
            </w:pPr>
          </w:p>
        </w:tc>
      </w:tr>
      <w:tr>
        <w:trPr>
          <w:trHeight w:val="152"/>
        </w:trPr>
        <w:tc>
          <w:tcPr>
            <w:tcW w:w="80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2023</w:t>
            </w:r>
          </w:p>
        </w:tc>
      </w:tr>
      <w:tr>
        <w:trPr>
          <w:trHeight w:val="16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r>
      <w:tr>
        <w:trPr>
          <w:trHeight w:val="202"/>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Net unrealized gains (losses) on securities: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holding gains (losses) on securities arising during the period</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Reclassification adjustment for realized (gains) losses included in net earnings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r>
      <w:tr>
        <w:trPr>
          <w:trHeight w:val="162"/>
        </w:trPr>
        <w:tc>
          <w:tcPr>
            <w:tcW w:w="80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net unrealized gains (losses) on securities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Net unrealized gains (losses) on cash flow hedges: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holding gains (losses) on cash flow hedges arising during the period</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Reclassification adjustment for investment income included in net earnings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62"/>
        </w:trPr>
        <w:tc>
          <w:tcPr>
            <w:tcW w:w="80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net unrealized gains (losses) on cash flow hedges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Foreign currency translation adjustments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8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Pension and other postretirement plan adjustments</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9"/>
        </w:trPr>
        <w:tc>
          <w:tcPr>
            <w:tcW w:w="80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Other comprehensive income, net of tax</w:t>
            </w: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w:t>
            </w:r>
          </w:p>
        </w:tc>
      </w:tr>
      <w:tr>
        <w:trPr>
          <w:trHeight w:val="183"/>
        </w:trPr>
        <w:tc>
          <w:tcPr>
            <w:tcW w:w="8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0"/>
        </w:trPr>
        <w:tc>
          <w:tcPr>
            <w:tcW w:w="808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CONSOLIDATED STATEMENT OF CHANGES IN EQUITY</w:t>
      </w:r>
    </w:p>
    <w:p>
      <w:pPr>
        <w:jc w:val="center"/>
        <w:spacing w:after="0"/>
        <w:rPr>
          <w:sz w:val="20"/>
          <w:szCs w:val="20"/>
          <w:color w:val="auto"/>
        </w:rPr>
      </w:pPr>
      <w:r>
        <w:rPr>
          <w:rFonts w:ascii="Arial" w:cs="Arial" w:eastAsia="Arial" w:hAnsi="Arial"/>
          <w:sz w:val="16"/>
          <w:szCs w:val="16"/>
          <w:b w:val="1"/>
          <w:bCs w:val="1"/>
          <w:color w:val="00274E"/>
        </w:rPr>
        <w:t>(Dollars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color w:val="auto"/>
              </w:rPr>
              <w:t>Shareholders’ Equity</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880" w:type="dxa"/>
            <w:vAlign w:val="bottom"/>
          </w:tcPr>
          <w:p>
            <w:pPr>
              <w:spacing w:after="0"/>
              <w:rPr>
                <w:sz w:val="21"/>
                <w:szCs w:val="21"/>
                <w:color w:val="auto"/>
              </w:rPr>
            </w:pPr>
          </w:p>
        </w:tc>
        <w:tc>
          <w:tcPr>
            <w:tcW w:w="14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1"/>
                <w:szCs w:val="11"/>
                <w:color w:val="auto"/>
              </w:rPr>
              <w:t>Common 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color w:val="auto"/>
              </w:rPr>
              <w:t>Common Stock and</w:t>
            </w: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color w:val="auto"/>
              </w:rPr>
              <w:t>Retained Earnings</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Accumulated Other Comp.</w:t>
            </w:r>
          </w:p>
        </w:tc>
        <w:tc>
          <w:tcPr>
            <w:tcW w:w="240" w:type="dxa"/>
            <w:vAlign w:val="bottom"/>
          </w:tcPr>
          <w:p>
            <w:pPr>
              <w:spacing w:after="0"/>
              <w:rPr>
                <w:sz w:val="21"/>
                <w:szCs w:val="21"/>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color w:val="auto"/>
              </w:rPr>
              <w:t>Capital Surplus</w:t>
            </w:r>
          </w:p>
        </w:tc>
        <w:tc>
          <w:tcPr>
            <w:tcW w:w="1060" w:type="dxa"/>
            <w:vAlign w:val="bottom"/>
            <w:gridSpan w:val="3"/>
            <w:vMerge w:val="continue"/>
          </w:tcPr>
          <w:p>
            <w:pPr>
              <w:spacing w:after="0"/>
              <w:rPr>
                <w:sz w:val="12"/>
                <w:szCs w:val="12"/>
                <w:color w:val="auto"/>
              </w:rPr>
            </w:pPr>
          </w:p>
        </w:tc>
        <w:tc>
          <w:tcPr>
            <w:tcW w:w="1040" w:type="dxa"/>
            <w:vAlign w:val="bottom"/>
          </w:tcPr>
          <w:p>
            <w:pPr>
              <w:ind w:left="320"/>
              <w:spacing w:after="0"/>
              <w:rPr>
                <w:sz w:val="20"/>
                <w:szCs w:val="20"/>
                <w:color w:val="auto"/>
              </w:rPr>
            </w:pPr>
            <w:r>
              <w:rPr>
                <w:rFonts w:ascii="Arial" w:cs="Arial" w:eastAsia="Arial" w:hAnsi="Arial"/>
                <w:sz w:val="11"/>
                <w:szCs w:val="11"/>
                <w:color w:val="auto"/>
              </w:rPr>
              <w:t>Income (Loss)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85,204,006</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3,142</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(543)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Dividends ($8.10 per share)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tcPr>
          <w:p>
            <w:pPr>
              <w:jc w:val="right"/>
              <w:spacing w:after="0"/>
              <w:rPr>
                <w:sz w:val="20"/>
                <w:szCs w:val="20"/>
                <w:color w:val="auto"/>
              </w:rPr>
            </w:pPr>
            <w:r>
              <w:rPr>
                <w:rFonts w:ascii="Arial" w:cs="Arial" w:eastAsia="Arial" w:hAnsi="Arial"/>
                <w:sz w:val="13"/>
                <w:szCs w:val="13"/>
                <w:color w:val="auto"/>
              </w:rPr>
              <w:t>96,953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165,513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104,207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acquired and retired</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(1,872,544)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(64,060)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83,635,807</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1,456</w:t>
            </w:r>
          </w:p>
        </w:tc>
        <w:tc>
          <w:tcPr>
            <w:tcW w:w="80" w:type="dxa"/>
            <w:vAlign w:val="bottom"/>
          </w:tcPr>
          <w:p>
            <w:pPr>
              <w:spacing w:after="0"/>
              <w:rPr>
                <w:sz w:val="13"/>
                <w:szCs w:val="13"/>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3,121</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(319)</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4,258</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($9.43 per share)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127,719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tcPr>
          <w:p>
            <w:pPr>
              <w:jc w:val="right"/>
              <w:spacing w:after="0"/>
              <w:rPr>
                <w:sz w:val="20"/>
                <w:szCs w:val="20"/>
                <w:color w:val="auto"/>
              </w:rPr>
            </w:pPr>
            <w:r>
              <w:rPr>
                <w:rFonts w:ascii="Arial" w:cs="Arial" w:eastAsia="Arial" w:hAnsi="Arial"/>
                <w:sz w:val="13"/>
                <w:szCs w:val="13"/>
                <w:color w:val="auto"/>
              </w:rPr>
              <w:t>157,681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100,716</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tcPr>
          <w:p>
            <w:pPr>
              <w:jc w:val="right"/>
              <w:spacing w:after="0"/>
              <w:rPr>
                <w:sz w:val="20"/>
                <w:szCs w:val="20"/>
                <w:color w:val="auto"/>
              </w:rPr>
            </w:pPr>
            <w:r>
              <w:rPr>
                <w:rFonts w:ascii="Arial" w:cs="Arial" w:eastAsia="Arial" w:hAnsi="Arial"/>
                <w:sz w:val="13"/>
                <w:szCs w:val="13"/>
                <w:color w:val="auto"/>
              </w:rPr>
              <w:t>22,740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tcPr>
          <w:p>
            <w:pPr>
              <w:jc w:val="right"/>
              <w:spacing w:after="0"/>
              <w:rPr>
                <w:sz w:val="20"/>
                <w:szCs w:val="20"/>
                <w:color w:val="auto"/>
              </w:rPr>
            </w:pPr>
            <w:r>
              <w:rPr>
                <w:rFonts w:ascii="Arial" w:cs="Arial" w:eastAsia="Arial" w:hAnsi="Arial"/>
                <w:sz w:val="13"/>
                <w:szCs w:val="13"/>
                <w:color w:val="auto"/>
              </w:rPr>
              <w:t>(53,573)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83,978,258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1,495</w:t>
            </w:r>
          </w:p>
        </w:tc>
        <w:tc>
          <w:tcPr>
            <w:tcW w:w="80" w:type="dxa"/>
            <w:vAlign w:val="bottom"/>
          </w:tcPr>
          <w:p>
            <w:pPr>
              <w:spacing w:after="0"/>
              <w:rPr>
                <w:sz w:val="13"/>
                <w:szCs w:val="13"/>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3,211</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(240)</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4,466</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($7.28 per share)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issued:</w:t>
            </w: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Exercise of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Restricted stock awards</w:t>
            </w:r>
          </w:p>
        </w:tc>
        <w:tc>
          <w:tcPr>
            <w:tcW w:w="1320" w:type="dxa"/>
            <w:vAlign w:val="bottom"/>
          </w:tcPr>
          <w:p>
            <w:pPr>
              <w:jc w:val="right"/>
              <w:spacing w:after="0"/>
              <w:rPr>
                <w:sz w:val="20"/>
                <w:szCs w:val="20"/>
                <w:color w:val="auto"/>
              </w:rPr>
            </w:pPr>
            <w:r>
              <w:rPr>
                <w:rFonts w:ascii="Arial" w:cs="Arial" w:eastAsia="Arial" w:hAnsi="Arial"/>
                <w:sz w:val="13"/>
                <w:szCs w:val="13"/>
                <w:color w:val="auto"/>
              </w:rPr>
              <w:t>166,297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105,123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4880" w:type="dxa"/>
            <w:vAlign w:val="bottom"/>
          </w:tcPr>
          <w:p>
            <w:pPr>
              <w:ind w:left="280"/>
              <w:spacing w:after="0"/>
              <w:rPr>
                <w:sz w:val="20"/>
                <w:szCs w:val="20"/>
                <w:color w:val="auto"/>
              </w:rPr>
            </w:pPr>
            <w:r>
              <w:rPr>
                <w:rFonts w:ascii="Arial" w:cs="Arial" w:eastAsia="Arial" w:hAnsi="Arial"/>
                <w:sz w:val="13"/>
                <w:szCs w:val="13"/>
                <w:color w:val="auto"/>
              </w:rPr>
              <w:t>Dividend reinvestment plan</w:t>
            </w:r>
          </w:p>
        </w:tc>
        <w:tc>
          <w:tcPr>
            <w:tcW w:w="1320" w:type="dxa"/>
            <w:vAlign w:val="bottom"/>
          </w:tcPr>
          <w:p>
            <w:pPr>
              <w:jc w:val="right"/>
              <w:spacing w:after="0"/>
              <w:rPr>
                <w:sz w:val="20"/>
                <w:szCs w:val="20"/>
                <w:color w:val="auto"/>
              </w:rPr>
            </w:pPr>
            <w:r>
              <w:rPr>
                <w:rFonts w:ascii="Arial" w:cs="Arial" w:eastAsia="Arial" w:hAnsi="Arial"/>
                <w:sz w:val="13"/>
                <w:szCs w:val="13"/>
                <w:color w:val="auto"/>
              </w:rPr>
              <w:t>17,932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Shares acquired and retired</w:t>
            </w:r>
          </w:p>
        </w:tc>
        <w:tc>
          <w:tcPr>
            <w:tcW w:w="1320" w:type="dxa"/>
            <w:vAlign w:val="bottom"/>
          </w:tcPr>
          <w:p>
            <w:pPr>
              <w:jc w:val="right"/>
              <w:spacing w:after="0"/>
              <w:rPr>
                <w:sz w:val="20"/>
                <w:szCs w:val="20"/>
                <w:color w:val="auto"/>
              </w:rPr>
            </w:pPr>
            <w:r>
              <w:rPr>
                <w:rFonts w:ascii="Arial" w:cs="Arial" w:eastAsia="Arial" w:hAnsi="Arial"/>
                <w:sz w:val="13"/>
                <w:szCs w:val="13"/>
                <w:color w:val="auto"/>
              </w:rPr>
              <w:t>(799,398)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exchanged — benefit plans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(43,505)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Forfeitures of restricted stock</w:t>
            </w:r>
          </w:p>
        </w:tc>
        <w:tc>
          <w:tcPr>
            <w:tcW w:w="1320" w:type="dxa"/>
            <w:vAlign w:val="bottom"/>
          </w:tcPr>
          <w:p>
            <w:pPr>
              <w:jc w:val="right"/>
              <w:spacing w:after="0"/>
              <w:rPr>
                <w:sz w:val="20"/>
                <w:szCs w:val="20"/>
                <w:color w:val="auto"/>
              </w:rPr>
            </w:pPr>
            <w:r>
              <w:rPr>
                <w:rFonts w:ascii="Arial" w:cs="Arial" w:eastAsia="Arial" w:hAnsi="Arial"/>
                <w:sz w:val="13"/>
                <w:szCs w:val="13"/>
                <w:color w:val="auto"/>
              </w:rPr>
              <w:t>(21,437)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2025</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83,422,202</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00274E"/>
        </w:rPr>
        <w:t>CONSOLIDATED STATEMENT OF CASH FLOWS</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0"/>
        </w:trPr>
        <w:tc>
          <w:tcPr>
            <w:tcW w:w="75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color w:val="auto"/>
              </w:rPr>
              <w:t>2023</w:t>
            </w:r>
          </w:p>
        </w:tc>
      </w:tr>
      <w:tr>
        <w:trPr>
          <w:trHeight w:val="153"/>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Net earnings</w:t>
            </w:r>
          </w:p>
        </w:tc>
        <w:tc>
          <w:tcPr>
            <w:tcW w:w="760" w:type="dxa"/>
            <w:vAlign w:val="bottom"/>
          </w:tcPr>
          <w:p>
            <w:pPr>
              <w:jc w:val="right"/>
              <w:ind w:right="59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842</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852</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Realized (gains) losses on investing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Net (purchases) sales of trading securities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Change in:</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Reinsurance and other receivables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(794)</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Other assets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Insurance claims and reserves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1,066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1,318</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Payable to reinsurers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9"/>
        </w:trPr>
        <w:tc>
          <w:tcPr>
            <w:tcW w:w="7540" w:type="dxa"/>
            <w:vAlign w:val="bottom"/>
          </w:tcPr>
          <w:p>
            <w:pPr>
              <w:ind w:left="880"/>
              <w:spacing w:after="0"/>
              <w:rPr>
                <w:sz w:val="20"/>
                <w:szCs w:val="20"/>
                <w:color w:val="auto"/>
              </w:rPr>
            </w:pPr>
            <w:r>
              <w:rPr>
                <w:rFonts w:ascii="Arial" w:cs="Arial" w:eastAsia="Arial" w:hAnsi="Arial"/>
                <w:sz w:val="13"/>
                <w:szCs w:val="13"/>
                <w:color w:val="auto"/>
              </w:rPr>
              <w:t>Other liabilities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71"/>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Managed investment entities’ assets/liabilities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r>
      <w:tr>
        <w:trPr>
          <w:trHeight w:val="169"/>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operating activities, net</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60"/>
        </w:trPr>
        <w:tc>
          <w:tcPr>
            <w:tcW w:w="75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cash provided by operating activities</w:t>
            </w:r>
          </w:p>
        </w:tc>
        <w:tc>
          <w:tcPr>
            <w:tcW w:w="7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w:t>
            </w:r>
          </w:p>
        </w:tc>
      </w:tr>
      <w:tr>
        <w:trPr>
          <w:trHeight w:val="109"/>
        </w:trPr>
        <w:tc>
          <w:tcPr>
            <w:tcW w:w="7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Purchases of:</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Fixed maturities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(2,984)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Equity securities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Mortgage loans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Other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Real estate, property and equipment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Businesses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Maturities and redemptions of fixed maturities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2,437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1,310</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Repayments of mortgage loans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Sales of fixed maturities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Sales of equity securities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Sales of other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Sales of real estate, property and equipment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Cash and cash equivalents of businesses acquired</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Managed investment entities: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520"/>
              <w:spacing w:after="0"/>
              <w:rPr>
                <w:sz w:val="20"/>
                <w:szCs w:val="20"/>
                <w:color w:val="auto"/>
              </w:rPr>
            </w:pPr>
            <w:r>
              <w:rPr>
                <w:rFonts w:ascii="Arial" w:cs="Arial" w:eastAsia="Arial" w:hAnsi="Arial"/>
                <w:sz w:val="13"/>
                <w:szCs w:val="13"/>
                <w:color w:val="auto"/>
              </w:rPr>
              <w:t>Purchases of investments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(2,102)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(1,466)</w:t>
            </w:r>
          </w:p>
        </w:tc>
      </w:tr>
      <w:tr>
        <w:trPr>
          <w:trHeight w:val="171"/>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Proceeds from sales and redemptions of investments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w:t>
            </w:r>
          </w:p>
        </w:tc>
      </w:tr>
      <w:tr>
        <w:trPr>
          <w:trHeight w:val="169"/>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investing activities, net</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provided by (used in) investing activities</w:t>
            </w:r>
          </w:p>
        </w:tc>
        <w:tc>
          <w:tcPr>
            <w:tcW w:w="7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r>
      <w:tr>
        <w:trPr>
          <w:trHeight w:val="109"/>
        </w:trPr>
        <w:tc>
          <w:tcPr>
            <w:tcW w:w="7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Additional long-term borrowings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Reductions of long-term debt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Issuances of Common Stock</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r>
      <w:tr>
        <w:trPr>
          <w:trHeight w:val="169"/>
        </w:trPr>
        <w:tc>
          <w:tcPr>
            <w:tcW w:w="7540" w:type="dxa"/>
            <w:vAlign w:val="bottom"/>
          </w:tcPr>
          <w:p>
            <w:pPr>
              <w:ind w:left="280"/>
              <w:spacing w:after="0"/>
              <w:rPr>
                <w:sz w:val="20"/>
                <w:szCs w:val="20"/>
                <w:color w:val="auto"/>
              </w:rPr>
            </w:pPr>
            <w:r>
              <w:rPr>
                <w:rFonts w:ascii="Arial" w:cs="Arial" w:eastAsia="Arial" w:hAnsi="Arial"/>
                <w:sz w:val="13"/>
                <w:szCs w:val="13"/>
                <w:color w:val="auto"/>
              </w:rPr>
              <w:t>Cash dividends paid on Common Stock</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171"/>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Issuances of managed investment entities’ liabilities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r>
      <w:tr>
        <w:trPr>
          <w:trHeight w:val="169"/>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Retirements of managed investment entities’ liabilities</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(3,021)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w:t>
            </w:r>
          </w:p>
        </w:tc>
      </w:tr>
      <w:tr>
        <w:trPr>
          <w:trHeight w:val="162"/>
        </w:trPr>
        <w:tc>
          <w:tcPr>
            <w:tcW w:w="7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used in financing activities</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w:t>
            </w:r>
          </w:p>
        </w:tc>
      </w:tr>
      <w:tr>
        <w:trPr>
          <w:trHeight w:val="160"/>
        </w:trPr>
        <w:tc>
          <w:tcPr>
            <w:tcW w:w="7540" w:type="dxa"/>
            <w:vAlign w:val="bottom"/>
          </w:tcPr>
          <w:p>
            <w:pPr>
              <w:ind w:left="20"/>
              <w:spacing w:after="0"/>
              <w:rPr>
                <w:sz w:val="20"/>
                <w:szCs w:val="20"/>
                <w:color w:val="auto"/>
              </w:rPr>
            </w:pPr>
            <w:r>
              <w:rPr>
                <w:rFonts w:ascii="Arial" w:cs="Arial" w:eastAsia="Arial" w:hAnsi="Arial"/>
                <w:sz w:val="13"/>
                <w:szCs w:val="13"/>
                <w:b w:val="1"/>
                <w:bCs w:val="1"/>
                <w:color w:val="auto"/>
              </w:rPr>
              <w:t>Net Change in Cash and Cash Equivalents</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353</w:t>
            </w:r>
          </w:p>
        </w:tc>
      </w:tr>
      <w:tr>
        <w:trPr>
          <w:trHeight w:val="169"/>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w:t>
            </w:r>
          </w:p>
        </w:tc>
      </w:tr>
      <w:tr>
        <w:trPr>
          <w:trHeight w:val="162"/>
        </w:trPr>
        <w:tc>
          <w:tcPr>
            <w:tcW w:w="7540" w:type="dxa"/>
            <w:vAlign w:val="bottom"/>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760" w:type="dxa"/>
            <w:vAlign w:val="bottom"/>
          </w:tcPr>
          <w:p>
            <w:pPr>
              <w:jc w:val="right"/>
              <w:ind w:right="59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1,727</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1,406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1,225</w:t>
            </w:r>
          </w:p>
        </w:tc>
      </w:tr>
      <w:tr>
        <w:trPr>
          <w:trHeight w:val="20"/>
        </w:trPr>
        <w:tc>
          <w:tcPr>
            <w:tcW w:w="7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00FF"/>
        </w:rPr>
        <w:t>Table of Contents</w:t>
      </w:r>
    </w:p>
    <w:tbl>
      <w:tblPr>
        <w:tblLayout w:type="fixed"/>
        <w:tblInd w:w="0" w:type="dxa"/>
        <w:tblCellMar>
          <w:top w:w="0" w:type="dxa"/>
          <w:left w:w="0" w:type="dxa"/>
          <w:bottom w:w="0" w:type="dxa"/>
          <w:right w:w="0" w:type="dxa"/>
        </w:tblCellMar>
      </w:tblPr>
      <w:tr>
        <w:trPr>
          <w:trHeight w:val="184"/>
        </w:trPr>
        <w:tc>
          <w:tcPr>
            <w:tcW w:w="4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020" w:type="dxa"/>
            <w:vAlign w:val="bottom"/>
          </w:tcPr>
          <w:p>
            <w:pPr>
              <w:spacing w:after="0"/>
              <w:rPr>
                <w:sz w:val="15"/>
                <w:szCs w:val="15"/>
                <w:color w:val="auto"/>
              </w:rPr>
            </w:pPr>
          </w:p>
        </w:tc>
        <w:tc>
          <w:tcPr>
            <w:tcW w:w="8140" w:type="dxa"/>
            <w:vAlign w:val="bottom"/>
            <w:gridSpan w:val="2"/>
          </w:tcPr>
          <w:p>
            <w:pPr>
              <w:jc w:val="center"/>
              <w:ind w:right="3062"/>
              <w:spacing w:after="0"/>
              <w:rPr>
                <w:sz w:val="20"/>
                <w:szCs w:val="20"/>
                <w:color w:val="auto"/>
              </w:rPr>
            </w:pPr>
            <w:r>
              <w:rPr>
                <w:rFonts w:ascii="Arial" w:cs="Arial" w:eastAsia="Arial" w:hAnsi="Arial"/>
                <w:sz w:val="16"/>
                <w:szCs w:val="16"/>
                <w:b w:val="1"/>
                <w:bCs w:val="1"/>
                <w:color w:val="00274E"/>
                <w:w w:val="96"/>
              </w:rPr>
              <w:t>AMERICAN FINANCIAL GROUP, INC. AND SUBSIDIARIES</w:t>
            </w:r>
          </w:p>
        </w:tc>
      </w:tr>
      <w:tr>
        <w:trPr>
          <w:trHeight w:val="215"/>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140" w:type="dxa"/>
            <w:vAlign w:val="bottom"/>
            <w:gridSpan w:val="2"/>
          </w:tcPr>
          <w:p>
            <w:pPr>
              <w:jc w:val="center"/>
              <w:ind w:right="3042"/>
              <w:spacing w:after="0"/>
              <w:rPr>
                <w:sz w:val="20"/>
                <w:szCs w:val="20"/>
                <w:color w:val="auto"/>
              </w:rPr>
            </w:pPr>
            <w:r>
              <w:rPr>
                <w:rFonts w:ascii="Arial" w:cs="Arial" w:eastAsia="Arial" w:hAnsi="Arial"/>
                <w:sz w:val="16"/>
                <w:szCs w:val="16"/>
                <w:b w:val="1"/>
                <w:bCs w:val="1"/>
                <w:color w:val="00274E"/>
                <w:w w:val="96"/>
              </w:rPr>
              <w:t>NOTES TO CONSOLIDATED FINANCIAL STATEMENTS</w:t>
            </w:r>
          </w:p>
        </w:tc>
      </w:tr>
      <w:tr>
        <w:trPr>
          <w:trHeight w:val="592"/>
        </w:trPr>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center"/>
              <w:ind w:left="1762"/>
              <w:spacing w:after="0"/>
              <w:rPr>
                <w:sz w:val="20"/>
                <w:szCs w:val="20"/>
                <w:color w:val="auto"/>
              </w:rPr>
            </w:pPr>
            <w:r>
              <w:rPr>
                <w:rFonts w:ascii="Arial" w:cs="Arial" w:eastAsia="Arial" w:hAnsi="Arial"/>
                <w:sz w:val="16"/>
                <w:szCs w:val="16"/>
                <w:b w:val="1"/>
                <w:bCs w:val="1"/>
                <w:color w:val="00274E"/>
                <w:w w:val="97"/>
              </w:rPr>
              <w:t>INDEX TO NOTES</w:t>
            </w:r>
          </w:p>
        </w:tc>
        <w:tc>
          <w:tcPr>
            <w:tcW w:w="4980" w:type="dxa"/>
            <w:vAlign w:val="bottom"/>
            <w:tcBorders>
              <w:bottom w:val="single" w:sz="8" w:color="auto"/>
            </w:tcBorders>
          </w:tcPr>
          <w:p>
            <w:pPr>
              <w:spacing w:after="0"/>
              <w:rPr>
                <w:sz w:val="24"/>
                <w:szCs w:val="24"/>
                <w:color w:val="auto"/>
              </w:rPr>
            </w:pPr>
          </w:p>
        </w:tc>
      </w:tr>
      <w:tr>
        <w:trPr>
          <w:trHeight w:val="375"/>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A.</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Accounting Policies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I.</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Long-Term Debt</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B.</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Acquisitions of Businesses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J.</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Leases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C.</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Segments of Operations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K.</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Shareholders’ Equity</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D.</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Fair Value Measurements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L.</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Income Taxes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E.</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Investments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M.</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Contingencies</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F.</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Derivatives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N.</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Insurance</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b w:val="1"/>
                <w:bCs w:val="1"/>
                <w:color w:val="00274E"/>
              </w:rPr>
              <w:t>G.</w:t>
            </w:r>
          </w:p>
        </w:tc>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00274E"/>
              </w:rPr>
              <w:t>Managed Investment Entities</w:t>
            </w:r>
          </w:p>
        </w:tc>
        <w:tc>
          <w:tcPr>
            <w:tcW w:w="3160" w:type="dxa"/>
            <w:vAlign w:val="bottom"/>
          </w:tcPr>
          <w:p>
            <w:pPr>
              <w:ind w:left="2560"/>
              <w:spacing w:after="0"/>
              <w:rPr>
                <w:sz w:val="20"/>
                <w:szCs w:val="20"/>
                <w:color w:val="auto"/>
              </w:rPr>
            </w:pPr>
            <w:r>
              <w:rPr>
                <w:rFonts w:ascii="Arial" w:cs="Arial" w:eastAsia="Arial" w:hAnsi="Arial"/>
                <w:sz w:val="16"/>
                <w:szCs w:val="16"/>
                <w:b w:val="1"/>
                <w:bCs w:val="1"/>
                <w:color w:val="00274E"/>
              </w:rPr>
              <w:t>O.</w:t>
            </w:r>
          </w:p>
        </w:tc>
        <w:tc>
          <w:tcPr>
            <w:tcW w:w="4980" w:type="dxa"/>
            <w:vAlign w:val="bottom"/>
          </w:tcPr>
          <w:p>
            <w:pPr>
              <w:spacing w:after="0"/>
              <w:rPr>
                <w:sz w:val="20"/>
                <w:szCs w:val="20"/>
                <w:color w:val="auto"/>
              </w:rPr>
            </w:pPr>
            <w:r>
              <w:rPr>
                <w:rFonts w:ascii="Arial" w:cs="Arial" w:eastAsia="Arial" w:hAnsi="Arial"/>
                <w:sz w:val="16"/>
                <w:szCs w:val="16"/>
                <w:b w:val="1"/>
                <w:bCs w:val="1"/>
                <w:color w:val="00274E"/>
              </w:rPr>
              <w:t>Additional Information</w:t>
            </w:r>
          </w:p>
        </w:tc>
      </w:tr>
    </w:tbl>
    <w:p>
      <w:pPr>
        <w:spacing w:after="0" w:line="19" w:lineRule="exact"/>
        <w:rPr>
          <w:sz w:val="20"/>
          <w:szCs w:val="20"/>
          <w:color w:val="auto"/>
        </w:rPr>
      </w:pPr>
    </w:p>
    <w:p>
      <w:pPr>
        <w:ind w:left="620" w:hanging="601"/>
        <w:spacing w:after="0"/>
        <w:tabs>
          <w:tab w:leader="none" w:pos="620" w:val="left"/>
        </w:tabs>
        <w:numPr>
          <w:ilvl w:val="0"/>
          <w:numId w:val="30"/>
        </w:numPr>
        <w:rPr>
          <w:rFonts w:ascii="Arial" w:cs="Arial" w:eastAsia="Arial" w:hAnsi="Arial"/>
          <w:sz w:val="16"/>
          <w:szCs w:val="16"/>
          <w:b w:val="1"/>
          <w:bCs w:val="1"/>
          <w:color w:val="00274E"/>
        </w:rPr>
      </w:pPr>
      <w:r>
        <w:rPr>
          <w:rFonts w:ascii="Arial" w:cs="Arial" w:eastAsia="Arial" w:hAnsi="Arial"/>
          <w:sz w:val="16"/>
          <w:szCs w:val="16"/>
          <w:b w:val="1"/>
          <w:bCs w:val="1"/>
          <w:color w:val="00274E"/>
        </w:rPr>
        <w:t>Goodwill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8" w:lineRule="exact"/>
        <w:rPr>
          <w:sz w:val="20"/>
          <w:szCs w:val="20"/>
          <w:color w:val="auto"/>
        </w:rPr>
      </w:pPr>
    </w:p>
    <w:p>
      <w:pPr>
        <w:ind w:left="480" w:hanging="475"/>
        <w:spacing w:after="0"/>
        <w:tabs>
          <w:tab w:leader="none" w:pos="480" w:val="left"/>
        </w:tabs>
        <w:numPr>
          <w:ilvl w:val="0"/>
          <w:numId w:val="31"/>
        </w:numPr>
        <w:rPr>
          <w:rFonts w:ascii="Arial" w:cs="Arial" w:eastAsia="Arial" w:hAnsi="Arial"/>
          <w:sz w:val="23"/>
          <w:szCs w:val="23"/>
          <w:b w:val="1"/>
          <w:bCs w:val="1"/>
          <w:color w:val="00274E"/>
        </w:rPr>
      </w:pPr>
      <w:r>
        <w:rPr>
          <w:rFonts w:ascii="Arial" w:cs="Arial" w:eastAsia="Arial" w:hAnsi="Arial"/>
          <w:sz w:val="23"/>
          <w:szCs w:val="23"/>
          <w:b w:val="1"/>
          <w:bCs w:val="1"/>
          <w:color w:val="00274E"/>
        </w:rPr>
        <w:t>Accounting Policies</w:t>
      </w:r>
    </w:p>
    <w:p>
      <w:pPr>
        <w:spacing w:after="0" w:line="19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00274E"/>
        </w:rPr>
        <w:t xml:space="preserve">Basis of Presentation </w:t>
      </w:r>
      <w:r>
        <w:rPr>
          <w:rFonts w:ascii="Arial" w:cs="Arial" w:eastAsia="Arial" w:hAnsi="Arial"/>
          <w:sz w:val="13"/>
          <w:szCs w:val="13"/>
          <w:color w:val="000000"/>
        </w:rPr>
        <w:t>The consolidated financial statements include the accounts of American Financial Group, Inc. and its subsidiaries (“AFG”). Certain reclassifications have been</w:t>
      </w:r>
      <w:r>
        <w:rPr>
          <w:rFonts w:ascii="Arial" w:cs="Arial" w:eastAsia="Arial" w:hAnsi="Arial"/>
          <w:sz w:val="16"/>
          <w:szCs w:val="16"/>
          <w:b w:val="1"/>
          <w:bCs w:val="1"/>
          <w:color w:val="00274E"/>
        </w:rPr>
        <w:t xml:space="preserve"> </w:t>
      </w:r>
      <w:r>
        <w:rPr>
          <w:rFonts w:ascii="Arial" w:cs="Arial" w:eastAsia="Arial" w:hAnsi="Arial"/>
          <w:sz w:val="13"/>
          <w:szCs w:val="13"/>
          <w:color w:val="000000"/>
        </w:rPr>
        <w:t>made to prior years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December 31, 2025, and prior to the filing of this Form 10-K, have been evaluated for potential recognition or disclosure herein.</w:t>
      </w:r>
    </w:p>
    <w:p>
      <w:pPr>
        <w:spacing w:after="0" w:line="158" w:lineRule="exact"/>
        <w:rPr>
          <w:sz w:val="20"/>
          <w:szCs w:val="20"/>
          <w:color w:val="auto"/>
        </w:rPr>
      </w:pPr>
    </w:p>
    <w:p>
      <w:pPr>
        <w:ind w:right="160"/>
        <w:spacing w:after="0" w:line="314" w:lineRule="auto"/>
        <w:rPr>
          <w:sz w:val="20"/>
          <w:szCs w:val="20"/>
          <w:color w:val="auto"/>
        </w:rPr>
      </w:pPr>
      <w:r>
        <w:rPr>
          <w:rFonts w:ascii="Arial" w:cs="Arial" w:eastAsia="Arial" w:hAnsi="Arial"/>
          <w:sz w:val="13"/>
          <w:szCs w:val="13"/>
          <w:color w:val="auto"/>
        </w:rPr>
        <w:t>The preparation of the financial statements in conformity with U.S. generally accepted accounting principles (“GAAP”) requires management to make estimates and assumptions that affect the amounts reported in the financial statements and accompanying notes. Changes in circumstances could cause actual results to differ materially from those estimates.</w:t>
      </w:r>
    </w:p>
    <w:p>
      <w:pPr>
        <w:spacing w:after="0" w:line="127"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b w:val="1"/>
          <w:bCs w:val="1"/>
          <w:color w:val="00274E"/>
        </w:rPr>
        <w:t xml:space="preserve">Recently Adopted Accounting Standards </w:t>
      </w:r>
      <w:r>
        <w:rPr>
          <w:rFonts w:ascii="Arial" w:cs="Arial" w:eastAsia="Arial" w:hAnsi="Arial"/>
          <w:sz w:val="13"/>
          <w:szCs w:val="13"/>
          <w:color w:val="000000"/>
        </w:rPr>
        <w:t>In 2025, AFG adopted Accounting Standards Update (“ASU”) 2023-09, Income Taxes (Topic 740): Improvements to Income Tax</w:t>
      </w:r>
      <w:r>
        <w:rPr>
          <w:rFonts w:ascii="Arial" w:cs="Arial" w:eastAsia="Arial" w:hAnsi="Arial"/>
          <w:sz w:val="16"/>
          <w:szCs w:val="16"/>
          <w:b w:val="1"/>
          <w:bCs w:val="1"/>
          <w:color w:val="00274E"/>
        </w:rPr>
        <w:t xml:space="preserve"> </w:t>
      </w:r>
      <w:r>
        <w:rPr>
          <w:rFonts w:ascii="Arial" w:cs="Arial" w:eastAsia="Arial" w:hAnsi="Arial"/>
          <w:sz w:val="13"/>
          <w:szCs w:val="13"/>
          <w:color w:val="000000"/>
        </w:rPr>
        <w:t xml:space="preserve">Disclosures on a retrospective basis. The updated accounting guidance expands income tax disclosures primarily related to the rate reconciliation and income taxes paid information. See </w:t>
      </w:r>
      <w:r>
        <w:rPr>
          <w:rFonts w:ascii="Arial" w:cs="Arial" w:eastAsia="Arial" w:hAnsi="Arial"/>
          <w:sz w:val="13"/>
          <w:szCs w:val="13"/>
          <w:i w:val="1"/>
          <w:iCs w:val="1"/>
          <w:color w:val="000000"/>
        </w:rPr>
        <w:t>Note L — “Income Taxes</w:t>
      </w:r>
      <w:r>
        <w:rPr>
          <w:rFonts w:ascii="Arial" w:cs="Arial" w:eastAsia="Arial" w:hAnsi="Arial"/>
          <w:sz w:val="13"/>
          <w:szCs w:val="13"/>
          <w:color w:val="000000"/>
        </w:rPr>
        <w:t>.”</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 xml:space="preserve">In 2024, AFG adopted ASU 2023-07, Segment Reporting (Topic 280): Improvements to Reportable Segment Disclosures. The updated accounting guidance requires expanded reportable segment disclosures, primarily related to significant segment expenses which are regularly provided to the Company’s Chief Operating Decision Maker (“CODM”). See </w:t>
      </w:r>
      <w:r>
        <w:rPr>
          <w:rFonts w:ascii="Arial" w:cs="Arial" w:eastAsia="Arial" w:hAnsi="Arial"/>
          <w:sz w:val="13"/>
          <w:szCs w:val="13"/>
          <w:i w:val="1"/>
          <w:iCs w:val="1"/>
          <w:color w:val="auto"/>
        </w:rPr>
        <w:t>Note C — “Segments</w:t>
      </w:r>
      <w:r>
        <w:rPr>
          <w:rFonts w:ascii="Arial" w:cs="Arial" w:eastAsia="Arial" w:hAnsi="Arial"/>
          <w:sz w:val="13"/>
          <w:szCs w:val="13"/>
          <w:color w:val="auto"/>
        </w:rPr>
        <w:t xml:space="preserve"> </w:t>
      </w:r>
      <w:r>
        <w:rPr>
          <w:rFonts w:ascii="Arial" w:cs="Arial" w:eastAsia="Arial" w:hAnsi="Arial"/>
          <w:sz w:val="13"/>
          <w:szCs w:val="13"/>
          <w:i w:val="1"/>
          <w:iCs w:val="1"/>
          <w:color w:val="auto"/>
        </w:rPr>
        <w:t>of Operations</w:t>
      </w:r>
      <w:r>
        <w:rPr>
          <w:rFonts w:ascii="Arial" w:cs="Arial" w:eastAsia="Arial" w:hAnsi="Arial"/>
          <w:sz w:val="13"/>
          <w:szCs w:val="13"/>
          <w:color w:val="auto"/>
        </w:rPr>
        <w:t>.”</w:t>
      </w:r>
    </w:p>
    <w:p>
      <w:pPr>
        <w:spacing w:after="0" w:line="15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00274E"/>
        </w:rPr>
        <w:t xml:space="preserve">Fair Value Measurements </w:t>
      </w:r>
      <w:r>
        <w:rPr>
          <w:rFonts w:ascii="Arial" w:cs="Arial" w:eastAsia="Arial" w:hAnsi="Arial"/>
          <w:sz w:val="13"/>
          <w:szCs w:val="13"/>
          <w:color w:val="000000"/>
        </w:rPr>
        <w:t>Accounting standards define fair value as the price that would be received to sell an asset or paid to transfer a liability (an exit price) in an orderly transaction</w:t>
      </w:r>
      <w:r>
        <w:rPr>
          <w:rFonts w:ascii="Arial" w:cs="Arial" w:eastAsia="Arial" w:hAnsi="Arial"/>
          <w:sz w:val="16"/>
          <w:szCs w:val="16"/>
          <w:b w:val="1"/>
          <w:bCs w:val="1"/>
          <w:color w:val="00274E"/>
        </w:rPr>
        <w:t xml:space="preserve"> </w:t>
      </w:r>
      <w:r>
        <w:rPr>
          <w:rFonts w:ascii="Arial" w:cs="Arial" w:eastAsia="Arial" w:hAnsi="Arial"/>
          <w:sz w:val="13"/>
          <w:szCs w:val="13"/>
          <w:color w:val="000000"/>
        </w:rPr>
        <w:t>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w:t>
      </w:r>
    </w:p>
    <w:p>
      <w:pPr>
        <w:spacing w:after="0" w:line="169"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 xml:space="preserve">AFG had nonrecurring fair value measurements for the purchase price allocations related to its acquisition of Radion Insurance Holdings, LLC in 2025 and two small acquisitions in 2024 (see </w:t>
      </w:r>
      <w:r>
        <w:rPr>
          <w:rFonts w:ascii="Arial" w:cs="Arial" w:eastAsia="Arial" w:hAnsi="Arial"/>
          <w:sz w:val="13"/>
          <w:szCs w:val="13"/>
          <w:i w:val="1"/>
          <w:iCs w:val="1"/>
          <w:color w:val="auto"/>
        </w:rPr>
        <w:t>Note B — “Acquisitions of Businesses”)</w:t>
      </w:r>
      <w:r>
        <w:rPr>
          <w:rFonts w:ascii="Arial" w:cs="Arial" w:eastAsia="Arial" w:hAnsi="Arial"/>
          <w:sz w:val="13"/>
          <w:szCs w:val="13"/>
          <w:color w:val="auto"/>
        </w:rPr>
        <w:t>. These fair value measurements were based on significant inputs that are unobservable (Level 3). There were no other significant nonrecurring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in 2025 or 2024.</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00274E"/>
        </w:rPr>
        <w:t xml:space="preserve">Investments </w:t>
      </w:r>
      <w:r>
        <w:rPr>
          <w:rFonts w:ascii="Arial" w:cs="Arial" w:eastAsia="Arial" w:hAnsi="Arial"/>
          <w:sz w:val="13"/>
          <w:szCs w:val="13"/>
          <w:color w:val="000000"/>
        </w:rPr>
        <w:t>Fixed maturity securities classified as “available for sale” are reported at fair value with unrealized gains and losses included in accumulated other comprehensive income</w:t>
      </w:r>
      <w:r>
        <w:rPr>
          <w:rFonts w:ascii="Arial" w:cs="Arial" w:eastAsia="Arial" w:hAnsi="Arial"/>
          <w:sz w:val="16"/>
          <w:szCs w:val="16"/>
          <w:b w:val="1"/>
          <w:bCs w:val="1"/>
          <w:color w:val="00274E"/>
        </w:rPr>
        <w:t xml:space="preserve"> </w:t>
      </w:r>
      <w:r>
        <w:rPr>
          <w:rFonts w:ascii="Arial" w:cs="Arial" w:eastAsia="Arial" w:hAnsi="Arial"/>
          <w:sz w:val="13"/>
          <w:szCs w:val="13"/>
          <w:color w:val="000000"/>
        </w:rPr>
        <w:t>(“AOCI”)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155"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prepayments. Prepayment assumptions are reviewed periodically and adjusted to reflect actual prepayments and changes in expectations.</w:t>
      </w:r>
    </w:p>
    <w:p>
      <w:pPr>
        <w:spacing w:after="0" w:line="201" w:lineRule="exact"/>
        <w:rPr>
          <w:sz w:val="20"/>
          <w:szCs w:val="20"/>
          <w:color w:val="auto"/>
        </w:rPr>
      </w:pPr>
    </w:p>
    <w:p>
      <w:pPr>
        <w:ind w:right="420"/>
        <w:spacing w:after="0" w:line="297" w:lineRule="auto"/>
        <w:rPr>
          <w:sz w:val="20"/>
          <w:szCs w:val="20"/>
          <w:color w:val="auto"/>
        </w:rPr>
      </w:pPr>
      <w:r>
        <w:rPr>
          <w:rFonts w:ascii="Arial" w:cs="Arial" w:eastAsia="Arial" w:hAnsi="Arial"/>
          <w:sz w:val="13"/>
          <w:szCs w:val="13"/>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50"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00274E"/>
        </w:rPr>
        <w:t xml:space="preserve">Credit Losses on Fixed Maturity Investments </w:t>
      </w:r>
      <w:r>
        <w:rPr>
          <w:rFonts w:ascii="Arial" w:cs="Arial" w:eastAsia="Arial" w:hAnsi="Arial"/>
          <w:sz w:val="13"/>
          <w:szCs w:val="13"/>
          <w:color w:val="000000"/>
        </w:rPr>
        <w:t>When a decline in the value of an available for sale fixed maturity is considered to be other-than-temporary at the balance sheet</w:t>
      </w:r>
      <w:r>
        <w:rPr>
          <w:rFonts w:ascii="Arial" w:cs="Arial" w:eastAsia="Arial" w:hAnsi="Arial"/>
          <w:sz w:val="16"/>
          <w:szCs w:val="16"/>
          <w:b w:val="1"/>
          <w:bCs w:val="1"/>
          <w:color w:val="00274E"/>
        </w:rPr>
        <w:t xml:space="preserve"> </w:t>
      </w:r>
      <w:r>
        <w:rPr>
          <w:rFonts w:ascii="Arial" w:cs="Arial" w:eastAsia="Arial" w:hAnsi="Arial"/>
          <w:sz w:val="13"/>
          <w:szCs w:val="13"/>
          <w:color w:val="000000"/>
        </w:rPr>
        <w:t>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00274E"/>
        </w:rPr>
        <w:t xml:space="preserve">Credit Losses on Financial Instruments Measured at Amortized Cost </w:t>
      </w:r>
      <w:r>
        <w:rPr>
          <w:rFonts w:ascii="Arial" w:cs="Arial" w:eastAsia="Arial" w:hAnsi="Arial"/>
          <w:sz w:val="13"/>
          <w:szCs w:val="13"/>
          <w:color w:val="000000"/>
        </w:rPr>
        <w:t>Credit-related impairments for financial instruments measured at amortized cost (mortgage loans,</w:t>
      </w:r>
      <w:r>
        <w:rPr>
          <w:rFonts w:ascii="Arial" w:cs="Arial" w:eastAsia="Arial" w:hAnsi="Arial"/>
          <w:sz w:val="16"/>
          <w:szCs w:val="16"/>
          <w:b w:val="1"/>
          <w:bCs w:val="1"/>
          <w:color w:val="00274E"/>
        </w:rPr>
        <w:t xml:space="preserve"> </w:t>
      </w:r>
      <w:r>
        <w:rPr>
          <w:rFonts w:ascii="Arial" w:cs="Arial" w:eastAsia="Arial" w:hAnsi="Arial"/>
          <w:sz w:val="13"/>
          <w:szCs w:val="13"/>
          <w:color w:val="000000"/>
        </w:rPr>
        <w:t>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color w:val="00274E"/>
        </w:rPr>
        <w:t xml:space="preserve">Derivatives </w:t>
      </w:r>
      <w:r>
        <w:rPr>
          <w:rFonts w:ascii="Arial" w:cs="Arial" w:eastAsia="Arial" w:hAnsi="Arial"/>
          <w:sz w:val="13"/>
          <w:szCs w:val="13"/>
          <w:color w:val="000000"/>
        </w:rPr>
        <w:t>Derivatives included in AFG’s Balance Sheet are recorded at fair value. Changes in fair value of derivatives are included in earnings unless the derivatives are designated and</w:t>
      </w:r>
      <w:r>
        <w:rPr>
          <w:rFonts w:ascii="Arial" w:cs="Arial" w:eastAsia="Arial" w:hAnsi="Arial"/>
          <w:sz w:val="16"/>
          <w:szCs w:val="16"/>
          <w:b w:val="1"/>
          <w:bCs w:val="1"/>
          <w:color w:val="00274E"/>
        </w:rPr>
        <w:t xml:space="preserve"> </w:t>
      </w:r>
      <w:r>
        <w:rPr>
          <w:rFonts w:ascii="Arial" w:cs="Arial" w:eastAsia="Arial" w:hAnsi="Arial"/>
          <w:sz w:val="13"/>
          <w:szCs w:val="13"/>
          <w:color w:val="000000"/>
        </w:rPr>
        <w:t>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187" w:lineRule="exact"/>
        <w:rPr>
          <w:sz w:val="20"/>
          <w:szCs w:val="20"/>
          <w:color w:val="auto"/>
        </w:rPr>
      </w:pPr>
    </w:p>
    <w:p>
      <w:pPr>
        <w:ind w:right="600"/>
        <w:spacing w:after="0" w:line="297" w:lineRule="auto"/>
        <w:rPr>
          <w:sz w:val="20"/>
          <w:szCs w:val="20"/>
          <w:color w:val="auto"/>
        </w:rPr>
      </w:pPr>
      <w:r>
        <w:rPr>
          <w:rFonts w:ascii="Arial" w:cs="Arial" w:eastAsia="Arial" w:hAnsi="Arial"/>
          <w:sz w:val="13"/>
          <w:szCs w:val="13"/>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166" w:lineRule="exact"/>
        <w:rPr>
          <w:sz w:val="20"/>
          <w:szCs w:val="20"/>
          <w:color w:val="auto"/>
        </w:rPr>
      </w:pPr>
    </w:p>
    <w:p>
      <w:pPr>
        <w:jc w:val="both"/>
        <w:ind w:right="160"/>
        <w:spacing w:after="0" w:line="239" w:lineRule="auto"/>
        <w:rPr>
          <w:sz w:val="20"/>
          <w:szCs w:val="20"/>
          <w:color w:val="auto"/>
        </w:rPr>
      </w:pPr>
      <w:r>
        <w:rPr>
          <w:rFonts w:ascii="Arial" w:cs="Arial" w:eastAsia="Arial" w:hAnsi="Arial"/>
          <w:sz w:val="16"/>
          <w:szCs w:val="16"/>
          <w:b w:val="1"/>
          <w:bCs w:val="1"/>
          <w:color w:val="00274E"/>
        </w:rPr>
        <w:t xml:space="preserve">Goodwill </w:t>
      </w:r>
      <w:r>
        <w:rPr>
          <w:rFonts w:ascii="Arial" w:cs="Arial" w:eastAsia="Arial" w:hAnsi="Arial"/>
          <w:sz w:val="13"/>
          <w:szCs w:val="13"/>
          <w:color w:val="000000"/>
        </w:rPr>
        <w:t>Goodwill represents the excess of cost of subsidiaries over AFG’s equity in their underlying net assets at the date of acquisition. Goodwill is not amortized, but is subject to an</w:t>
      </w:r>
      <w:r>
        <w:rPr>
          <w:rFonts w:ascii="Arial" w:cs="Arial" w:eastAsia="Arial" w:hAnsi="Arial"/>
          <w:sz w:val="16"/>
          <w:szCs w:val="16"/>
          <w:b w:val="1"/>
          <w:bCs w:val="1"/>
          <w:color w:val="00274E"/>
        </w:rPr>
        <w:t xml:space="preserve"> </w:t>
      </w:r>
      <w:r>
        <w:rPr>
          <w:rFonts w:ascii="Arial" w:cs="Arial" w:eastAsia="Arial" w:hAnsi="Arial"/>
          <w:sz w:val="13"/>
          <w:szCs w:val="13"/>
          <w:color w:val="000000"/>
        </w:rPr>
        <w:t>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b w:val="1"/>
          <w:bCs w:val="1"/>
          <w:color w:val="00274E"/>
        </w:rPr>
        <w:t xml:space="preserve">Reinsurance </w:t>
      </w:r>
      <w:r>
        <w:rPr>
          <w:rFonts w:ascii="Arial" w:cs="Arial" w:eastAsia="Arial" w:hAnsi="Arial"/>
          <w:sz w:val="13"/>
          <w:szCs w:val="13"/>
          <w:color w:val="000000"/>
        </w:rPr>
        <w:t>Amounts recoverable from reinsurers are estimated in a manner consistent with the claim liability associated with the reinsured policies. AFG reports as assets (i) the</w:t>
      </w:r>
      <w:r>
        <w:rPr>
          <w:rFonts w:ascii="Arial" w:cs="Arial" w:eastAsia="Arial" w:hAnsi="Arial"/>
          <w:sz w:val="16"/>
          <w:szCs w:val="16"/>
          <w:b w:val="1"/>
          <w:bCs w:val="1"/>
          <w:color w:val="00274E"/>
        </w:rPr>
        <w:t xml:space="preserve"> </w:t>
      </w:r>
      <w:r>
        <w:rPr>
          <w:rFonts w:ascii="Arial" w:cs="Arial" w:eastAsia="Arial" w:hAnsi="Arial"/>
          <w:sz w:val="13"/>
          <w:szCs w:val="13"/>
          <w:color w:val="000000"/>
        </w:rPr>
        <w:t>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15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color w:val="00274E"/>
        </w:rPr>
        <w:t xml:space="preserve">Deferred Policy Acquisition Costs (“DPAC”) </w:t>
      </w:r>
      <w:r>
        <w:rPr>
          <w:rFonts w:ascii="Arial" w:cs="Arial" w:eastAsia="Arial" w:hAnsi="Arial"/>
          <w:sz w:val="13"/>
          <w:szCs w:val="13"/>
          <w:color w:val="000000"/>
        </w:rPr>
        <w:t>Policy acquisition costs (principally commissions, premium taxes and certain underwriting and policy issuance costs) directly related</w:t>
      </w:r>
      <w:r>
        <w:rPr>
          <w:rFonts w:ascii="Arial" w:cs="Arial" w:eastAsia="Arial" w:hAnsi="Arial"/>
          <w:sz w:val="16"/>
          <w:szCs w:val="16"/>
          <w:b w:val="1"/>
          <w:bCs w:val="1"/>
          <w:color w:val="00274E"/>
        </w:rPr>
        <w:t xml:space="preserve"> </w:t>
      </w:r>
      <w:r>
        <w:rPr>
          <w:rFonts w:ascii="Arial" w:cs="Arial" w:eastAsia="Arial" w:hAnsi="Arial"/>
          <w:sz w:val="13"/>
          <w:szCs w:val="13"/>
          <w:color w:val="000000"/>
        </w:rPr>
        <w:t>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32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00274E"/>
        </w:rPr>
        <w:t xml:space="preserve">Managed Investment Entities </w:t>
      </w:r>
      <w:r>
        <w:rPr>
          <w:rFonts w:ascii="Arial" w:cs="Arial" w:eastAsia="Arial" w:hAnsi="Arial"/>
          <w:sz w:val="13"/>
          <w:szCs w:val="13"/>
          <w:color w:val="000000"/>
        </w:rPr>
        <w:t>A company is considered the primary beneficiary of, and therefore must consolidate, a variable interest entity (“VIE”) based primarily on its ability to</w:t>
      </w:r>
      <w:r>
        <w:rPr>
          <w:rFonts w:ascii="Arial" w:cs="Arial" w:eastAsia="Arial" w:hAnsi="Arial"/>
          <w:sz w:val="16"/>
          <w:szCs w:val="16"/>
          <w:b w:val="1"/>
          <w:bCs w:val="1"/>
          <w:color w:val="00274E"/>
        </w:rPr>
        <w:t xml:space="preserve"> </w:t>
      </w:r>
      <w:r>
        <w:rPr>
          <w:rFonts w:ascii="Arial" w:cs="Arial" w:eastAsia="Arial" w:hAnsi="Arial"/>
          <w:sz w:val="13"/>
          <w:szCs w:val="13"/>
          <w:color w:val="000000"/>
        </w:rPr>
        <w:t>direct the activities of the VIE that most significantly impact that entity’s economic performance and the obligation to absorb losses of, or receive benefits from, the entity that could potentially be significant to the VIE.</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 xml:space="preserve">AFG manages, and has investments in, collateralized loan obligations (“CLOs”) that are VIEs (see </w:t>
      </w:r>
      <w:r>
        <w:rPr>
          <w:rFonts w:ascii="Arial" w:cs="Arial" w:eastAsia="Arial" w:hAnsi="Arial"/>
          <w:sz w:val="13"/>
          <w:szCs w:val="13"/>
          <w:i w:val="1"/>
          <w:iCs w:val="1"/>
          <w:color w:val="auto"/>
        </w:rPr>
        <w:t>Note G — “Managed Investment Entities”</w:t>
      </w:r>
      <w:r>
        <w:rPr>
          <w:rFonts w:ascii="Arial" w:cs="Arial" w:eastAsia="Arial" w:hAnsi="Arial"/>
          <w:sz w:val="13"/>
          <w:szCs w:val="13"/>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317" w:lineRule="exact"/>
        <w:rPr>
          <w:sz w:val="20"/>
          <w:szCs w:val="20"/>
          <w:color w:val="auto"/>
        </w:rPr>
      </w:pPr>
    </w:p>
    <w:p>
      <w:pPr>
        <w:jc w:val="both"/>
        <w:ind w:right="100"/>
        <w:spacing w:after="0" w:line="284" w:lineRule="auto"/>
        <w:rPr>
          <w:sz w:val="20"/>
          <w:szCs w:val="20"/>
          <w:color w:val="auto"/>
        </w:rPr>
      </w:pPr>
      <w:r>
        <w:rPr>
          <w:rFonts w:ascii="Arial" w:cs="Arial" w:eastAsia="Arial" w:hAnsi="Arial"/>
          <w:sz w:val="13"/>
          <w:szCs w:val="13"/>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148" w:lineRule="exact"/>
        <w:rPr>
          <w:sz w:val="20"/>
          <w:szCs w:val="20"/>
          <w:color w:val="auto"/>
        </w:rPr>
      </w:pPr>
    </w:p>
    <w:p>
      <w:pPr>
        <w:jc w:val="both"/>
        <w:ind w:right="80"/>
        <w:spacing w:after="0" w:line="276" w:lineRule="auto"/>
        <w:rPr>
          <w:sz w:val="20"/>
          <w:szCs w:val="20"/>
          <w:color w:val="auto"/>
        </w:rPr>
      </w:pPr>
      <w:r>
        <w:rPr>
          <w:rFonts w:ascii="Arial" w:cs="Arial" w:eastAsia="Arial" w:hAnsi="Arial"/>
          <w:sz w:val="13"/>
          <w:szCs w:val="13"/>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00274E"/>
        </w:rPr>
        <w:t xml:space="preserve">Unpaid Losses and Loss Adjustment Expenses </w:t>
      </w:r>
      <w:r>
        <w:rPr>
          <w:rFonts w:ascii="Arial" w:cs="Arial" w:eastAsia="Arial" w:hAnsi="Arial"/>
          <w:sz w:val="13"/>
          <w:szCs w:val="13"/>
          <w:color w:val="000000"/>
        </w:rPr>
        <w:t>The liabilities stated for unpaid claims and for expenses of investigation and adjustment of unpaid claims represent</w:t>
      </w:r>
      <w:r>
        <w:rPr>
          <w:rFonts w:ascii="Arial" w:cs="Arial" w:eastAsia="Arial" w:hAnsi="Arial"/>
          <w:sz w:val="16"/>
          <w:szCs w:val="16"/>
          <w:b w:val="1"/>
          <w:bCs w:val="1"/>
          <w:color w:val="00274E"/>
        </w:rPr>
        <w:t xml:space="preserve"> </w:t>
      </w:r>
      <w:r>
        <w:rPr>
          <w:rFonts w:ascii="Arial" w:cs="Arial" w:eastAsia="Arial" w:hAnsi="Arial"/>
          <w:sz w:val="13"/>
          <w:szCs w:val="13"/>
          <w:color w:val="000000"/>
        </w:rPr>
        <w:t>management’s best estimate and are based upon (i) the accumulation of case estimates for losses reported prior to the close of the accounting period on direct business written; (ii) estimates received from ceding reinsurers and insurance pools and associations; (iii) estimates of unreported losses (including possible development on known claims) based on past experience;</w:t>
      </w:r>
    </w:p>
    <w:p>
      <w:pPr>
        <w:spacing w:after="0" w:line="2" w:lineRule="exact"/>
        <w:rPr>
          <w:sz w:val="20"/>
          <w:szCs w:val="20"/>
          <w:color w:val="auto"/>
        </w:rPr>
      </w:pPr>
    </w:p>
    <w:p>
      <w:pPr>
        <w:ind w:right="40" w:firstLine="5"/>
        <w:spacing w:after="0" w:line="271" w:lineRule="auto"/>
        <w:tabs>
          <w:tab w:leader="none" w:pos="2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156"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61" w:lineRule="exact"/>
        <w:rPr>
          <w:sz w:val="20"/>
          <w:szCs w:val="20"/>
          <w:color w:val="auto"/>
        </w:rPr>
      </w:pPr>
    </w:p>
    <w:p>
      <w:pPr>
        <w:ind w:right="280"/>
        <w:spacing w:after="0" w:line="233" w:lineRule="auto"/>
        <w:rPr>
          <w:sz w:val="20"/>
          <w:szCs w:val="20"/>
          <w:color w:val="auto"/>
        </w:rPr>
      </w:pPr>
      <w:r>
        <w:rPr>
          <w:rFonts w:ascii="Arial" w:cs="Arial" w:eastAsia="Arial" w:hAnsi="Arial"/>
          <w:sz w:val="16"/>
          <w:szCs w:val="16"/>
          <w:b w:val="1"/>
          <w:bCs w:val="1"/>
          <w:color w:val="00274E"/>
        </w:rPr>
        <w:t xml:space="preserve">Debt Issuance Costs </w:t>
      </w:r>
      <w:r>
        <w:rPr>
          <w:rFonts w:ascii="Arial" w:cs="Arial" w:eastAsia="Arial" w:hAnsi="Arial"/>
          <w:sz w:val="13"/>
          <w:szCs w:val="13"/>
          <w:color w:val="000000"/>
        </w:rPr>
        <w:t>Debt issuance costs related to AFG’s outstanding debt are presented in its Balance Sheet as a direct reduction in the carrying value of long-term debt and are</w:t>
      </w:r>
      <w:r>
        <w:rPr>
          <w:rFonts w:ascii="Arial" w:cs="Arial" w:eastAsia="Arial" w:hAnsi="Arial"/>
          <w:sz w:val="16"/>
          <w:szCs w:val="16"/>
          <w:b w:val="1"/>
          <w:bCs w:val="1"/>
          <w:color w:val="00274E"/>
        </w:rPr>
        <w:t xml:space="preserve"> </w:t>
      </w:r>
      <w:r>
        <w:rPr>
          <w:rFonts w:ascii="Arial" w:cs="Arial" w:eastAsia="Arial" w:hAnsi="Arial"/>
          <w:sz w:val="13"/>
          <w:szCs w:val="13"/>
          <w:color w:val="000000"/>
        </w:rPr>
        <w:t>amortized over the life of the related debt using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effective interest method as a component of interest expense. Debt issuance costs related to AFG’s revolving credit facility are included in other assets in AFG’s Balance Sheet.</w:t>
      </w:r>
    </w:p>
    <w:p>
      <w:pPr>
        <w:spacing w:after="0" w:line="19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00274E"/>
        </w:rPr>
        <w:t xml:space="preserve">Leases </w:t>
      </w:r>
      <w:r>
        <w:rPr>
          <w:rFonts w:ascii="Arial" w:cs="Arial" w:eastAsia="Arial" w:hAnsi="Arial"/>
          <w:sz w:val="13"/>
          <w:szCs w:val="13"/>
          <w:color w:val="000000"/>
        </w:rPr>
        <w:t>Leases for terms of longer than one year are recognized as assets and liabilities for the rights and obligations created by those leases on the balance sheet based on the present</w:t>
      </w:r>
      <w:r>
        <w:rPr>
          <w:rFonts w:ascii="Arial" w:cs="Arial" w:eastAsia="Arial" w:hAnsi="Arial"/>
          <w:sz w:val="16"/>
          <w:szCs w:val="16"/>
          <w:b w:val="1"/>
          <w:bCs w:val="1"/>
          <w:color w:val="00274E"/>
        </w:rPr>
        <w:t xml:space="preserve"> </w:t>
      </w:r>
      <w:r>
        <w:rPr>
          <w:rFonts w:ascii="Arial" w:cs="Arial" w:eastAsia="Arial" w:hAnsi="Arial"/>
          <w:sz w:val="13"/>
          <w:szCs w:val="13"/>
          <w:color w:val="000000"/>
        </w:rPr>
        <w:t>value of contractual cash flows.</w:t>
      </w:r>
    </w:p>
    <w:p>
      <w:pPr>
        <w:spacing w:after="0" w:line="13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00274E"/>
        </w:rPr>
        <w:t xml:space="preserve">Premium Recognition </w:t>
      </w:r>
      <w:r>
        <w:rPr>
          <w:rFonts w:ascii="Arial" w:cs="Arial" w:eastAsia="Arial" w:hAnsi="Arial"/>
          <w:sz w:val="13"/>
          <w:szCs w:val="13"/>
          <w:color w:val="000000"/>
        </w:rPr>
        <w:t>Property and casualty premiums are earned generally over the terms of the policies on a pro rata basis. Unearned premiums represent that portion of premiums</w:t>
      </w:r>
      <w:r>
        <w:rPr>
          <w:rFonts w:ascii="Arial" w:cs="Arial" w:eastAsia="Arial" w:hAnsi="Arial"/>
          <w:sz w:val="16"/>
          <w:szCs w:val="16"/>
          <w:b w:val="1"/>
          <w:bCs w:val="1"/>
          <w:color w:val="00274E"/>
        </w:rPr>
        <w:t xml:space="preserve"> </w:t>
      </w:r>
      <w:r>
        <w:rPr>
          <w:rFonts w:ascii="Arial" w:cs="Arial" w:eastAsia="Arial" w:hAnsi="Arial"/>
          <w:sz w:val="13"/>
          <w:szCs w:val="13"/>
          <w:color w:val="000000"/>
        </w:rPr>
        <w:t>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168"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b w:val="1"/>
          <w:bCs w:val="1"/>
          <w:color w:val="00274E"/>
        </w:rPr>
        <w:t xml:space="preserve">Income Taxes </w:t>
      </w:r>
      <w:r>
        <w:rPr>
          <w:rFonts w:ascii="Arial" w:cs="Arial" w:eastAsia="Arial" w:hAnsi="Arial"/>
          <w:sz w:val="13"/>
          <w:szCs w:val="13"/>
          <w:color w:val="000000"/>
        </w:rPr>
        <w:t>Deferred income taxes are calculated using the liability method. Under this method, deferred income tax assets and liabilities are determined based on differences</w:t>
      </w:r>
      <w:r>
        <w:rPr>
          <w:rFonts w:ascii="Arial" w:cs="Arial" w:eastAsia="Arial" w:hAnsi="Arial"/>
          <w:sz w:val="16"/>
          <w:szCs w:val="16"/>
          <w:b w:val="1"/>
          <w:bCs w:val="1"/>
          <w:color w:val="00274E"/>
        </w:rPr>
        <w:t xml:space="preserve"> </w:t>
      </w:r>
      <w:r>
        <w:rPr>
          <w:rFonts w:ascii="Arial" w:cs="Arial" w:eastAsia="Arial" w:hAnsi="Arial"/>
          <w:sz w:val="13"/>
          <w:szCs w:val="13"/>
          <w:color w:val="000000"/>
        </w:rPr>
        <w:t>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155"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3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00274E"/>
        </w:rPr>
        <w:t xml:space="preserve">Stock-Based Compensation </w:t>
      </w:r>
      <w:r>
        <w:rPr>
          <w:rFonts w:ascii="Arial" w:cs="Arial" w:eastAsia="Arial" w:hAnsi="Arial"/>
          <w:sz w:val="13"/>
          <w:szCs w:val="13"/>
          <w:color w:val="000000"/>
        </w:rPr>
        <w:t>All share-based grants are recognized as compensation expense on a straight-line basis over their vesting periods based on their calculated fair value at</w:t>
      </w:r>
      <w:r>
        <w:rPr>
          <w:rFonts w:ascii="Arial" w:cs="Arial" w:eastAsia="Arial" w:hAnsi="Arial"/>
          <w:sz w:val="16"/>
          <w:szCs w:val="16"/>
          <w:b w:val="1"/>
          <w:bCs w:val="1"/>
          <w:color w:val="00274E"/>
        </w:rPr>
        <w:t xml:space="preserve"> </w:t>
      </w:r>
      <w:r>
        <w:rPr>
          <w:rFonts w:ascii="Arial" w:cs="Arial" w:eastAsia="Arial" w:hAnsi="Arial"/>
          <w:sz w:val="13"/>
          <w:szCs w:val="13"/>
          <w:color w:val="000000"/>
        </w:rPr>
        <w:t>the date of grant.</w:t>
      </w:r>
    </w:p>
    <w:p>
      <w:pPr>
        <w:spacing w:after="0" w:line="132"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AFG records excess tax benefits or deficiencies for share-based payments through income tax expense in the statement of earnings. In addition, AFG accounts for forfeitures of awards when they occur.</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00274E"/>
        </w:rPr>
        <w:t xml:space="preserve">Benefit Plans </w:t>
      </w:r>
      <w:r>
        <w:rPr>
          <w:rFonts w:ascii="Arial" w:cs="Arial" w:eastAsia="Arial" w:hAnsi="Arial"/>
          <w:sz w:val="13"/>
          <w:szCs w:val="13"/>
          <w:color w:val="000000"/>
        </w:rPr>
        <w:t>AFG provides retirement benefits to qualified employees of participating companies through the AFG 401(k) Retirement and Savings Plan, a defined contribution plan. AFG</w:t>
      </w:r>
      <w:r>
        <w:rPr>
          <w:rFonts w:ascii="Arial" w:cs="Arial" w:eastAsia="Arial" w:hAnsi="Arial"/>
          <w:sz w:val="16"/>
          <w:szCs w:val="16"/>
          <w:b w:val="1"/>
          <w:bCs w:val="1"/>
          <w:color w:val="00274E"/>
        </w:rPr>
        <w:t xml:space="preserve"> </w:t>
      </w:r>
      <w:r>
        <w:rPr>
          <w:rFonts w:ascii="Arial" w:cs="Arial" w:eastAsia="Arial" w:hAnsi="Arial"/>
          <w:sz w:val="13"/>
          <w:szCs w:val="13"/>
          <w:color w:val="000000"/>
        </w:rPr>
        <w:t>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165"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b w:val="1"/>
          <w:bCs w:val="1"/>
          <w:color w:val="00274E"/>
        </w:rPr>
        <w:t xml:space="preserve">Earnings Per Share </w:t>
      </w:r>
      <w:r>
        <w:rPr>
          <w:rFonts w:ascii="Arial" w:cs="Arial" w:eastAsia="Arial" w:hAnsi="Arial"/>
          <w:sz w:val="13"/>
          <w:szCs w:val="13"/>
          <w:color w:val="000000"/>
        </w:rPr>
        <w:t>Although basic earnings per share only considers shares of Common Stock outstanding during the period, the calculation of diluted earnings per share includes the</w:t>
      </w:r>
      <w:r>
        <w:rPr>
          <w:rFonts w:ascii="Arial" w:cs="Arial" w:eastAsia="Arial" w:hAnsi="Arial"/>
          <w:sz w:val="16"/>
          <w:szCs w:val="16"/>
          <w:b w:val="1"/>
          <w:bCs w:val="1"/>
          <w:color w:val="00274E"/>
        </w:rPr>
        <w:t xml:space="preserve"> </w:t>
      </w:r>
      <w:r>
        <w:rPr>
          <w:rFonts w:ascii="Arial" w:cs="Arial" w:eastAsia="Arial" w:hAnsi="Arial"/>
          <w:sz w:val="13"/>
          <w:szCs w:val="13"/>
          <w:color w:val="000000"/>
        </w:rPr>
        <w:t>following adjustments to weighted average common shares related to AFG’s stock-based compensation plan: 2025 and 2024 – less than 0.1 million and 2023 – 0.1 million.</w:t>
      </w:r>
    </w:p>
    <w:p>
      <w:pPr>
        <w:spacing w:after="0" w:line="18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There were no anti-dilutive potential common shares related to the stock compensation plan or adjustments to net earnings in the calculation of diluted earnings per share for the years ended December 31, 2025, 2024 or 2023.</w:t>
      </w:r>
    </w:p>
    <w:p>
      <w:pPr>
        <w:spacing w:after="0" w:line="137"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00274E"/>
        </w:rPr>
        <w:t xml:space="preserve">Statement of Cash Flows </w:t>
      </w:r>
      <w:r>
        <w:rPr>
          <w:rFonts w:ascii="Arial" w:cs="Arial" w:eastAsia="Arial" w:hAnsi="Arial"/>
          <w:sz w:val="13"/>
          <w:szCs w:val="13"/>
          <w:color w:val="000000"/>
        </w:rPr>
        <w:t>For cash flow purposes, “investing activities” are defined as making and collecting loans and acquiring and disposing of debt or equity instruments, property</w:t>
      </w:r>
      <w:r>
        <w:rPr>
          <w:rFonts w:ascii="Arial" w:cs="Arial" w:eastAsia="Arial" w:hAnsi="Arial"/>
          <w:sz w:val="16"/>
          <w:szCs w:val="16"/>
          <w:b w:val="1"/>
          <w:bCs w:val="1"/>
          <w:color w:val="00274E"/>
        </w:rPr>
        <w:t xml:space="preserve"> </w:t>
      </w:r>
      <w:r>
        <w:rPr>
          <w:rFonts w:ascii="Arial" w:cs="Arial" w:eastAsia="Arial" w:hAnsi="Arial"/>
          <w:sz w:val="13"/>
          <w:szCs w:val="13"/>
          <w:color w:val="000000"/>
        </w:rPr>
        <w:t>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33"/>
        </w:numPr>
        <w:rPr>
          <w:rFonts w:ascii="Arial" w:cs="Arial" w:eastAsia="Arial" w:hAnsi="Arial"/>
          <w:sz w:val="23"/>
          <w:szCs w:val="23"/>
          <w:b w:val="1"/>
          <w:bCs w:val="1"/>
          <w:color w:val="00274E"/>
        </w:rPr>
      </w:pPr>
      <w:r>
        <w:rPr>
          <w:rFonts w:ascii="Arial" w:cs="Arial" w:eastAsia="Arial" w:hAnsi="Arial"/>
          <w:sz w:val="23"/>
          <w:szCs w:val="23"/>
          <w:b w:val="1"/>
          <w:bCs w:val="1"/>
          <w:color w:val="00274E"/>
        </w:rPr>
        <w:t>Acquisitions of Businesses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 xml:space="preserve">In the third quarter of 2025, AFG acquired the 52% of Radion Insurance Holdings, LLC (“Radion”) that it did not previously own for $7 million in cash, making Radion a wholly-owned subsidiary. Radion, a managing general underwriter, specializes in healthcare coverage for small and midsize businesses. At acquisition, in accordance with accounting guidance, the existing investment in Radion (previously accounted for using the equity method of accounting) was remeasured to fair value resulting in a $3 million realized gain. The acquisition also resulted in the recognition of $5 million of amortizing intangible assets related to technology and $22 million in goodwill (see </w:t>
      </w:r>
      <w:r>
        <w:rPr>
          <w:rFonts w:ascii="Arial" w:cs="Arial" w:eastAsia="Arial" w:hAnsi="Arial"/>
          <w:sz w:val="13"/>
          <w:szCs w:val="13"/>
          <w:i w:val="1"/>
          <w:iCs w:val="1"/>
          <w:color w:val="auto"/>
        </w:rPr>
        <w:t>Note H — “Goodwill and Other Intangibles”</w:t>
      </w:r>
      <w:r>
        <w:rPr>
          <w:rFonts w:ascii="Arial" w:cs="Arial" w:eastAsia="Arial" w:hAnsi="Arial"/>
          <w:sz w:val="13"/>
          <w:szCs w:val="13"/>
          <w:color w:val="auto"/>
        </w:rPr>
        <w:t>).</w:t>
      </w:r>
    </w:p>
    <w:p>
      <w:pPr>
        <w:spacing w:after="0" w:line="157" w:lineRule="exact"/>
        <w:rPr>
          <w:sz w:val="20"/>
          <w:szCs w:val="20"/>
          <w:color w:val="auto"/>
        </w:rPr>
      </w:pPr>
    </w:p>
    <w:p>
      <w:pPr>
        <w:ind w:right="400"/>
        <w:spacing w:after="0" w:line="314" w:lineRule="auto"/>
        <w:rPr>
          <w:sz w:val="20"/>
          <w:szCs w:val="20"/>
          <w:color w:val="auto"/>
        </w:rPr>
      </w:pPr>
      <w:r>
        <w:rPr>
          <w:rFonts w:ascii="Arial" w:cs="Arial" w:eastAsia="Arial" w:hAnsi="Arial"/>
          <w:sz w:val="13"/>
          <w:szCs w:val="13"/>
          <w:color w:val="auto"/>
        </w:rPr>
        <w:t>In the fourth quarter of 2024, AFG acquired an insurance agency business for $6 million, including $5 million in cash, and a consulting company for $4 million in cash. Virtually all of the purchase price for each acquisition was recorded as an amortizing intangible asset representing the fair value of the customer bases at acquisition.</w:t>
      </w:r>
    </w:p>
    <w:p>
      <w:pPr>
        <w:spacing w:after="0" w:line="12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b w:val="1"/>
          <w:bCs w:val="1"/>
          <w:color w:val="00274E"/>
        </w:rPr>
        <w:t xml:space="preserve">Crop Risk Services </w:t>
      </w:r>
      <w:r>
        <w:rPr>
          <w:rFonts w:ascii="Arial" w:cs="Arial" w:eastAsia="Arial" w:hAnsi="Arial"/>
          <w:sz w:val="13"/>
          <w:szCs w:val="13"/>
          <w:color w:val="000000"/>
        </w:rPr>
        <w:t>On July 3, 2023, AFG completed the acquisition of Crop Risk Services (“CRS”) from American International Group (“AIG”). CRS is a primary crop insurance general</w:t>
      </w:r>
      <w:r>
        <w:rPr>
          <w:rFonts w:ascii="Arial" w:cs="Arial" w:eastAsia="Arial" w:hAnsi="Arial"/>
          <w:sz w:val="16"/>
          <w:szCs w:val="16"/>
          <w:b w:val="1"/>
          <w:bCs w:val="1"/>
          <w:color w:val="00274E"/>
        </w:rPr>
        <w:t xml:space="preserve"> </w:t>
      </w:r>
      <w:r>
        <w:rPr>
          <w:rFonts w:ascii="Arial" w:cs="Arial" w:eastAsia="Arial" w:hAnsi="Arial"/>
          <w:sz w:val="13"/>
          <w:szCs w:val="13"/>
          <w:color w:val="000000"/>
        </w:rPr>
        <w:t>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Expenses related to the acquisition were $3 million and were expensed as incurred. The purchase price was allocated to the acquired assets and liabilities of CRS based on management’s best estimate of fair value as of the acquisition date. The purchase price allocation is shown below (in millions).</w:t>
      </w:r>
    </w:p>
    <w:tbl>
      <w:tblPr>
        <w:tblLayout w:type="fixed"/>
        <w:tblInd w:w="0" w:type="dxa"/>
        <w:tblCellMar>
          <w:top w:w="0" w:type="dxa"/>
          <w:left w:w="0" w:type="dxa"/>
          <w:bottom w:w="0" w:type="dxa"/>
          <w:right w:w="0" w:type="dxa"/>
        </w:tblCellMar>
      </w:tblPr>
      <w:tr>
        <w:trPr>
          <w:trHeight w:val="168"/>
        </w:trPr>
        <w:tc>
          <w:tcPr>
            <w:tcW w:w="9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July 3, 2023</w:t>
            </w:r>
          </w:p>
        </w:tc>
      </w:tr>
      <w:tr>
        <w:trPr>
          <w:trHeight w:val="162"/>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at purchase</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70"/>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Tangible assets acquired:</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9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Agents’ balances and premiums receivable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9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tangible assets acquired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70"/>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acquired:</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162"/>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liabilities acquired</w:t>
            </w: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5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tangible assets acquired, at fair value</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8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Excess purchase price over net tangible assets acquired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9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7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Allocation of excess purchase price: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9760" w:type="dxa"/>
            <w:vAlign w:val="bottom"/>
          </w:tcPr>
          <w:p>
            <w:pPr>
              <w:ind w:left="180"/>
              <w:spacing w:after="0"/>
              <w:rPr>
                <w:sz w:val="20"/>
                <w:szCs w:val="20"/>
                <w:color w:val="auto"/>
              </w:rPr>
            </w:pPr>
            <w:r>
              <w:rPr>
                <w:rFonts w:ascii="Arial" w:cs="Arial" w:eastAsia="Arial" w:hAnsi="Arial"/>
                <w:sz w:val="13"/>
                <w:szCs w:val="13"/>
                <w:color w:val="auto"/>
              </w:rPr>
              <w:t>Intangible assets acquired (*)</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71"/>
        </w:trPr>
        <w:tc>
          <w:tcPr>
            <w:tcW w:w="9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tax asset (*)</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9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Goodwill</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85"/>
        </w:trPr>
        <w:tc>
          <w:tcPr>
            <w:tcW w:w="97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Included in Other assets in AFG’s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the purchase price allocation, $124 million of the purchase price was recognized as finite lived intangible assets primarily related to existing agency relationships, which will be amortized</w:t>
      </w:r>
    </w:p>
    <w:p>
      <w:pPr>
        <w:spacing w:after="0" w:line="1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over an average estimated life of approximately 14 years. The acquisition resulted in the recognition of $85 million in GAAP basis goodwill based on the excess of the purchase price over the fair value of the net assets acquired. The acquisition resulted in $79 million of tax basis goodwill, which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35"/>
        </w:numPr>
        <w:rPr>
          <w:rFonts w:ascii="Arial" w:cs="Arial" w:eastAsia="Arial" w:hAnsi="Arial"/>
          <w:sz w:val="23"/>
          <w:szCs w:val="23"/>
          <w:b w:val="1"/>
          <w:bCs w:val="1"/>
          <w:color w:val="00274E"/>
        </w:rPr>
      </w:pPr>
      <w:r>
        <w:rPr>
          <w:rFonts w:ascii="Arial" w:cs="Arial" w:eastAsia="Arial" w:hAnsi="Arial"/>
          <w:sz w:val="23"/>
          <w:szCs w:val="23"/>
          <w:b w:val="1"/>
          <w:bCs w:val="1"/>
          <w:color w:val="00274E"/>
        </w:rPr>
        <w:t>Segments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AFG manages its business as two segments: Property and casualty insurance and Other, which includes holding company assets and costs.</w:t>
      </w:r>
    </w:p>
    <w:p>
      <w:pPr>
        <w:spacing w:after="0" w:line="201" w:lineRule="exact"/>
        <w:rPr>
          <w:sz w:val="20"/>
          <w:szCs w:val="20"/>
          <w:color w:val="auto"/>
        </w:rPr>
      </w:pPr>
    </w:p>
    <w:p>
      <w:pPr>
        <w:ind w:right="100"/>
        <w:spacing w:after="0" w:line="262" w:lineRule="auto"/>
        <w:rPr>
          <w:sz w:val="20"/>
          <w:szCs w:val="20"/>
          <w:color w:val="auto"/>
        </w:rPr>
      </w:pPr>
      <w:r>
        <w:rPr>
          <w:rFonts w:ascii="Arial" w:cs="Arial" w:eastAsia="Arial" w:hAnsi="Arial"/>
          <w:sz w:val="13"/>
          <w:szCs w:val="13"/>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AFG’s reportable segments and their components were determined based primarily upon similar economic characteristics, products and services. Historically, AFG reported the results of its internal reinsurance facility (that assumes business from several of AFG’s Specialty property and casualty businesses) in an Other Specialty sub-segment. Beginning in 2025, to be consistent with how the Chief Operating Decision Makers (“CODMs”) currently view and evaluate AFG’s Property and casualty sub-segments, the internal reinsurance results are included within the same sub-segments as the ceding businesses. The CODMs believe this presentation better reflects the performance of the underlying operating businesses and enhances the financial reporting. Information from prior periods has been recast for consistent presentation. The impacts of all intercompany transactions between segments have been eliminated.</w:t>
      </w:r>
    </w:p>
    <w:p>
      <w:pPr>
        <w:spacing w:after="0" w:line="172"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AFG’s CODMs are its Co-CEOs. The CODMs evaluate the performance of the Property and casualty insurance segment based on return on equity and underwriting profit. The CODMs use this measure to allocate resources and make capital decisions.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Sales of property and casualty insurance outside of the United States represented 4% of AFG’s revenues in both 2025 and 2024 and 3% in 2023.</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(in millions) show AFG’s assets, revenues and earnings before income taxes by segment and sub-segment.</w:t>
      </w:r>
    </w:p>
    <w:p>
      <w:pPr>
        <w:spacing w:after="0" w:line="126" w:lineRule="exact"/>
        <w:rPr>
          <w:sz w:val="20"/>
          <w:szCs w:val="20"/>
          <w:color w:val="auto"/>
        </w:rPr>
      </w:pPr>
    </w:p>
    <w:p>
      <w:pPr>
        <w:ind w:left="9260"/>
        <w:spacing w:after="0"/>
        <w:tabs>
          <w:tab w:leader="none" w:pos="10520" w:val="left"/>
        </w:tabs>
        <w:rPr>
          <w:sz w:val="20"/>
          <w:szCs w:val="20"/>
          <w:color w:val="auto"/>
        </w:rPr>
      </w:pPr>
      <w:r>
        <w:rPr>
          <w:rFonts w:ascii="Arial" w:cs="Arial" w:eastAsia="Arial" w:hAnsi="Arial"/>
          <w:sz w:val="11"/>
          <w:szCs w:val="11"/>
          <w:color w:val="auto"/>
        </w:rPr>
        <w:t>2025</w:t>
      </w:r>
      <w:r>
        <w:rPr>
          <w:sz w:val="20"/>
          <w:szCs w:val="20"/>
          <w:color w:val="auto"/>
        </w:rPr>
        <w:tab/>
      </w:r>
      <w:r>
        <w:rPr>
          <w:rFonts w:ascii="Arial" w:cs="Arial" w:eastAsia="Arial" w:hAnsi="Arial"/>
          <w:sz w:val="11"/>
          <w:szCs w:val="1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48195" cy="107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casualty insurance (*)</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assets</w:t>
      </w:r>
    </w:p>
    <w:p>
      <w:pPr>
        <w:spacing w:after="0" w:line="152" w:lineRule="exact"/>
        <w:rPr>
          <w:sz w:val="20"/>
          <w:szCs w:val="20"/>
          <w:color w:val="auto"/>
        </w:rPr>
      </w:pPr>
    </w:p>
    <w:p>
      <w:pPr>
        <w:ind w:left="320" w:hanging="315"/>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Not allocable to sub-segments.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27,654</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25,913</w:t>
            </w:r>
          </w:p>
        </w:tc>
      </w:tr>
      <w:tr>
        <w:trPr>
          <w:trHeight w:val="171"/>
        </w:trPr>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4,988</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4,923</w:t>
            </w:r>
          </w:p>
        </w:tc>
      </w:tr>
      <w:tr>
        <w:trPr>
          <w:trHeight w:val="160"/>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32,642</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30,836</w:t>
            </w:r>
          </w:p>
        </w:tc>
      </w:tr>
      <w:tr>
        <w:trPr>
          <w:trHeight w:val="20"/>
        </w:trPr>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4"/>
        </w:trPr>
        <w:tc>
          <w:tcPr>
            <w:tcW w:w="780" w:type="dxa"/>
            <w:vAlign w:val="bottom"/>
          </w:tcPr>
          <w:p>
            <w:pPr>
              <w:jc w:val="right"/>
              <w:ind w:right="479"/>
              <w:spacing w:after="0"/>
              <w:rPr>
                <w:sz w:val="20"/>
                <w:szCs w:val="20"/>
                <w:color w:val="auto"/>
              </w:rPr>
            </w:pPr>
            <w:r>
              <w:rPr>
                <w:rFonts w:ascii="Arial" w:cs="Arial" w:eastAsia="Arial" w:hAnsi="Arial"/>
                <w:sz w:val="11"/>
                <w:szCs w:val="11"/>
                <w:color w:val="auto"/>
                <w:w w:val="89"/>
              </w:rPr>
              <w:t>2025</w:t>
            </w:r>
          </w:p>
        </w:tc>
        <w:tc>
          <w:tcPr>
            <w:tcW w:w="280" w:type="dxa"/>
            <w:vAlign w:val="bottom"/>
          </w:tcPr>
          <w:p>
            <w:pPr>
              <w:spacing w:after="0"/>
              <w:rPr>
                <w:sz w:val="24"/>
                <w:szCs w:val="24"/>
                <w:color w:val="auto"/>
              </w:rPr>
            </w:pPr>
          </w:p>
        </w:tc>
        <w:tc>
          <w:tcPr>
            <w:tcW w:w="920" w:type="dxa"/>
            <w:vAlign w:val="bottom"/>
          </w:tcPr>
          <w:p>
            <w:pPr>
              <w:jc w:val="right"/>
              <w:ind w:right="398"/>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98"/>
              <w:spacing w:after="0"/>
              <w:rPr>
                <w:sz w:val="20"/>
                <w:szCs w:val="20"/>
                <w:color w:val="auto"/>
              </w:rPr>
            </w:pPr>
            <w:r>
              <w:rPr>
                <w:rFonts w:ascii="Arial" w:cs="Arial" w:eastAsia="Arial" w:hAnsi="Arial"/>
                <w:sz w:val="11"/>
                <w:szCs w:val="1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-541020</wp:posOffset>
            </wp:positionV>
            <wp:extent cx="7148195"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80" w:space="720"/>
            <w:col w:w="3280"/>
          </w:cols>
          <w:pgMar w:left="30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Property and casualty insurance: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earned premiums:</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7520" w:type="dxa"/>
            <w:vAlign w:val="bottom"/>
          </w:tcPr>
          <w:p>
            <w:pPr>
              <w:ind w:left="260"/>
              <w:spacing w:after="0"/>
              <w:rPr>
                <w:sz w:val="20"/>
                <w:szCs w:val="20"/>
                <w:color w:val="auto"/>
              </w:rPr>
            </w:pPr>
            <w:r>
              <w:rPr>
                <w:rFonts w:ascii="Arial" w:cs="Arial" w:eastAsia="Arial" w:hAnsi="Arial"/>
                <w:sz w:val="13"/>
                <w:szCs w:val="13"/>
                <w:color w:val="auto"/>
              </w:rPr>
              <w:t>Specialty</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Property and transportation</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w:t>
            </w:r>
          </w:p>
        </w:tc>
      </w:tr>
      <w:tr>
        <w:trPr>
          <w:trHeight w:val="169"/>
        </w:trPr>
        <w:tc>
          <w:tcPr>
            <w:tcW w:w="7520" w:type="dxa"/>
            <w:vAlign w:val="bottom"/>
          </w:tcPr>
          <w:p>
            <w:pPr>
              <w:ind w:left="420"/>
              <w:spacing w:after="0"/>
              <w:rPr>
                <w:sz w:val="20"/>
                <w:szCs w:val="20"/>
                <w:color w:val="auto"/>
              </w:rPr>
            </w:pPr>
            <w:r>
              <w:rPr>
                <w:rFonts w:ascii="Arial" w:cs="Arial" w:eastAsia="Arial" w:hAnsi="Arial"/>
                <w:sz w:val="13"/>
                <w:szCs w:val="13"/>
                <w:color w:val="auto"/>
              </w:rPr>
              <w:t>Specialty casualty</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3,176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3,112</w:t>
            </w:r>
          </w:p>
        </w:tc>
      </w:tr>
      <w:tr>
        <w:trPr>
          <w:trHeight w:val="171"/>
        </w:trPr>
        <w:tc>
          <w:tcPr>
            <w:tcW w:w="7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Specialty financial</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869</w:t>
            </w:r>
          </w:p>
        </w:tc>
      </w:tr>
      <w:tr>
        <w:trPr>
          <w:trHeight w:val="159"/>
        </w:trPr>
        <w:tc>
          <w:tcPr>
            <w:tcW w:w="7520" w:type="dxa"/>
            <w:vAlign w:val="bottom"/>
          </w:tcPr>
          <w:p>
            <w:pPr>
              <w:ind w:left="600"/>
              <w:spacing w:after="0"/>
              <w:rPr>
                <w:sz w:val="20"/>
                <w:szCs w:val="20"/>
                <w:color w:val="auto"/>
              </w:rPr>
            </w:pPr>
            <w:r>
              <w:rPr>
                <w:rFonts w:ascii="Arial" w:cs="Arial" w:eastAsia="Arial" w:hAnsi="Arial"/>
                <w:sz w:val="13"/>
                <w:szCs w:val="13"/>
                <w:color w:val="auto"/>
              </w:rPr>
              <w:t>Total net earned premiums</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6,531</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investment income</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income</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7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property and casualty insurance</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7,276</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r>
      <w:tr>
        <w:trPr>
          <w:trHeight w:val="162"/>
        </w:trPr>
        <w:tc>
          <w:tcPr>
            <w:tcW w:w="7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revenues before realized gains (losses)</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7,867</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Realized gains (losses) on securities</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on subsidiaries</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7520" w:type="dxa"/>
            <w:vAlign w:val="bottom"/>
          </w:tcPr>
          <w:p>
            <w:pPr>
              <w:ind w:left="360"/>
              <w:spacing w:after="0"/>
              <w:rPr>
                <w:sz w:val="20"/>
                <w:szCs w:val="20"/>
                <w:color w:val="auto"/>
              </w:rPr>
            </w:pPr>
            <w:r>
              <w:rPr>
                <w:rFonts w:ascii="Arial" w:cs="Arial" w:eastAsia="Arial" w:hAnsi="Arial"/>
                <w:sz w:val="13"/>
                <w:szCs w:val="13"/>
                <w:color w:val="auto"/>
              </w:rPr>
              <w:t>Total revenues</w:t>
            </w: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8,174</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8,324</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7,827</w:t>
            </w:r>
          </w:p>
        </w:tc>
      </w:tr>
      <w:tr>
        <w:trPr>
          <w:trHeight w:val="20"/>
        </w:trPr>
        <w:tc>
          <w:tcPr>
            <w:tcW w:w="7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Before Income Taxes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Property and casualty insurance:</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Underwriting:</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360"/>
              <w:spacing w:after="0"/>
              <w:rPr>
                <w:sz w:val="20"/>
                <w:szCs w:val="20"/>
                <w:color w:val="auto"/>
              </w:rPr>
            </w:pPr>
            <w:r>
              <w:rPr>
                <w:rFonts w:ascii="Arial" w:cs="Arial" w:eastAsia="Arial" w:hAnsi="Arial"/>
                <w:sz w:val="13"/>
                <w:szCs w:val="13"/>
                <w:color w:val="auto"/>
              </w:rPr>
              <w:t>Specialty</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9"/>
        </w:trPr>
        <w:tc>
          <w:tcPr>
            <w:tcW w:w="7520" w:type="dxa"/>
            <w:vAlign w:val="bottom"/>
          </w:tcPr>
          <w:p>
            <w:pPr>
              <w:ind w:left="520"/>
              <w:spacing w:after="0"/>
              <w:rPr>
                <w:sz w:val="20"/>
                <w:szCs w:val="20"/>
                <w:color w:val="auto"/>
              </w:rPr>
            </w:pPr>
            <w:r>
              <w:rPr>
                <w:rFonts w:ascii="Arial" w:cs="Arial" w:eastAsia="Arial" w:hAnsi="Arial"/>
                <w:sz w:val="13"/>
                <w:szCs w:val="13"/>
                <w:color w:val="auto"/>
              </w:rPr>
              <w:t>Specialty casualty</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348</w:t>
            </w:r>
          </w:p>
        </w:tc>
      </w:tr>
      <w:tr>
        <w:trPr>
          <w:trHeight w:val="171"/>
        </w:trPr>
        <w:tc>
          <w:tcPr>
            <w:tcW w:w="75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Specialty financial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6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lines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75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underwriting (a)</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r>
      <w:tr>
        <w:trPr>
          <w:trHeight w:val="169"/>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Investment and other income, net</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w:t>
            </w:r>
          </w:p>
        </w:tc>
      </w:tr>
      <w:tr>
        <w:trPr>
          <w:trHeight w:val="162"/>
        </w:trPr>
        <w:tc>
          <w:tcPr>
            <w:tcW w:w="752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property and casualty insurance</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(b)</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r>
      <w:tr>
        <w:trPr>
          <w:trHeight w:val="162"/>
        </w:trPr>
        <w:tc>
          <w:tcPr>
            <w:tcW w:w="752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earnings before realized gains (losses) and income taxes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Realized gains (losses) on securities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 (losses) on subsidiaries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7520" w:type="dxa"/>
            <w:vAlign w:val="bottom"/>
          </w:tcPr>
          <w:p>
            <w:pPr>
              <w:ind w:left="500"/>
              <w:spacing w:after="0"/>
              <w:rPr>
                <w:sz w:val="20"/>
                <w:szCs w:val="20"/>
                <w:color w:val="auto"/>
              </w:rPr>
            </w:pPr>
            <w:r>
              <w:rPr>
                <w:rFonts w:ascii="Arial" w:cs="Arial" w:eastAsia="Arial" w:hAnsi="Arial"/>
                <w:sz w:val="13"/>
                <w:szCs w:val="13"/>
                <w:color w:val="auto"/>
              </w:rPr>
              <w:t>Total earnings before income taxes</w:t>
            </w:r>
          </w:p>
        </w:tc>
        <w:tc>
          <w:tcPr>
            <w:tcW w:w="7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1,073</w:t>
            </w:r>
          </w:p>
        </w:tc>
      </w:tr>
      <w:tr>
        <w:trPr>
          <w:trHeight w:val="20"/>
        </w:trPr>
        <w:tc>
          <w:tcPr>
            <w:tcW w:w="7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Significant segment expenses, which are losses and loss adjustment expenses and commissions and other underwriting expenses, are shown in the table below by sub-segment.</w:t>
      </w:r>
    </w:p>
    <w:p>
      <w:pPr>
        <w:spacing w:after="0" w:line="73" w:lineRule="exact"/>
        <w:rPr>
          <w:rFonts w:ascii="Arial" w:cs="Arial" w:eastAsia="Arial" w:hAnsi="Arial"/>
          <w:sz w:val="13"/>
          <w:szCs w:val="13"/>
          <w:color w:val="auto"/>
        </w:rPr>
      </w:pPr>
    </w:p>
    <w:p>
      <w:pPr>
        <w:ind w:left="320" w:right="100" w:hanging="315"/>
        <w:spacing w:after="0" w:line="276" w:lineRule="auto"/>
        <w:tabs>
          <w:tab w:leader="none" w:pos="314"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interest charges on borrowed money and other holding company expenses. Holding company expenses include special charges of $25 million, $14 million and $15 million in 2025, 2024 and 2023, respectively, to increase asbestos and environmental liabilities related to AFG’s former railroad and manufacturing operations and a gain on retirement of debt of $1 million in 2023.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components of underwriting profit, including significant segment expenses, for the Property and casualty insurance segment (in millions) for the years ended: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and casualty insurance:</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Specialty:</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Property and transportation:</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2,746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2,826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2,550</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Specialty casualty:</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3,215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3,176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3,112</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Specialty financial: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1,085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1,034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869</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w:t>
            </w:r>
          </w:p>
        </w:tc>
      </w:tr>
      <w:tr>
        <w:trPr>
          <w:trHeight w:val="187"/>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lines: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Underwriting loss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property and casualty insurance segment:</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Net earned premiums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7,046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6,531</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and loss adjustment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r>
      <w:tr>
        <w:trPr>
          <w:trHeight w:val="16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Commissions and other underwriting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1,883</w:t>
            </w:r>
          </w:p>
        </w:tc>
      </w:tr>
      <w:tr>
        <w:trPr>
          <w:trHeight w:val="187"/>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Underwriting profit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38"/>
        </w:numPr>
        <w:rPr>
          <w:rFonts w:ascii="Arial" w:cs="Arial" w:eastAsia="Arial" w:hAnsi="Arial"/>
          <w:sz w:val="23"/>
          <w:szCs w:val="23"/>
          <w:b w:val="1"/>
          <w:bCs w:val="1"/>
          <w:color w:val="00274E"/>
        </w:rPr>
      </w:pPr>
      <w:r>
        <w:rPr>
          <w:rFonts w:ascii="Arial" w:cs="Arial" w:eastAsia="Arial" w:hAnsi="Arial"/>
          <w:sz w:val="23"/>
          <w:szCs w:val="23"/>
          <w:b w:val="1"/>
          <w:bCs w:val="1"/>
          <w:color w:val="00274E"/>
        </w:rPr>
        <w:t>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Accounting standards for measuring fair value are based on inputs used in estimating fair value. The three levels of the hierarchy are as follows:</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153"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320" w:lineRule="exact"/>
        <w:rPr>
          <w:sz w:val="20"/>
          <w:szCs w:val="20"/>
          <w:color w:val="auto"/>
        </w:rPr>
      </w:pPr>
    </w:p>
    <w:p>
      <w:pPr>
        <w:ind w:right="160"/>
        <w:spacing w:after="0" w:line="272" w:lineRule="auto"/>
        <w:rPr>
          <w:sz w:val="20"/>
          <w:szCs w:val="20"/>
          <w:color w:val="auto"/>
        </w:rPr>
      </w:pPr>
      <w:r>
        <w:rPr>
          <w:rFonts w:ascii="Arial" w:cs="Arial" w:eastAsia="Arial" w:hAnsi="Arial"/>
          <w:sz w:val="13"/>
          <w:szCs w:val="13"/>
          <w:color w:val="auto"/>
        </w:rPr>
        <w:t xml:space="preserve">The contingent consideration liability related to the 2021 acquisition of Verikai, was measured using a weighted probability-based income approach which includes significant unobservable inputs and was classified as Level 3 and represented the fair value of the up to $50 million in potential acquisition-related contingent consideration. Due to slower than anticipated growth in the business supported by the Verikai technology, the fair value of this liability was reduced to zero in the third quarter of 2023. The $22 million gain from this change in fair value and a goodwill impairment charge of $26 million related to Verikai (see </w:t>
      </w:r>
      <w:r>
        <w:rPr>
          <w:rFonts w:ascii="Arial" w:cs="Arial" w:eastAsia="Arial" w:hAnsi="Arial"/>
          <w:sz w:val="13"/>
          <w:szCs w:val="13"/>
          <w:i w:val="1"/>
          <w:iCs w:val="1"/>
          <w:color w:val="auto"/>
        </w:rPr>
        <w:t>Note H — “Goodwill and Other Intangibles”</w:t>
      </w:r>
      <w:r>
        <w:rPr>
          <w:rFonts w:ascii="Arial" w:cs="Arial" w:eastAsia="Arial" w:hAnsi="Arial"/>
          <w:sz w:val="13"/>
          <w:szCs w:val="13"/>
          <w:color w:val="auto"/>
        </w:rPr>
        <w:t>) is included in realized gains (losses) on subsidiaries in AFG’s Statement of Earnings.</w:t>
      </w:r>
    </w:p>
    <w:p>
      <w:pPr>
        <w:spacing w:after="0" w:line="320"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 xml:space="preserve">As discussed in </w:t>
      </w:r>
      <w:r>
        <w:rPr>
          <w:rFonts w:ascii="Arial" w:cs="Arial" w:eastAsia="Arial" w:hAnsi="Arial"/>
          <w:sz w:val="13"/>
          <w:szCs w:val="13"/>
          <w:i w:val="1"/>
          <w:iCs w:val="1"/>
          <w:color w:val="auto"/>
        </w:rPr>
        <w:t>Note A — “Accounting Policies — Managed Investment Entities,”</w:t>
      </w:r>
      <w:r>
        <w:rPr>
          <w:rFonts w:ascii="Arial" w:cs="Arial" w:eastAsia="Arial" w:hAnsi="Arial"/>
          <w:sz w:val="13"/>
          <w:szCs w:val="13"/>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153"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AFG’s management is responsible for the valuation process and uses data from outside sources (including nationally recognized pricing services and broker/dealers) in establishing fair value. AFG’s internal investment group includes approximately 25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Level 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color w:val="auto"/>
              </w:rPr>
              <w:t>Level 2</w:t>
            </w:r>
          </w:p>
        </w:tc>
        <w:tc>
          <w:tcPr>
            <w:tcW w:w="800" w:type="dxa"/>
            <w:vAlign w:val="bottom"/>
          </w:tcPr>
          <w:p>
            <w:pPr>
              <w:jc w:val="right"/>
              <w:spacing w:after="0"/>
              <w:rPr>
                <w:sz w:val="20"/>
                <w:szCs w:val="20"/>
                <w:color w:val="auto"/>
              </w:rPr>
            </w:pPr>
            <w:r>
              <w:rPr>
                <w:rFonts w:ascii="Arial" w:cs="Arial" w:eastAsia="Arial" w:hAnsi="Arial"/>
                <w:sz w:val="11"/>
                <w:szCs w:val="11"/>
                <w:color w:val="auto"/>
              </w:rPr>
              <w:t>Level 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7"/>
              <w:spacing w:after="0"/>
              <w:rPr>
                <w:sz w:val="20"/>
                <w:szCs w:val="20"/>
                <w:color w:val="auto"/>
              </w:rPr>
            </w:pPr>
            <w:r>
              <w:rPr>
                <w:rFonts w:ascii="Arial" w:cs="Arial" w:eastAsia="Arial" w:hAnsi="Arial"/>
                <w:sz w:val="11"/>
                <w:szCs w:val="11"/>
                <w:color w:val="auto"/>
              </w:rPr>
              <w:t>Total</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622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December 31, 2025</w:t>
            </w:r>
          </w:p>
        </w:tc>
        <w:tc>
          <w:tcPr>
            <w:tcW w:w="8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50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Available for sale (“AFS”)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U.S. government and government agencies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161</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Foreign government</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238</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Residential MBS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w:t>
            </w: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1,160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1,160</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w:t>
            </w:r>
          </w:p>
        </w:tc>
      </w:tr>
      <w:tr>
        <w:trPr>
          <w:trHeight w:val="169"/>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2,990</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3,386</w:t>
            </w:r>
          </w:p>
        </w:tc>
      </w:tr>
      <w:tr>
        <w:trPr>
          <w:trHeight w:val="16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Total AFS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11,052</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Trading fixed maturities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Assets of managed investment entities (“MIE”)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3,725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4,050</w:t>
            </w: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 — derivatives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Total assets accounted for at fair value</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14,025</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1,008</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62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Contingent consideration — acquisitions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 of managed investment entities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Other liabilities — derivatives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liabilities accounted for at fair value</w:t>
            </w: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50"/>
        </w:trPr>
        <w:tc>
          <w:tcPr>
            <w:tcW w:w="20" w:type="dxa"/>
            <w:vAlign w:val="bottom"/>
            <w:shd w:val="clear" w:color="auto" w:fill="CCEEFF"/>
          </w:tcPr>
          <w:p>
            <w:pPr>
              <w:spacing w:after="0"/>
              <w:rPr>
                <w:sz w:val="13"/>
                <w:szCs w:val="13"/>
                <w:color w:val="auto"/>
              </w:rPr>
            </w:pPr>
          </w:p>
        </w:tc>
        <w:tc>
          <w:tcPr>
            <w:tcW w:w="6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December 31, 2024</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50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Available for sale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U.S. government and government agencies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173</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Foreign government</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237</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Residential MBS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r>
      <w:tr>
        <w:trPr>
          <w:trHeight w:val="169"/>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1,237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1,237</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w:t>
            </w:r>
          </w:p>
        </w:tc>
      </w:tr>
      <w:tr>
        <w:trPr>
          <w:trHeight w:val="169"/>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3,014</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3,496</w:t>
            </w:r>
          </w:p>
        </w:tc>
      </w:tr>
      <w:tr>
        <w:trPr>
          <w:trHeight w:val="16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Total AFS fixed maturities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10,398</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Trading fixed maturities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Assets of managed investment entities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3,711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4,140</w:t>
            </w: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 — derivatives</w:t>
            </w: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20" w:type="dxa"/>
            <w:vAlign w:val="bottom"/>
          </w:tcPr>
          <w:p>
            <w:pPr>
              <w:spacing w:after="0"/>
              <w:rPr>
                <w:sz w:val="14"/>
                <w:szCs w:val="14"/>
                <w:color w:val="auto"/>
              </w:rPr>
            </w:pPr>
          </w:p>
        </w:tc>
        <w:tc>
          <w:tcPr>
            <w:tcW w:w="6220" w:type="dxa"/>
            <w:vAlign w:val="bottom"/>
            <w:gridSpan w:val="2"/>
          </w:tcPr>
          <w:p>
            <w:pPr>
              <w:ind w:left="260"/>
              <w:spacing w:after="0"/>
              <w:rPr>
                <w:sz w:val="20"/>
                <w:szCs w:val="20"/>
                <w:color w:val="auto"/>
              </w:rPr>
            </w:pPr>
            <w:r>
              <w:rPr>
                <w:rFonts w:ascii="Arial" w:cs="Arial" w:eastAsia="Arial" w:hAnsi="Arial"/>
                <w:sz w:val="13"/>
                <w:szCs w:val="13"/>
                <w:color w:val="auto"/>
              </w:rPr>
              <w:t>Total assets accounted for at fair value</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1,023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13,247</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1,096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62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Liabilities:</w:t>
            </w: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Contingent consideration — acquisitions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 of managed investment entities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w:t>
            </w:r>
          </w:p>
        </w:tc>
      </w:tr>
      <w:tr>
        <w:trPr>
          <w:trHeight w:val="169"/>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Other liabilities — derivatives</w:t>
            </w: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liabilities accounted for at fair value</w:t>
            </w: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3"/>
          <w:szCs w:val="13"/>
          <w:color w:val="auto"/>
        </w:rPr>
        <w:t>Approximately 6% of the total assets carried at fair value at December 31, 2025,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88% ($883 million) of the total fair value of Level 3 assets at December 31, 2025. Approximately 70% ($614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model suggests a higher price, management caps the fair value at par value. The remainder of the internally developed Level 3 investments ($269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163"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Approximately 9% ($91 million) of the Level 3 assets were investments whose prices were determined based on financial information provided by third party asset managers. Approximately 3% ($34 million) of Level 3 assets were priced using non-binding broker quotes or pricing services, for which there is a lack of transparency as to the inputs used to determine fair value.</w:t>
      </w:r>
    </w:p>
    <w:p>
      <w:pPr>
        <w:spacing w:after="0" w:line="139"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Changes in balances of Level 3 financial assets and liabilities carried at fair value during 2025, 2024 and 2023 are presented below (in millions). The transfers into and out of Level 3 were due to changes in the availability of market observable inputs. All transfers are reflected in the table at fair value as of the end of the reporting period.</w:t>
      </w:r>
    </w:p>
    <w:p>
      <w:pPr>
        <w:spacing w:after="0" w:line="89" w:lineRule="exact"/>
        <w:rPr>
          <w:sz w:val="20"/>
          <w:szCs w:val="20"/>
          <w:color w:val="auto"/>
        </w:rPr>
      </w:pPr>
    </w:p>
    <w:p>
      <w:pPr>
        <w:ind w:left="4880"/>
        <w:spacing w:after="0"/>
        <w:rPr>
          <w:sz w:val="20"/>
          <w:szCs w:val="20"/>
          <w:color w:val="auto"/>
        </w:rPr>
      </w:pPr>
      <w:r>
        <w:rPr>
          <w:rFonts w:ascii="Arial" w:cs="Arial" w:eastAsia="Arial" w:hAnsi="Arial"/>
          <w:sz w:val="10"/>
          <w:szCs w:val="10"/>
          <w:color w:val="auto"/>
        </w:rPr>
        <w:t>Total realized/unrealized</w:t>
      </w:r>
    </w:p>
    <w:p>
      <w:pPr>
        <w:ind w:left="4860"/>
        <w:spacing w:after="0"/>
        <w:rPr>
          <w:sz w:val="20"/>
          <w:szCs w:val="20"/>
          <w:color w:val="auto"/>
        </w:rPr>
      </w:pPr>
      <w:r>
        <w:rPr>
          <w:rFonts w:ascii="Arial" w:cs="Arial" w:eastAsia="Arial" w:hAnsi="Arial"/>
          <w:sz w:val="10"/>
          <w:szCs w:val="10"/>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17780</wp:posOffset>
            </wp:positionV>
            <wp:extent cx="12865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0"/>
                <w:szCs w:val="10"/>
                <w:color w:val="auto"/>
                <w:w w:val="97"/>
              </w:rPr>
              <w:t>Balance at December</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center"/>
              <w:ind w:right="4"/>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6"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4"/>
              <w:spacing w:after="0"/>
              <w:rPr>
                <w:sz w:val="20"/>
                <w:szCs w:val="20"/>
                <w:color w:val="auto"/>
              </w:rPr>
            </w:pPr>
            <w:r>
              <w:rPr>
                <w:rFonts w:ascii="Arial" w:cs="Arial" w:eastAsia="Arial" w:hAnsi="Arial"/>
                <w:sz w:val="10"/>
                <w:szCs w:val="10"/>
                <w:color w:val="auto"/>
                <w:w w:val="97"/>
              </w:rPr>
              <w:t>31, 2024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earnings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2"/>
                <w:szCs w:val="12"/>
                <w:color w:val="auto"/>
              </w:rPr>
            </w:pPr>
          </w:p>
        </w:tc>
        <w:tc>
          <w:tcPr>
            <w:tcW w:w="1040" w:type="dxa"/>
            <w:vAlign w:val="bottom"/>
          </w:tcPr>
          <w:p>
            <w:pPr>
              <w:jc w:val="center"/>
              <w:ind w:right="4"/>
              <w:spacing w:after="0"/>
              <w:rPr>
                <w:sz w:val="20"/>
                <w:szCs w:val="20"/>
                <w:color w:val="auto"/>
              </w:rPr>
            </w:pPr>
            <w:r>
              <w:rPr>
                <w:rFonts w:ascii="Arial" w:cs="Arial" w:eastAsia="Arial" w:hAnsi="Arial"/>
                <w:sz w:val="10"/>
                <w:szCs w:val="10"/>
                <w:color w:val="auto"/>
                <w:w w:val="97"/>
              </w:rPr>
              <w:t>31, 2025</w:t>
            </w:r>
          </w:p>
        </w:tc>
        <w:tc>
          <w:tcPr>
            <w:tcW w:w="0" w:type="dxa"/>
            <w:vAlign w:val="bottom"/>
          </w:tcPr>
          <w:p>
            <w:pPr>
              <w:spacing w:after="0"/>
              <w:rPr>
                <w:sz w:val="1"/>
                <w:szCs w:val="1"/>
                <w:color w:val="auto"/>
              </w:rPr>
            </w:pPr>
          </w:p>
        </w:tc>
      </w:tr>
      <w:tr>
        <w:trPr>
          <w:trHeight w:val="144"/>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47"/>
        </w:trPr>
        <w:tc>
          <w:tcPr>
            <w:tcW w:w="3220" w:type="dxa"/>
            <w:vAlign w:val="bottom"/>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w w:val="81"/>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Trading fixed maturities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Equity securities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1,008</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ind w:left="340"/>
              <w:spacing w:after="0"/>
              <w:rPr>
                <w:sz w:val="20"/>
                <w:szCs w:val="20"/>
                <w:color w:val="auto"/>
              </w:rPr>
            </w:pPr>
            <w:r>
              <w:rPr>
                <w:rFonts w:ascii="Arial" w:cs="Arial" w:eastAsia="Arial" w:hAnsi="Arial"/>
                <w:sz w:val="10"/>
                <w:szCs w:val="10"/>
                <w:color w:val="auto"/>
              </w:rPr>
              <w:t>Total realized/unrealized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0"/>
                <w:szCs w:val="10"/>
                <w:color w:val="auto"/>
              </w:rPr>
              <w:t>gains (losses) included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0"/>
                <w:szCs w:val="10"/>
                <w:color w:val="auto"/>
                <w:w w:val="97"/>
              </w:rPr>
              <w:t>Balance at December</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center"/>
              <w:ind w:right="4"/>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6"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4"/>
              <w:spacing w:after="0"/>
              <w:rPr>
                <w:sz w:val="20"/>
                <w:szCs w:val="20"/>
                <w:color w:val="auto"/>
              </w:rPr>
            </w:pPr>
            <w:r>
              <w:rPr>
                <w:rFonts w:ascii="Arial" w:cs="Arial" w:eastAsia="Arial" w:hAnsi="Arial"/>
                <w:sz w:val="10"/>
                <w:szCs w:val="10"/>
                <w:color w:val="auto"/>
                <w:w w:val="97"/>
              </w:rPr>
              <w:t>31, 2023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earnings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2"/>
                <w:szCs w:val="12"/>
                <w:color w:val="auto"/>
              </w:rPr>
            </w:pPr>
          </w:p>
        </w:tc>
        <w:tc>
          <w:tcPr>
            <w:tcW w:w="1040" w:type="dxa"/>
            <w:vAlign w:val="bottom"/>
          </w:tcPr>
          <w:p>
            <w:pPr>
              <w:jc w:val="center"/>
              <w:ind w:right="4"/>
              <w:spacing w:after="0"/>
              <w:rPr>
                <w:sz w:val="20"/>
                <w:szCs w:val="20"/>
                <w:color w:val="auto"/>
              </w:rPr>
            </w:pPr>
            <w:r>
              <w:rPr>
                <w:rFonts w:ascii="Arial" w:cs="Arial" w:eastAsia="Arial" w:hAnsi="Arial"/>
                <w:sz w:val="10"/>
                <w:szCs w:val="10"/>
                <w:color w:val="auto"/>
                <w:w w:val="97"/>
              </w:rPr>
              <w:t>31, 2024</w:t>
            </w:r>
          </w:p>
        </w:tc>
        <w:tc>
          <w:tcPr>
            <w:tcW w:w="0" w:type="dxa"/>
            <w:vAlign w:val="bottom"/>
          </w:tcPr>
          <w:p>
            <w:pPr>
              <w:spacing w:after="0"/>
              <w:rPr>
                <w:sz w:val="1"/>
                <w:szCs w:val="1"/>
                <w:color w:val="auto"/>
              </w:rPr>
            </w:pPr>
          </w:p>
        </w:tc>
      </w:tr>
      <w:tr>
        <w:trPr>
          <w:trHeight w:val="14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Collateralized loan obligations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Trading fixed maturities</w:t>
            </w: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securities (*)</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Transfers out primarily relate to investments now accounted for using the equity method.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0"/>
          <w:szCs w:val="10"/>
          <w:color w:val="auto"/>
        </w:rPr>
        <w:t>Total realized/unrealized</w:t>
      </w:r>
    </w:p>
    <w:p>
      <w:pPr>
        <w:ind w:left="4860"/>
        <w:spacing w:after="0"/>
        <w:rPr>
          <w:sz w:val="20"/>
          <w:szCs w:val="20"/>
          <w:color w:val="auto"/>
        </w:rPr>
      </w:pPr>
      <w:r>
        <w:rPr>
          <w:rFonts w:ascii="Arial" w:cs="Arial" w:eastAsia="Arial" w:hAnsi="Arial"/>
          <w:sz w:val="10"/>
          <w:szCs w:val="10"/>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17780</wp:posOffset>
            </wp:positionV>
            <wp:extent cx="12865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0"/>
                <w:szCs w:val="10"/>
                <w:color w:val="auto"/>
              </w:rPr>
              <w:t>Balance at December</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color w:val="auto"/>
                <w:w w:val="98"/>
              </w:rPr>
              <w:t>Other comprehensive</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Purchases</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8"/>
              </w:rPr>
              <w:t>Sales and</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6"/>
              </w:rPr>
              <w:t>Transfer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6"/>
              </w:rPr>
              <w:t>Transfer</w:t>
            </w:r>
          </w:p>
        </w:tc>
        <w:tc>
          <w:tcPr>
            <w:tcW w:w="80" w:type="dxa"/>
            <w:vAlign w:val="bottom"/>
          </w:tcPr>
          <w:p>
            <w:pPr>
              <w:spacing w:after="0"/>
              <w:rPr>
                <w:sz w:val="10"/>
                <w:szCs w:val="10"/>
                <w:color w:val="auto"/>
              </w:rPr>
            </w:pPr>
          </w:p>
        </w:tc>
        <w:tc>
          <w:tcPr>
            <w:tcW w:w="1040" w:type="dxa"/>
            <w:vAlign w:val="bottom"/>
            <w:vMerge w:val="restart"/>
          </w:tcPr>
          <w:p>
            <w:pPr>
              <w:jc w:val="right"/>
              <w:ind w:right="25"/>
              <w:spacing w:after="0"/>
              <w:rPr>
                <w:sz w:val="20"/>
                <w:szCs w:val="20"/>
                <w:color w:val="auto"/>
              </w:rPr>
            </w:pPr>
            <w:r>
              <w:rPr>
                <w:rFonts w:ascii="Arial" w:cs="Arial" w:eastAsia="Arial" w:hAnsi="Arial"/>
                <w:sz w:val="10"/>
                <w:szCs w:val="10"/>
                <w:color w:val="auto"/>
                <w:w w:val="97"/>
              </w:rPr>
              <w:t>Balance at December</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and</w:t>
            </w: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jc w:val="center"/>
              <w:ind w:left="106"/>
              <w:spacing w:after="0" w:line="96" w:lineRule="exact"/>
              <w:rPr>
                <w:sz w:val="20"/>
                <w:szCs w:val="20"/>
                <w:color w:val="auto"/>
              </w:rPr>
            </w:pPr>
            <w:r>
              <w:rPr>
                <w:rFonts w:ascii="Arial" w:cs="Arial" w:eastAsia="Arial" w:hAnsi="Arial"/>
                <w:sz w:val="10"/>
                <w:szCs w:val="10"/>
                <w:color w:val="auto"/>
                <w:w w:val="98"/>
              </w:rPr>
              <w:t>into</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line="96" w:lineRule="exact"/>
              <w:rPr>
                <w:sz w:val="20"/>
                <w:szCs w:val="20"/>
                <w:color w:val="auto"/>
              </w:rPr>
            </w:pPr>
            <w:r>
              <w:rPr>
                <w:rFonts w:ascii="Arial" w:cs="Arial" w:eastAsia="Arial" w:hAnsi="Arial"/>
                <w:sz w:val="10"/>
                <w:szCs w:val="10"/>
                <w:color w:val="auto"/>
              </w:rPr>
              <w:t>out of</w:t>
            </w: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31, 2022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earnings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color w:val="auto"/>
              </w:rPr>
              <w:t>income (loss)</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8"/>
              </w:rPr>
              <w:t>issuances</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color w:val="auto"/>
                <w:w w:val="97"/>
              </w:rPr>
              <w:t>settlements</w:t>
            </w:r>
          </w:p>
        </w:tc>
        <w:tc>
          <w:tcPr>
            <w:tcW w:w="560" w:type="dxa"/>
            <w:vAlign w:val="bottom"/>
          </w:tcPr>
          <w:p>
            <w:pPr>
              <w:jc w:val="center"/>
              <w:ind w:left="106"/>
              <w:spacing w:after="0"/>
              <w:rPr>
                <w:sz w:val="20"/>
                <w:szCs w:val="20"/>
                <w:color w:val="auto"/>
              </w:rPr>
            </w:pPr>
            <w:r>
              <w:rPr>
                <w:rFonts w:ascii="Arial" w:cs="Arial" w:eastAsia="Arial" w:hAnsi="Arial"/>
                <w:sz w:val="10"/>
                <w:szCs w:val="10"/>
                <w:color w:val="auto"/>
                <w:w w:val="99"/>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color w:val="auto"/>
                <w:w w:val="99"/>
              </w:rPr>
              <w:t>Level 3</w:t>
            </w:r>
          </w:p>
        </w:tc>
        <w:tc>
          <w:tcPr>
            <w:tcW w:w="80" w:type="dxa"/>
            <w:vAlign w:val="bottom"/>
          </w:tcPr>
          <w:p>
            <w:pPr>
              <w:spacing w:after="0"/>
              <w:rPr>
                <w:sz w:val="12"/>
                <w:szCs w:val="12"/>
                <w:color w:val="auto"/>
              </w:rPr>
            </w:pPr>
          </w:p>
        </w:tc>
        <w:tc>
          <w:tcPr>
            <w:tcW w:w="1040" w:type="dxa"/>
            <w:vAlign w:val="bottom"/>
          </w:tcPr>
          <w:p>
            <w:pPr>
              <w:jc w:val="right"/>
              <w:ind w:right="305"/>
              <w:spacing w:after="0"/>
              <w:rPr>
                <w:sz w:val="20"/>
                <w:szCs w:val="20"/>
                <w:color w:val="auto"/>
              </w:rPr>
            </w:pPr>
            <w:r>
              <w:rPr>
                <w:rFonts w:ascii="Arial" w:cs="Arial" w:eastAsia="Arial" w:hAnsi="Arial"/>
                <w:sz w:val="10"/>
                <w:szCs w:val="10"/>
                <w:color w:val="auto"/>
              </w:rPr>
              <w:t>31, 2023</w:t>
            </w:r>
          </w:p>
        </w:tc>
        <w:tc>
          <w:tcPr>
            <w:tcW w:w="0" w:type="dxa"/>
            <w:vAlign w:val="bottom"/>
          </w:tcPr>
          <w:p>
            <w:pPr>
              <w:spacing w:after="0"/>
              <w:rPr>
                <w:sz w:val="1"/>
                <w:szCs w:val="1"/>
                <w:color w:val="auto"/>
              </w:rPr>
            </w:pPr>
          </w:p>
        </w:tc>
      </w:tr>
      <w:tr>
        <w:trPr>
          <w:trHeight w:val="144"/>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AFS fixed maturities: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State and municipal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Residential MBS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6"/>
        </w:trPr>
        <w:tc>
          <w:tcPr>
            <w:tcW w:w="3220" w:type="dxa"/>
            <w:vAlign w:val="bottom"/>
          </w:tcPr>
          <w:p>
            <w:pPr>
              <w:ind w:left="120"/>
              <w:spacing w:after="0"/>
              <w:rPr>
                <w:sz w:val="20"/>
                <w:szCs w:val="20"/>
                <w:color w:val="auto"/>
              </w:rPr>
            </w:pPr>
            <w:r>
              <w:rPr>
                <w:rFonts w:ascii="Arial" w:cs="Arial" w:eastAsia="Arial" w:hAnsi="Arial"/>
                <w:sz w:val="11"/>
                <w:szCs w:val="11"/>
                <w:color w:val="auto"/>
              </w:rPr>
              <w:t>Collateralized loan obligations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asset-backed securities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Corporate and other</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AFS fixed maturities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46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156"/>
        </w:trPr>
        <w:tc>
          <w:tcPr>
            <w:tcW w:w="3220" w:type="dxa"/>
            <w:vAlign w:val="bottom"/>
          </w:tcPr>
          <w:p>
            <w:pPr>
              <w:ind w:left="20"/>
              <w:spacing w:after="0"/>
              <w:rPr>
                <w:sz w:val="20"/>
                <w:szCs w:val="20"/>
                <w:color w:val="auto"/>
              </w:rPr>
            </w:pPr>
            <w:r>
              <w:rPr>
                <w:rFonts w:ascii="Arial" w:cs="Arial" w:eastAsia="Arial" w:hAnsi="Arial"/>
                <w:sz w:val="11"/>
                <w:szCs w:val="11"/>
                <w:color w:val="auto"/>
              </w:rPr>
              <w:t>Equity securities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485</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 of MIE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1"/>
                <w:szCs w:val="11"/>
                <w:color w:val="auto"/>
              </w:rPr>
              <w:t>Total Level 3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46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1,230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Contingent consideration — acquisitions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Level 3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520"/>
        <w:spacing w:after="0" w:line="233" w:lineRule="auto"/>
        <w:rPr>
          <w:sz w:val="20"/>
          <w:szCs w:val="20"/>
          <w:color w:val="auto"/>
        </w:rPr>
      </w:pPr>
      <w:r>
        <w:rPr>
          <w:rFonts w:ascii="Arial" w:cs="Arial" w:eastAsia="Arial" w:hAnsi="Arial"/>
          <w:sz w:val="16"/>
          <w:szCs w:val="16"/>
          <w:b w:val="1"/>
          <w:bCs w:val="1"/>
          <w:color w:val="00274E"/>
        </w:rPr>
        <w:t xml:space="preserve">Fair Value of Financial Instruments </w:t>
      </w:r>
      <w:r>
        <w:rPr>
          <w:rFonts w:ascii="Arial" w:cs="Arial" w:eastAsia="Arial" w:hAnsi="Arial"/>
          <w:sz w:val="13"/>
          <w:szCs w:val="13"/>
          <w:color w:val="000000"/>
        </w:rPr>
        <w:t>The carrying value and fair value of financial instruments that are not carried at fair value in the financial statements at December 31 are</w:t>
      </w:r>
      <w:r>
        <w:rPr>
          <w:rFonts w:ascii="Arial" w:cs="Arial" w:eastAsia="Arial" w:hAnsi="Arial"/>
          <w:sz w:val="16"/>
          <w:szCs w:val="16"/>
          <w:b w:val="1"/>
          <w:bCs w:val="1"/>
          <w:color w:val="00274E"/>
        </w:rPr>
        <w:t xml:space="preserve"> </w:t>
      </w:r>
      <w:r>
        <w:rPr>
          <w:rFonts w:ascii="Arial" w:cs="Arial" w:eastAsia="Arial" w:hAnsi="Arial"/>
          <w:sz w:val="13"/>
          <w:szCs w:val="13"/>
          <w:color w:val="000000"/>
        </w:rPr>
        <w:t>summarized below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color w:val="auto"/>
              </w:rPr>
              <w:t>Carrying</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Fair Value</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color w:val="auto"/>
                <w:w w:val="97"/>
              </w:rPr>
              <w:t>Value</w:t>
            </w:r>
          </w:p>
        </w:tc>
        <w:tc>
          <w:tcPr>
            <w:tcW w:w="24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Level 1</w:t>
            </w:r>
          </w:p>
        </w:tc>
        <w:tc>
          <w:tcPr>
            <w:tcW w:w="28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40" w:type="dxa"/>
            <w:vAlign w:val="bottom"/>
          </w:tcPr>
          <w:p>
            <w:pPr>
              <w:jc w:val="right"/>
              <w:ind w:right="257"/>
              <w:spacing w:after="0"/>
              <w:rPr>
                <w:sz w:val="20"/>
                <w:szCs w:val="20"/>
                <w:color w:val="auto"/>
              </w:rPr>
            </w:pPr>
            <w:r>
              <w:rPr>
                <w:rFonts w:ascii="Arial" w:cs="Arial" w:eastAsia="Arial" w:hAnsi="Arial"/>
                <w:sz w:val="12"/>
                <w:szCs w:val="12"/>
                <w:color w:val="auto"/>
              </w:rPr>
              <w:t>Level 3</w:t>
            </w:r>
          </w:p>
        </w:tc>
      </w:tr>
      <w:tr>
        <w:trPr>
          <w:trHeight w:val="118"/>
        </w:trPr>
        <w:tc>
          <w:tcPr>
            <w:tcW w:w="5740" w:type="dxa"/>
            <w:vAlign w:val="bottom"/>
            <w:tcBorders>
              <w:top w:val="single" w:sz="8" w:color="CCEEFF"/>
            </w:tcBorders>
            <w:gridSpan w:val="3"/>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2025</w:t>
            </w: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32"/>
        </w:trPr>
        <w:tc>
          <w:tcPr>
            <w:tcW w:w="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70"/>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3"/>
                <w:szCs w:val="13"/>
                <w:b w:val="1"/>
                <w:bCs w:val="1"/>
                <w:color w:val="auto"/>
              </w:rPr>
              <w:t>Financial assets: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Mortgage loans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w:t>
            </w:r>
          </w:p>
        </w:tc>
      </w:tr>
      <w:tr>
        <w:trPr>
          <w:trHeight w:val="182"/>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financial assets not accounted for at fair value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69"/>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20" w:type="dxa"/>
            <w:vAlign w:val="bottom"/>
          </w:tcPr>
          <w:p>
            <w:pPr>
              <w:spacing w:after="0"/>
              <w:rPr>
                <w:sz w:val="14"/>
                <w:szCs w:val="14"/>
                <w:color w:val="auto"/>
              </w:rPr>
            </w:pPr>
          </w:p>
        </w:tc>
        <w:tc>
          <w:tcPr>
            <w:tcW w:w="5720" w:type="dxa"/>
            <w:vAlign w:val="bottom"/>
            <w:gridSpan w:val="2"/>
          </w:tcPr>
          <w:p>
            <w:pPr>
              <w:ind w:left="260"/>
              <w:spacing w:after="0"/>
              <w:rPr>
                <w:sz w:val="20"/>
                <w:szCs w:val="20"/>
                <w:color w:val="auto"/>
              </w:rPr>
            </w:pPr>
            <w:r>
              <w:rPr>
                <w:rFonts w:ascii="Arial" w:cs="Arial" w:eastAsia="Arial" w:hAnsi="Arial"/>
                <w:sz w:val="13"/>
                <w:szCs w:val="13"/>
                <w:color w:val="auto"/>
              </w:rPr>
              <w:t>Total financial liabilities not accounted for at fair value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1,820</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1,609</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1,606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8"/>
        </w:trPr>
        <w:tc>
          <w:tcPr>
            <w:tcW w:w="574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Financial assets: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1,406</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1,406</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1,406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shd w:val="clear" w:color="auto" w:fill="CCEEFF"/>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 loans</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w:t>
            </w:r>
          </w:p>
        </w:tc>
      </w:tr>
      <w:tr>
        <w:trPr>
          <w:trHeight w:val="162"/>
        </w:trPr>
        <w:tc>
          <w:tcPr>
            <w:tcW w:w="20" w:type="dxa"/>
            <w:vAlign w:val="bottom"/>
          </w:tcPr>
          <w:p>
            <w:pPr>
              <w:spacing w:after="0"/>
              <w:rPr>
                <w:sz w:val="14"/>
                <w:szCs w:val="14"/>
                <w:color w:val="auto"/>
              </w:rPr>
            </w:pPr>
          </w:p>
        </w:tc>
        <w:tc>
          <w:tcPr>
            <w:tcW w:w="5720" w:type="dxa"/>
            <w:vAlign w:val="bottom"/>
            <w:gridSpan w:val="2"/>
          </w:tcPr>
          <w:p>
            <w:pPr>
              <w:ind w:left="260"/>
              <w:spacing w:after="0"/>
              <w:rPr>
                <w:sz w:val="20"/>
                <w:szCs w:val="20"/>
                <w:color w:val="auto"/>
              </w:rPr>
            </w:pPr>
            <w:r>
              <w:rPr>
                <w:rFonts w:ascii="Arial" w:cs="Arial" w:eastAsia="Arial" w:hAnsi="Arial"/>
                <w:sz w:val="13"/>
                <w:szCs w:val="13"/>
                <w:color w:val="auto"/>
              </w:rPr>
              <w:t>Total financial assets not accounted for at fair value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2,197</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2,160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1,406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Long-term debt</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2"/>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financial liabilities not accounted for at fair value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80" w:hanging="475"/>
        <w:spacing w:after="0"/>
        <w:tabs>
          <w:tab w:leader="none" w:pos="480" w:val="left"/>
        </w:tabs>
        <w:numPr>
          <w:ilvl w:val="0"/>
          <w:numId w:val="40"/>
        </w:numPr>
        <w:rPr>
          <w:rFonts w:ascii="Arial" w:cs="Arial" w:eastAsia="Arial" w:hAnsi="Arial"/>
          <w:sz w:val="23"/>
          <w:szCs w:val="23"/>
          <w:b w:val="1"/>
          <w:bCs w:val="1"/>
          <w:color w:val="00274E"/>
        </w:rPr>
      </w:pPr>
      <w:r>
        <w:rPr>
          <w:rFonts w:ascii="Arial" w:cs="Arial" w:eastAsia="Arial" w:hAnsi="Arial"/>
          <w:sz w:val="23"/>
          <w:szCs w:val="23"/>
          <w:b w:val="1"/>
          <w:bCs w:val="1"/>
          <w:color w:val="00274E"/>
        </w:rPr>
        <w:t>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Available for sale fixed maturities at December 31 consisted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rPr>
              <w:t>Amortized</w:t>
            </w:r>
          </w:p>
        </w:tc>
        <w:tc>
          <w:tcPr>
            <w:tcW w:w="120" w:type="dxa"/>
            <w:vAlign w:val="bottom"/>
          </w:tcPr>
          <w:p>
            <w:pPr>
              <w:spacing w:after="0"/>
              <w:rPr>
                <w:sz w:val="13"/>
                <w:szCs w:val="13"/>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rPr>
              <w:t>Allowance for Expected</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1"/>
                <w:szCs w:val="11"/>
                <w:color w:val="auto"/>
              </w:rPr>
              <w:t>Gross Unrealized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color w:val="auto"/>
                <w:w w:val="93"/>
              </w:rPr>
              <w:t>Net</w:t>
            </w:r>
          </w:p>
        </w:tc>
        <w:tc>
          <w:tcPr>
            <w:tcW w:w="220" w:type="dxa"/>
            <w:vAlign w:val="bottom"/>
          </w:tcPr>
          <w:p>
            <w:pPr>
              <w:spacing w:after="0"/>
              <w:rPr>
                <w:sz w:val="13"/>
                <w:szCs w:val="13"/>
                <w:color w:val="auto"/>
              </w:rPr>
            </w:pPr>
          </w:p>
        </w:tc>
        <w:tc>
          <w:tcPr>
            <w:tcW w:w="760" w:type="dxa"/>
            <w:vAlign w:val="bottom"/>
            <w:vMerge w:val="restart"/>
          </w:tcPr>
          <w:p>
            <w:pPr>
              <w:jc w:val="right"/>
              <w:ind w:right="317"/>
              <w:spacing w:after="0"/>
              <w:rPr>
                <w:sz w:val="20"/>
                <w:szCs w:val="20"/>
                <w:color w:val="auto"/>
              </w:rPr>
            </w:pPr>
            <w:r>
              <w:rPr>
                <w:rFonts w:ascii="Arial" w:cs="Arial" w:eastAsia="Arial" w:hAnsi="Arial"/>
                <w:sz w:val="11"/>
                <w:szCs w:val="11"/>
                <w:color w:val="auto"/>
              </w:rPr>
              <w:t>Fair</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color w:val="auto"/>
              </w:rPr>
              <w:t>Gains</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1"/>
                <w:szCs w:val="11"/>
                <w:color w:val="auto"/>
              </w:rPr>
              <w:t>Losses</w:t>
            </w: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color w:val="auto"/>
              </w:rPr>
              <w:t>Cost</w:t>
            </w:r>
          </w:p>
        </w:tc>
        <w:tc>
          <w:tcPr>
            <w:tcW w:w="12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color w:val="auto"/>
              </w:rPr>
              <w:t>Credit Losses</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color w:val="auto"/>
              </w:rPr>
              <w:t>Unrealized</w:t>
            </w:r>
          </w:p>
        </w:tc>
        <w:tc>
          <w:tcPr>
            <w:tcW w:w="220" w:type="dxa"/>
            <w:vAlign w:val="bottom"/>
          </w:tcPr>
          <w:p>
            <w:pPr>
              <w:spacing w:after="0"/>
              <w:rPr>
                <w:sz w:val="12"/>
                <w:szCs w:val="12"/>
                <w:color w:val="auto"/>
              </w:rPr>
            </w:pPr>
          </w:p>
        </w:tc>
        <w:tc>
          <w:tcPr>
            <w:tcW w:w="760" w:type="dxa"/>
            <w:vAlign w:val="bottom"/>
          </w:tcPr>
          <w:p>
            <w:pPr>
              <w:jc w:val="right"/>
              <w:ind w:right="277"/>
              <w:spacing w:after="0"/>
              <w:rPr>
                <w:sz w:val="20"/>
                <w:szCs w:val="20"/>
                <w:color w:val="auto"/>
              </w:rPr>
            </w:pPr>
            <w:r>
              <w:rPr>
                <w:rFonts w:ascii="Arial" w:cs="Arial" w:eastAsia="Arial" w:hAnsi="Arial"/>
                <w:sz w:val="11"/>
                <w:szCs w:val="11"/>
                <w:color w:val="auto"/>
              </w:rPr>
              <w:t>Value</w:t>
            </w:r>
          </w:p>
        </w:tc>
        <w:tc>
          <w:tcPr>
            <w:tcW w:w="0" w:type="dxa"/>
            <w:vAlign w:val="bottom"/>
          </w:tcPr>
          <w:p>
            <w:pPr>
              <w:spacing w:after="0"/>
              <w:rPr>
                <w:sz w:val="1"/>
                <w:szCs w:val="1"/>
                <w:color w:val="auto"/>
              </w:rPr>
            </w:pP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480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December 31, 2025</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States, municipalities and political subdivisions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Foreign government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Residential MBS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2,747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Collateralized loan obligations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Other asset-backed securities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2,525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Corporate and other</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ind w:left="480"/>
              <w:spacing w:after="0"/>
              <w:rPr>
                <w:sz w:val="20"/>
                <w:szCs w:val="20"/>
                <w:color w:val="auto"/>
              </w:rPr>
            </w:pPr>
            <w:r>
              <w:rPr>
                <w:rFonts w:ascii="Arial" w:cs="Arial" w:eastAsia="Arial" w:hAnsi="Arial"/>
                <w:sz w:val="13"/>
                <w:szCs w:val="13"/>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11,101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December 31, 2024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Fixed maturities:</w:t>
            </w:r>
          </w:p>
        </w:tc>
        <w:tc>
          <w:tcPr>
            <w:tcW w:w="3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States, municipalities and political subdivisions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Foreign government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Residential MBS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ind w:left="220"/>
              <w:spacing w:after="0"/>
              <w:rPr>
                <w:sz w:val="20"/>
                <w:szCs w:val="20"/>
                <w:color w:val="auto"/>
              </w:rPr>
            </w:pPr>
            <w:r>
              <w:rPr>
                <w:rFonts w:ascii="Arial" w:cs="Arial" w:eastAsia="Arial" w:hAnsi="Arial"/>
                <w:sz w:val="13"/>
                <w:szCs w:val="13"/>
                <w:color w:val="auto"/>
              </w:rPr>
              <w:t>Collateralized loan obligations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Other asset-backed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Corporate and other</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Equity securities which are reported at fair value with holding gains and losses recognized in net earnings, consisted of the following at December 31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2025</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2024</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52"/>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color w:val="auto"/>
              </w:rPr>
              <w:t>Actual Cost</w:t>
            </w: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Fair Value</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w w:val="99"/>
              </w:rPr>
              <w:t>Fair Value Over 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auto"/>
              </w:rPr>
              <w:t>Actual Cost</w:t>
            </w: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Fair Value</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w w:val="99"/>
              </w:rPr>
              <w:t>Fair Value Over Cost</w:t>
            </w:r>
          </w:p>
        </w:tc>
      </w:tr>
      <w:tr>
        <w:trPr>
          <w:trHeight w:val="16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Common stocks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6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Perpetual preferred stocks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87"/>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equity securities carried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investments accounted for using the equity method, by strategy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5"/>
          </w:tcPr>
          <w:p>
            <w:pPr>
              <w:ind w:left="1180"/>
              <w:spacing w:after="0"/>
              <w:rPr>
                <w:sz w:val="20"/>
                <w:szCs w:val="20"/>
                <w:color w:val="auto"/>
              </w:rPr>
            </w:pPr>
            <w:r>
              <w:rPr>
                <w:rFonts w:ascii="Arial" w:cs="Arial" w:eastAsia="Arial" w:hAnsi="Arial"/>
                <w:sz w:val="12"/>
                <w:szCs w:val="12"/>
                <w:color w:val="auto"/>
              </w:rPr>
              <w:t>Carrying Value</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2"/>
                <w:szCs w:val="12"/>
                <w:color w:val="auto"/>
              </w:rPr>
              <w:t>Net Investment Income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2"/>
        </w:trPr>
        <w:tc>
          <w:tcPr>
            <w:tcW w:w="37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2"/>
                <w:szCs w:val="12"/>
                <w:color w:val="auto"/>
              </w:rPr>
              <w:t>December 31, 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2"/>
                <w:szCs w:val="12"/>
                <w:color w:val="auto"/>
              </w:rPr>
              <w:t>December 31, 2024</w:t>
            </w:r>
          </w:p>
        </w:tc>
        <w:tc>
          <w:tcPr>
            <w:tcW w:w="1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2"/>
                <w:szCs w:val="12"/>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2"/>
                <w:szCs w:val="12"/>
                <w:color w:val="auto"/>
              </w:rPr>
              <w:t>2023</w:t>
            </w:r>
          </w:p>
        </w:tc>
      </w:tr>
      <w:tr>
        <w:trPr>
          <w:trHeight w:val="16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estate-related investments (*)</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69"/>
        </w:trPr>
        <w:tc>
          <w:tcPr>
            <w:tcW w:w="3780" w:type="dxa"/>
            <w:vAlign w:val="bottom"/>
          </w:tcPr>
          <w:p>
            <w:pPr>
              <w:ind w:left="20"/>
              <w:spacing w:after="0"/>
              <w:rPr>
                <w:sz w:val="20"/>
                <w:szCs w:val="20"/>
                <w:color w:val="auto"/>
              </w:rPr>
            </w:pPr>
            <w:r>
              <w:rPr>
                <w:rFonts w:ascii="Arial" w:cs="Arial" w:eastAsia="Arial" w:hAnsi="Arial"/>
                <w:sz w:val="13"/>
                <w:szCs w:val="13"/>
                <w:color w:val="auto"/>
              </w:rPr>
              <w:t>Private equity</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 debt</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Total investments accounted for using the equity method</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2,421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2,277</w:t>
            </w:r>
          </w:p>
        </w:tc>
        <w:tc>
          <w:tcPr>
            <w:tcW w:w="100" w:type="dxa"/>
            <w:vAlign w:val="bottom"/>
          </w:tcPr>
          <w:p>
            <w:pPr>
              <w:spacing w:after="0"/>
              <w:rPr>
                <w:sz w:val="14"/>
                <w:szCs w:val="14"/>
                <w:color w:val="auto"/>
              </w:rPr>
            </w:pPr>
          </w:p>
        </w:tc>
        <w:tc>
          <w:tcPr>
            <w:tcW w:w="880" w:type="dxa"/>
            <w:vAlign w:val="bottom"/>
          </w:tcPr>
          <w:p>
            <w:pPr>
              <w:jc w:val="right"/>
              <w:ind w:right="73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56</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87% and 88% of the carrying value relates to underlying investments in multi-family properties as of December 31, 2025 and December 31, 2024, respectively.</w:t>
      </w:r>
    </w:p>
    <w:p>
      <w:pPr>
        <w:spacing w:after="0" w:line="201"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With respect to partnerships and similar investments, AFG had unfunded commitments of $456 million and $457 million as of December 31, 2025 and December 31, 2024, respectively.</w:t>
      </w:r>
    </w:p>
    <w:p>
      <w:pPr>
        <w:spacing w:after="0" w:line="201"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color w:val="auto"/>
              </w:rPr>
              <w:t>Less Than Twelve Months</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color w:val="auto"/>
              </w:rPr>
              <w:t>Twelve Months or More</w:t>
            </w:r>
          </w:p>
        </w:tc>
        <w:tc>
          <w:tcPr>
            <w:tcW w:w="980" w:type="dxa"/>
            <w:vAlign w:val="bottom"/>
            <w:tcBorders>
              <w:bottom w:val="single" w:sz="8" w:color="auto"/>
            </w:tcBorders>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78"/>
              <w:spacing w:after="0"/>
              <w:rPr>
                <w:sz w:val="20"/>
                <w:szCs w:val="20"/>
                <w:color w:val="auto"/>
              </w:rPr>
            </w:pPr>
            <w:r>
              <w:rPr>
                <w:rFonts w:ascii="Arial" w:cs="Arial" w:eastAsia="Arial" w:hAnsi="Arial"/>
                <w:sz w:val="10"/>
                <w:szCs w:val="10"/>
                <w:color w:val="auto"/>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Fair</w:t>
            </w: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color w:val="auto"/>
                <w:w w:val="94"/>
              </w:rPr>
              <w:t>Fair Value as</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color w:val="auto"/>
                <w:w w:val="96"/>
              </w:rPr>
              <w:t>Unrealized</w:t>
            </w:r>
          </w:p>
        </w:tc>
        <w:tc>
          <w:tcPr>
            <w:tcW w:w="220" w:type="dxa"/>
            <w:vAlign w:val="bottom"/>
          </w:tcPr>
          <w:p>
            <w:pPr>
              <w:spacing w:after="0"/>
              <w:rPr>
                <w:sz w:val="11"/>
                <w:szCs w:val="11"/>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0"/>
                <w:szCs w:val="10"/>
                <w:color w:val="auto"/>
                <w:w w:val="92"/>
              </w:rPr>
              <w:t>Fair</w:t>
            </w:r>
          </w:p>
        </w:tc>
        <w:tc>
          <w:tcPr>
            <w:tcW w:w="980" w:type="dxa"/>
            <w:vAlign w:val="bottom"/>
          </w:tcPr>
          <w:p>
            <w:pPr>
              <w:jc w:val="right"/>
              <w:ind w:right="218"/>
              <w:spacing w:after="0"/>
              <w:rPr>
                <w:sz w:val="20"/>
                <w:szCs w:val="20"/>
                <w:color w:val="auto"/>
              </w:rPr>
            </w:pPr>
            <w:r>
              <w:rPr>
                <w:rFonts w:ascii="Arial" w:cs="Arial" w:eastAsia="Arial" w:hAnsi="Arial"/>
                <w:sz w:val="10"/>
                <w:szCs w:val="10"/>
                <w:color w:val="auto"/>
              </w:rPr>
              <w:t>Fair Value as</w:t>
            </w: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318"/>
              <w:spacing w:after="0"/>
              <w:rPr>
                <w:sz w:val="20"/>
                <w:szCs w:val="20"/>
                <w:color w:val="auto"/>
              </w:rPr>
            </w:pPr>
            <w:r>
              <w:rPr>
                <w:rFonts w:ascii="Arial" w:cs="Arial" w:eastAsia="Arial" w:hAnsi="Arial"/>
                <w:sz w:val="10"/>
                <w:szCs w:val="10"/>
                <w:color w:val="auto"/>
              </w:rPr>
              <w:t>Loss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Value</w:t>
            </w: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color w:val="auto"/>
              </w:rPr>
              <w:t>% of Cost</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color w:val="auto"/>
              </w:rPr>
              <w:t>Loss</w:t>
            </w:r>
          </w:p>
        </w:tc>
        <w:tc>
          <w:tcPr>
            <w:tcW w:w="220" w:type="dxa"/>
            <w:vAlign w:val="bottom"/>
          </w:tcPr>
          <w:p>
            <w:pPr>
              <w:spacing w:after="0"/>
              <w:rPr>
                <w:sz w:val="11"/>
                <w:szCs w:val="11"/>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0"/>
                <w:szCs w:val="10"/>
                <w:color w:val="auto"/>
                <w:w w:val="93"/>
              </w:rPr>
              <w:t>Value</w:t>
            </w:r>
          </w:p>
        </w:tc>
        <w:tc>
          <w:tcPr>
            <w:tcW w:w="980" w:type="dxa"/>
            <w:vAlign w:val="bottom"/>
          </w:tcPr>
          <w:p>
            <w:pPr>
              <w:jc w:val="right"/>
              <w:ind w:right="298"/>
              <w:spacing w:after="0"/>
              <w:rPr>
                <w:sz w:val="20"/>
                <w:szCs w:val="20"/>
                <w:color w:val="auto"/>
              </w:rPr>
            </w:pPr>
            <w:r>
              <w:rPr>
                <w:rFonts w:ascii="Arial" w:cs="Arial" w:eastAsia="Arial" w:hAnsi="Arial"/>
                <w:sz w:val="10"/>
                <w:szCs w:val="10"/>
                <w:color w:val="auto"/>
              </w:rPr>
              <w:t>% of Cost</w:t>
            </w: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476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December 31, 2025</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Fixed maturities:</w:t>
            </w:r>
          </w:p>
        </w:tc>
        <w:tc>
          <w:tcPr>
            <w:tcW w:w="36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U.S. government and government agencies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Foreign government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Residential MBS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Collateralized loan obligations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Other asset-backed securities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0"/>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Corporate and other</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2"/>
        </w:trPr>
        <w:tc>
          <w:tcPr>
            <w:tcW w:w="20" w:type="dxa"/>
            <w:vAlign w:val="bottom"/>
          </w:tcPr>
          <w:p>
            <w:pPr>
              <w:spacing w:after="0"/>
              <w:rPr>
                <w:sz w:val="14"/>
                <w:szCs w:val="14"/>
                <w:color w:val="auto"/>
              </w:rPr>
            </w:pPr>
          </w:p>
        </w:tc>
        <w:tc>
          <w:tcPr>
            <w:tcW w:w="4760" w:type="dxa"/>
            <w:vAlign w:val="bottom"/>
            <w:gridSpan w:val="2"/>
          </w:tcPr>
          <w:p>
            <w:pPr>
              <w:ind w:left="500"/>
              <w:spacing w:after="0"/>
              <w:rPr>
                <w:sz w:val="20"/>
                <w:szCs w:val="20"/>
                <w:color w:val="auto"/>
              </w:rPr>
            </w:pPr>
            <w:r>
              <w:rPr>
                <w:rFonts w:ascii="Arial" w:cs="Arial" w:eastAsia="Arial" w:hAnsi="Arial"/>
                <w:sz w:val="13"/>
                <w:szCs w:val="13"/>
                <w:color w:val="auto"/>
              </w:rPr>
              <w:t>Total fixed maturities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2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December 31, 2024</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Fixed maturities:</w:t>
            </w:r>
          </w:p>
        </w:tc>
        <w:tc>
          <w:tcPr>
            <w:tcW w:w="3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U.S. government and government agencies</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States, municipalities and political subdivisions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Foreign government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Residential MBS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69"/>
        </w:trPr>
        <w:tc>
          <w:tcPr>
            <w:tcW w:w="20" w:type="dxa"/>
            <w:vAlign w:val="bottom"/>
          </w:tcPr>
          <w:p>
            <w:pPr>
              <w:spacing w:after="0"/>
              <w:rPr>
                <w:sz w:val="14"/>
                <w:szCs w:val="14"/>
                <w:color w:val="auto"/>
              </w:rPr>
            </w:pPr>
          </w:p>
        </w:tc>
        <w:tc>
          <w:tcPr>
            <w:tcW w:w="4760" w:type="dxa"/>
            <w:vAlign w:val="bottom"/>
            <w:gridSpan w:val="2"/>
          </w:tcPr>
          <w:p>
            <w:pPr>
              <w:ind w:left="260"/>
              <w:spacing w:after="0"/>
              <w:rPr>
                <w:sz w:val="20"/>
                <w:szCs w:val="20"/>
                <w:color w:val="auto"/>
              </w:rPr>
            </w:pPr>
            <w:r>
              <w:rPr>
                <w:rFonts w:ascii="Arial" w:cs="Arial" w:eastAsia="Arial" w:hAnsi="Arial"/>
                <w:sz w:val="13"/>
                <w:szCs w:val="13"/>
                <w:color w:val="auto"/>
              </w:rPr>
              <w:t>Collateralized loan obligations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1"/>
        </w:trPr>
        <w:tc>
          <w:tcPr>
            <w:tcW w:w="2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asset-backed securities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9"/>
        </w:trPr>
        <w:tc>
          <w:tcPr>
            <w:tcW w:w="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Corporate and other</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95%</w:t>
            </w:r>
          </w:p>
        </w:tc>
      </w:tr>
      <w:tr>
        <w:trPr>
          <w:trHeight w:val="182"/>
        </w:trPr>
        <w:tc>
          <w:tcPr>
            <w:tcW w:w="20" w:type="dxa"/>
            <w:vAlign w:val="bottom"/>
            <w:shd w:val="clear" w:color="auto" w:fill="CCEEFF"/>
          </w:tcPr>
          <w:p>
            <w:pPr>
              <w:spacing w:after="0"/>
              <w:rPr>
                <w:sz w:val="15"/>
                <w:szCs w:val="15"/>
                <w:color w:val="auto"/>
              </w:rPr>
            </w:pPr>
          </w:p>
        </w:tc>
        <w:tc>
          <w:tcPr>
            <w:tcW w:w="4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fixed maturities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right="500"/>
        <w:spacing w:after="0" w:line="297" w:lineRule="auto"/>
        <w:rPr>
          <w:sz w:val="20"/>
          <w:szCs w:val="20"/>
          <w:color w:val="auto"/>
        </w:rPr>
      </w:pPr>
      <w:r>
        <w:rPr>
          <w:rFonts w:ascii="Arial" w:cs="Arial" w:eastAsia="Arial" w:hAnsi="Arial"/>
          <w:sz w:val="13"/>
          <w:szCs w:val="13"/>
          <w:color w:val="auto"/>
        </w:rPr>
        <w:t>At December 31, 2025, the gross unrealized losses on fixed maturities of $193 million relate to approximately 850 securities. Investment grade securities (as determined by nationally recognized rating agencies) represented approximately 96% of the gross unrealized loss and 96% of the fair value of securities with unrealized losses.</w:t>
      </w:r>
    </w:p>
    <w:p>
      <w:pPr>
        <w:spacing w:after="0" w:line="139" w:lineRule="exact"/>
        <w:rPr>
          <w:sz w:val="20"/>
          <w:szCs w:val="20"/>
          <w:color w:val="auto"/>
        </w:rPr>
      </w:pPr>
    </w:p>
    <w:p>
      <w:pPr>
        <w:jc w:val="both"/>
        <w:ind w:right="260"/>
        <w:spacing w:after="0" w:line="284" w:lineRule="auto"/>
        <w:rPr>
          <w:sz w:val="20"/>
          <w:szCs w:val="20"/>
          <w:color w:val="auto"/>
        </w:rPr>
      </w:pPr>
      <w:r>
        <w:rPr>
          <w:rFonts w:ascii="Arial" w:cs="Arial" w:eastAsia="Arial" w:hAnsi="Arial"/>
          <w:sz w:val="13"/>
          <w:szCs w:val="13"/>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48"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AFG analyzes its residential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153" w:lineRule="exact"/>
        <w:rPr>
          <w:sz w:val="20"/>
          <w:szCs w:val="20"/>
          <w:color w:val="auto"/>
        </w:rPr>
      </w:pPr>
    </w:p>
    <w:p>
      <w:pPr>
        <w:ind w:right="300"/>
        <w:spacing w:after="0" w:line="314" w:lineRule="auto"/>
        <w:rPr>
          <w:sz w:val="20"/>
          <w:szCs w:val="20"/>
          <w:color w:val="auto"/>
        </w:rPr>
      </w:pPr>
      <w:r>
        <w:rPr>
          <w:rFonts w:ascii="Arial" w:cs="Arial" w:eastAsia="Arial" w:hAnsi="Arial"/>
          <w:sz w:val="13"/>
          <w:szCs w:val="13"/>
          <w:color w:val="auto"/>
        </w:rPr>
        <w:t>Management believes AFG will recover its cost basis (net of any allowance) in the securities with unrealized losses and that AFG has the ability to hold the securities until they recover in value and had no intent to sell them at December 31, 2025.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A progression of the allowance for expected credit losses on available for sale fixed maturity securities is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Structured securities</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Corporate and other</w:t>
            </w:r>
          </w:p>
        </w:tc>
        <w:tc>
          <w:tcPr>
            <w:tcW w:w="280" w:type="dxa"/>
            <w:vAlign w:val="bottom"/>
          </w:tcPr>
          <w:p>
            <w:pPr>
              <w:spacing w:after="0"/>
              <w:rPr>
                <w:sz w:val="10"/>
                <w:szCs w:val="10"/>
                <w:color w:val="auto"/>
              </w:rPr>
            </w:pPr>
          </w:p>
        </w:tc>
        <w:tc>
          <w:tcPr>
            <w:tcW w:w="920" w:type="dxa"/>
            <w:vAlign w:val="bottom"/>
            <w:vMerge w:val="restart"/>
          </w:tcPr>
          <w:p>
            <w:pPr>
              <w:jc w:val="right"/>
              <w:ind w:right="41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4"/>
        </w:trPr>
        <w:tc>
          <w:tcPr>
            <w:tcW w:w="7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47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(reductions) to previously recognized expected credit losses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to previously recognized expected credit losses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expected credit losses on securities with no previous allowance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to previously recognized expected credit losses</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Reductions due to sales or redemptions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right="5080" w:firstLine="5"/>
        <w:spacing w:after="0" w:line="562"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residential MBS, collateralized loan obligations and other asset-backed securities (“ABS”). AFG did not purchase any securities with expected credit losses in 2025, 2024 or 2023.</w:t>
      </w:r>
    </w:p>
    <w:p>
      <w:pPr>
        <w:ind w:right="320"/>
        <w:spacing w:after="0" w:line="297" w:lineRule="auto"/>
        <w:rPr>
          <w:sz w:val="20"/>
          <w:szCs w:val="20"/>
          <w:color w:val="auto"/>
        </w:rPr>
      </w:pPr>
      <w:r>
        <w:rPr>
          <w:rFonts w:ascii="Arial" w:cs="Arial" w:eastAsia="Arial" w:hAnsi="Arial"/>
          <w:sz w:val="13"/>
          <w:szCs w:val="13"/>
          <w:color w:val="auto"/>
        </w:rPr>
        <w:t>The table below sets forth the scheduled maturities of AFG’s available for sale fixed maturities as of December 31, 2025 (dollars in millions). Securities with sinking funds are reported at average maturity. Actual maturities may differ from contractual maturities because certain securities may be called or prepaid by the issuers.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color w:val="auto"/>
              </w:rPr>
              <w:t>Amortized Cost, net</w:t>
            </w: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1"/>
                <w:szCs w:val="11"/>
                <w:color w:val="auto"/>
              </w:rPr>
              <w:t>Fair Value</w:t>
            </w:r>
          </w:p>
        </w:tc>
        <w:tc>
          <w:tcPr>
            <w:tcW w:w="820" w:type="dxa"/>
            <w:vAlign w:val="bottom"/>
            <w:tcBorders>
              <w:bottom w:val="single" w:sz="8" w:color="auto"/>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43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140"/>
              <w:spacing w:after="0"/>
              <w:rPr>
                <w:sz w:val="20"/>
                <w:szCs w:val="20"/>
                <w:color w:val="auto"/>
              </w:rPr>
            </w:pPr>
            <w:r>
              <w:rPr>
                <w:rFonts w:ascii="Arial" w:cs="Arial" w:eastAsia="Arial" w:hAnsi="Arial"/>
                <w:sz w:val="11"/>
                <w:szCs w:val="11"/>
                <w:color w:val="auto"/>
              </w:rPr>
              <w:t>Amount</w:t>
            </w:r>
          </w:p>
        </w:tc>
        <w:tc>
          <w:tcPr>
            <w:tcW w:w="820" w:type="dxa"/>
            <w:vAlign w:val="bottom"/>
          </w:tcPr>
          <w:p>
            <w:pPr>
              <w:jc w:val="right"/>
              <w:ind w:right="497"/>
              <w:spacing w:after="0"/>
              <w:rPr>
                <w:sz w:val="20"/>
                <w:szCs w:val="20"/>
                <w:color w:val="auto"/>
              </w:rPr>
            </w:pPr>
            <w:r>
              <w:rPr>
                <w:rFonts w:ascii="Arial" w:cs="Arial" w:eastAsia="Arial" w:hAnsi="Arial"/>
                <w:sz w:val="11"/>
                <w:szCs w:val="11"/>
                <w:color w:val="auto"/>
              </w:rPr>
              <w:t>%</w:t>
            </w:r>
          </w:p>
        </w:tc>
      </w:tr>
      <w:tr>
        <w:trPr>
          <w:trHeight w:val="130"/>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w w:val="95"/>
              </w:rPr>
              <w:t>Maturity</w:t>
            </w:r>
          </w:p>
        </w:tc>
        <w:tc>
          <w:tcPr>
            <w:tcW w:w="71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One year or less</w:t>
            </w:r>
          </w:p>
        </w:tc>
        <w:tc>
          <w:tcPr>
            <w:tcW w:w="300" w:type="dxa"/>
            <w:vAlign w:val="bottom"/>
          </w:tcPr>
          <w:p>
            <w:pPr>
              <w:jc w:val="right"/>
              <w:ind w:right="159"/>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626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one year through five years</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After five years through ten years</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1,432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0"/>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ten years</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4,620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1"/>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CLOs and other ABS (average life of approximately 3.5 years)</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2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Residential MBS (average life of approximately 6 years)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11,052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Amortized cost, net of allowance for expected credit losses.</w:t>
      </w:r>
    </w:p>
    <w:p>
      <w:pPr>
        <w:spacing w:after="0" w:line="201" w:lineRule="exact"/>
        <w:rPr>
          <w:sz w:val="20"/>
          <w:szCs w:val="20"/>
          <w:color w:val="auto"/>
        </w:rPr>
      </w:pPr>
    </w:p>
    <w:p>
      <w:pPr>
        <w:ind w:right="140"/>
        <w:spacing w:after="0" w:line="314" w:lineRule="auto"/>
        <w:rPr>
          <w:sz w:val="20"/>
          <w:szCs w:val="20"/>
          <w:color w:val="auto"/>
        </w:rPr>
      </w:pPr>
      <w:r>
        <w:rPr>
          <w:rFonts w:ascii="Arial" w:cs="Arial" w:eastAsia="Arial" w:hAnsi="Arial"/>
          <w:sz w:val="13"/>
          <w:szCs w:val="13"/>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There were no investments in individual issuers that exceeded 10% of shareholders’ equity at December 31, 2025 or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 xml:space="preserve">Net Investment Income  </w:t>
      </w:r>
      <w:r>
        <w:rPr>
          <w:rFonts w:ascii="Arial" w:cs="Arial" w:eastAsia="Arial" w:hAnsi="Arial"/>
          <w:sz w:val="13"/>
          <w:szCs w:val="13"/>
          <w:color w:val="000000"/>
        </w:rPr>
        <w:t>The following table shows investment income earned and investment expenses incurred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color w:val="auto"/>
              </w:rPr>
              <w:t>2023</w:t>
            </w:r>
          </w:p>
        </w:tc>
      </w:tr>
      <w:tr>
        <w:trPr>
          <w:trHeight w:val="15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income:</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760" w:type="dxa"/>
            <w:vAlign w:val="bottom"/>
          </w:tcPr>
          <w:p>
            <w:pPr>
              <w:ind w:left="280"/>
              <w:spacing w:after="0"/>
              <w:rPr>
                <w:sz w:val="20"/>
                <w:szCs w:val="20"/>
                <w:color w:val="auto"/>
              </w:rPr>
            </w:pPr>
            <w:r>
              <w:rPr>
                <w:rFonts w:ascii="Arial" w:cs="Arial" w:eastAsia="Arial" w:hAnsi="Arial"/>
                <w:sz w:val="13"/>
                <w:szCs w:val="13"/>
                <w:color w:val="auto"/>
              </w:rPr>
              <w:t>Fixed maturities:</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 and amortization</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r>
      <w:tr>
        <w:trPr>
          <w:trHeight w:val="169"/>
        </w:trPr>
        <w:tc>
          <w:tcPr>
            <w:tcW w:w="6760" w:type="dxa"/>
            <w:vAlign w:val="bottom"/>
          </w:tcPr>
          <w:p>
            <w:pPr>
              <w:ind w:left="440"/>
              <w:spacing w:after="0"/>
              <w:rPr>
                <w:sz w:val="20"/>
                <w:szCs w:val="20"/>
                <w:color w:val="auto"/>
              </w:rPr>
            </w:pPr>
            <w:r>
              <w:rPr>
                <w:rFonts w:ascii="Arial" w:cs="Arial" w:eastAsia="Arial" w:hAnsi="Arial"/>
                <w:sz w:val="13"/>
                <w:szCs w:val="13"/>
                <w:color w:val="auto"/>
              </w:rPr>
              <w:t>Change in fair value (*)</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securities: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440"/>
              <w:spacing w:after="0"/>
              <w:rPr>
                <w:sz w:val="20"/>
                <w:szCs w:val="20"/>
                <w:color w:val="auto"/>
              </w:rPr>
            </w:pPr>
            <w:r>
              <w:rPr>
                <w:rFonts w:ascii="Arial" w:cs="Arial" w:eastAsia="Arial" w:hAnsi="Arial"/>
                <w:sz w:val="13"/>
                <w:szCs w:val="13"/>
                <w:color w:val="auto"/>
              </w:rPr>
              <w:t>Dividends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71"/>
        </w:trPr>
        <w:tc>
          <w:tcPr>
            <w:tcW w:w="6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Change in fair value</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6760" w:type="dxa"/>
            <w:vAlign w:val="bottom"/>
          </w:tcPr>
          <w:p>
            <w:pPr>
              <w:ind w:left="280"/>
              <w:spacing w:after="0"/>
              <w:rPr>
                <w:sz w:val="20"/>
                <w:szCs w:val="20"/>
                <w:color w:val="auto"/>
              </w:rPr>
            </w:pPr>
            <w:r>
              <w:rPr>
                <w:rFonts w:ascii="Arial" w:cs="Arial" w:eastAsia="Arial" w:hAnsi="Arial"/>
                <w:sz w:val="13"/>
                <w:szCs w:val="13"/>
                <w:color w:val="auto"/>
              </w:rPr>
              <w:t>Equity in earnings of partnerships and similar investments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1"/>
        </w:trPr>
        <w:tc>
          <w:tcPr>
            <w:tcW w:w="6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9"/>
        </w:trPr>
        <w:tc>
          <w:tcPr>
            <w:tcW w:w="6760" w:type="dxa"/>
            <w:vAlign w:val="bottom"/>
          </w:tcPr>
          <w:p>
            <w:pPr>
              <w:ind w:left="280"/>
              <w:spacing w:after="0"/>
              <w:rPr>
                <w:sz w:val="20"/>
                <w:szCs w:val="20"/>
                <w:color w:val="auto"/>
              </w:rPr>
            </w:pPr>
            <w:r>
              <w:rPr>
                <w:rFonts w:ascii="Arial" w:cs="Arial" w:eastAsia="Arial" w:hAnsi="Arial"/>
                <w:sz w:val="13"/>
                <w:szCs w:val="13"/>
                <w:color w:val="auto"/>
              </w:rPr>
              <w:t>Mortgage loans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6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59"/>
        </w:trPr>
        <w:tc>
          <w:tcPr>
            <w:tcW w:w="6760" w:type="dxa"/>
            <w:vAlign w:val="bottom"/>
          </w:tcPr>
          <w:p>
            <w:pPr>
              <w:ind w:left="460"/>
              <w:spacing w:after="0"/>
              <w:rPr>
                <w:sz w:val="20"/>
                <w:szCs w:val="20"/>
                <w:color w:val="auto"/>
              </w:rPr>
            </w:pPr>
            <w:r>
              <w:rPr>
                <w:rFonts w:ascii="Arial" w:cs="Arial" w:eastAsia="Arial" w:hAnsi="Arial"/>
                <w:sz w:val="13"/>
                <w:szCs w:val="13"/>
                <w:color w:val="auto"/>
              </w:rPr>
              <w:t>Gross investment income</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758</w:t>
            </w:r>
          </w:p>
        </w:tc>
      </w:tr>
      <w:tr>
        <w:trPr>
          <w:trHeight w:val="17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expenses</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6760" w:type="dxa"/>
            <w:vAlign w:val="bottom"/>
          </w:tcPr>
          <w:p>
            <w:pPr>
              <w:ind w:left="460"/>
              <w:spacing w:after="0"/>
              <w:rPr>
                <w:sz w:val="20"/>
                <w:szCs w:val="20"/>
                <w:color w:val="auto"/>
              </w:rPr>
            </w:pPr>
            <w:r>
              <w:rPr>
                <w:rFonts w:ascii="Arial" w:cs="Arial" w:eastAsia="Arial" w:hAnsi="Arial"/>
                <w:sz w:val="13"/>
                <w:szCs w:val="13"/>
                <w:color w:val="auto"/>
              </w:rPr>
              <w:t>Net investment income</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w:t>
            </w: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change in the fair value of fixed maturities classified as trading and derivatives embedded in convertible fixed maturities related to limited partnerships and similar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Realized gains (losses) and changes in unrealized appreciation (depreciation) included in AOCI related to fixed maturity securities are summarized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6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920" w:type="dxa"/>
            <w:vAlign w:val="bottom"/>
            <w:gridSpan w:val="3"/>
          </w:tcPr>
          <w:p>
            <w:pPr>
              <w:ind w:left="100"/>
              <w:spacing w:after="0" w:line="103" w:lineRule="exact"/>
              <w:rPr>
                <w:sz w:val="20"/>
                <w:szCs w:val="20"/>
                <w:color w:val="auto"/>
              </w:rPr>
            </w:pPr>
            <w:r>
              <w:rPr>
                <w:rFonts w:ascii="Arial" w:cs="Arial" w:eastAsia="Arial" w:hAnsi="Arial"/>
                <w:sz w:val="11"/>
                <w:szCs w:val="11"/>
                <w:color w:val="auto"/>
              </w:rPr>
              <w:t>Change in</w:t>
            </w: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8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820" w:type="dxa"/>
            <w:vAlign w:val="bottom"/>
          </w:tcPr>
          <w:p>
            <w:pPr>
              <w:ind w:left="80"/>
              <w:spacing w:after="0" w:line="103" w:lineRule="exact"/>
              <w:rPr>
                <w:sz w:val="20"/>
                <w:szCs w:val="20"/>
                <w:color w:val="auto"/>
              </w:rPr>
            </w:pPr>
            <w:r>
              <w:rPr>
                <w:rFonts w:ascii="Arial" w:cs="Arial" w:eastAsia="Arial" w:hAnsi="Arial"/>
                <w:sz w:val="11"/>
                <w:szCs w:val="11"/>
                <w:color w:val="auto"/>
              </w:rPr>
              <w:t>Change in</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color w:val="auto"/>
              </w:rPr>
              <w:t>Unrealized</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1"/>
                <w:szCs w:val="11"/>
                <w:color w:val="auto"/>
              </w:rPr>
              <w:t>Unrealized</w:t>
            </w:r>
          </w:p>
        </w:tc>
        <w:tc>
          <w:tcPr>
            <w:tcW w:w="0" w:type="dxa"/>
            <w:vAlign w:val="bottom"/>
          </w:tcPr>
          <w:p>
            <w:pPr>
              <w:spacing w:after="0"/>
              <w:rPr>
                <w:sz w:val="1"/>
                <w:szCs w:val="1"/>
                <w:color w:val="auto"/>
              </w:rPr>
            </w:pPr>
          </w:p>
        </w:tc>
      </w:tr>
      <w:tr>
        <w:trPr>
          <w:trHeight w:val="16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Fixed maturities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loans and other investments</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840" w:type="dxa"/>
            <w:vAlign w:val="bottom"/>
          </w:tcPr>
          <w:p>
            <w:pPr>
              <w:jc w:val="center"/>
              <w:ind w:right="1836"/>
              <w:spacing w:after="0"/>
              <w:rPr>
                <w:sz w:val="20"/>
                <w:szCs w:val="20"/>
                <w:color w:val="auto"/>
              </w:rPr>
            </w:pPr>
            <w:r>
              <w:rPr>
                <w:rFonts w:ascii="Arial" w:cs="Arial" w:eastAsia="Arial" w:hAnsi="Arial"/>
                <w:sz w:val="13"/>
                <w:szCs w:val="13"/>
                <w:color w:val="auto"/>
                <w:w w:val="96"/>
              </w:rPr>
              <w:t>Total pretax</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effects</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2"/>
        </w:trPr>
        <w:tc>
          <w:tcPr>
            <w:tcW w:w="2840" w:type="dxa"/>
            <w:vAlign w:val="bottom"/>
          </w:tcPr>
          <w:p>
            <w:pPr>
              <w:jc w:val="center"/>
              <w:ind w:right="1796"/>
              <w:spacing w:after="0"/>
              <w:rPr>
                <w:sz w:val="20"/>
                <w:szCs w:val="20"/>
                <w:color w:val="auto"/>
              </w:rPr>
            </w:pPr>
            <w:r>
              <w:rPr>
                <w:rFonts w:ascii="Arial" w:cs="Arial" w:eastAsia="Arial" w:hAnsi="Arial"/>
                <w:sz w:val="13"/>
                <w:szCs w:val="13"/>
                <w:color w:val="auto"/>
                <w:w w:val="96"/>
              </w:rPr>
              <w:t>Net of tax</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color w:val="auto"/>
              </w:rPr>
              <w:t>Realized gains (losses)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color w:val="auto"/>
              </w:rPr>
              <w:t>Before Impairments</w:t>
            </w:r>
          </w:p>
        </w:tc>
        <w:tc>
          <w:tcPr>
            <w:tcW w:w="180" w:type="dxa"/>
            <w:vAlign w:val="bottom"/>
          </w:tcPr>
          <w:p>
            <w:pPr>
              <w:spacing w:after="0"/>
              <w:rPr>
                <w:sz w:val="8"/>
                <w:szCs w:val="8"/>
                <w:color w:val="auto"/>
              </w:rPr>
            </w:pPr>
          </w:p>
        </w:tc>
        <w:tc>
          <w:tcPr>
            <w:tcW w:w="980" w:type="dxa"/>
            <w:vAlign w:val="bottom"/>
            <w:gridSpan w:val="2"/>
          </w:tcPr>
          <w:p>
            <w:pPr>
              <w:jc w:val="center"/>
              <w:ind w:right="260"/>
              <w:spacing w:after="0" w:line="103" w:lineRule="exact"/>
              <w:rPr>
                <w:sz w:val="20"/>
                <w:szCs w:val="20"/>
                <w:color w:val="auto"/>
              </w:rPr>
            </w:pPr>
            <w:r>
              <w:rPr>
                <w:rFonts w:ascii="Arial" w:cs="Arial" w:eastAsia="Arial" w:hAnsi="Arial"/>
                <w:sz w:val="11"/>
                <w:szCs w:val="11"/>
                <w:color w:val="auto"/>
                <w:w w:val="94"/>
              </w:rPr>
              <w:t>Impairment</w:t>
            </w:r>
          </w:p>
        </w:tc>
        <w:tc>
          <w:tcPr>
            <w:tcW w:w="18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color w:val="auto"/>
              </w:rPr>
              <w:t>Total</w:t>
            </w:r>
          </w:p>
        </w:tc>
        <w:tc>
          <w:tcPr>
            <w:tcW w:w="160" w:type="dxa"/>
            <w:vAlign w:val="bottom"/>
          </w:tcPr>
          <w:p>
            <w:pPr>
              <w:spacing w:after="0"/>
              <w:rPr>
                <w:sz w:val="8"/>
                <w:szCs w:val="8"/>
                <w:color w:val="auto"/>
              </w:rPr>
            </w:pPr>
          </w:p>
        </w:tc>
        <w:tc>
          <w:tcPr>
            <w:tcW w:w="820" w:type="dxa"/>
            <w:vAlign w:val="bottom"/>
          </w:tcPr>
          <w:p>
            <w:pPr>
              <w:ind w:left="80"/>
              <w:spacing w:after="0" w:line="103" w:lineRule="exact"/>
              <w:rPr>
                <w:sz w:val="20"/>
                <w:szCs w:val="20"/>
                <w:color w:val="auto"/>
              </w:rPr>
            </w:pPr>
            <w:r>
              <w:rPr>
                <w:rFonts w:ascii="Arial" w:cs="Arial" w:eastAsia="Arial" w:hAnsi="Arial"/>
                <w:sz w:val="11"/>
                <w:szCs w:val="11"/>
                <w:color w:val="auto"/>
              </w:rPr>
              <w:t>Change in</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color w:val="auto"/>
                <w:w w:val="95"/>
              </w:rPr>
              <w:t>Allowance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1"/>
                <w:szCs w:val="11"/>
                <w:color w:val="auto"/>
              </w:rPr>
              <w:t>Unrealized</w:t>
            </w:r>
          </w:p>
        </w:tc>
        <w:tc>
          <w:tcPr>
            <w:tcW w:w="0" w:type="dxa"/>
            <w:vAlign w:val="bottom"/>
          </w:tcPr>
          <w:p>
            <w:pPr>
              <w:spacing w:after="0"/>
              <w:rPr>
                <w:sz w:val="1"/>
                <w:szCs w:val="1"/>
                <w:color w:val="auto"/>
              </w:rPr>
            </w:pPr>
          </w:p>
        </w:tc>
      </w:tr>
      <w:tr>
        <w:trPr>
          <w:trHeight w:val="16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Fixed maturities</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loans and other investments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840" w:type="dxa"/>
            <w:vAlign w:val="bottom"/>
          </w:tcPr>
          <w:p>
            <w:pPr>
              <w:jc w:val="center"/>
              <w:ind w:right="1836"/>
              <w:spacing w:after="0"/>
              <w:rPr>
                <w:sz w:val="20"/>
                <w:szCs w:val="20"/>
                <w:color w:val="auto"/>
              </w:rPr>
            </w:pPr>
            <w:r>
              <w:rPr>
                <w:rFonts w:ascii="Arial" w:cs="Arial" w:eastAsia="Arial" w:hAnsi="Arial"/>
                <w:sz w:val="13"/>
                <w:szCs w:val="13"/>
                <w:color w:val="auto"/>
                <w:w w:val="96"/>
              </w:rPr>
              <w:t>Total pretax</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2"/>
        </w:trPr>
        <w:tc>
          <w:tcPr>
            <w:tcW w:w="2840" w:type="dxa"/>
            <w:vAlign w:val="bottom"/>
          </w:tcPr>
          <w:p>
            <w:pPr>
              <w:jc w:val="center"/>
              <w:ind w:right="1796"/>
              <w:spacing w:after="0"/>
              <w:rPr>
                <w:sz w:val="20"/>
                <w:szCs w:val="20"/>
                <w:color w:val="auto"/>
              </w:rPr>
            </w:pPr>
            <w:r>
              <w:rPr>
                <w:rFonts w:ascii="Arial" w:cs="Arial" w:eastAsia="Arial" w:hAnsi="Arial"/>
                <w:sz w:val="13"/>
                <w:szCs w:val="13"/>
                <w:color w:val="auto"/>
                <w:w w:val="96"/>
              </w:rPr>
              <w:t>Net of tax</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All equity securities are carried at fair value through net earnings. AFG recorded net holding gains (losses) on equity securities during 2025, 2024 and 2023 on securities that were still owned at December 31 of each year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2"/>
                <w:szCs w:val="12"/>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color w:val="auto"/>
              </w:rPr>
              <w:t>2023</w:t>
            </w:r>
          </w:p>
        </w:tc>
      </w:tr>
      <w:tr>
        <w:trPr>
          <w:trHeight w:val="16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Included in realized gains (losses)</w:t>
            </w:r>
          </w:p>
        </w:tc>
        <w:tc>
          <w:tcPr>
            <w:tcW w:w="1060" w:type="dxa"/>
            <w:vAlign w:val="bottom"/>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Included in net investment income</w:t>
            </w: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185"/>
        </w:trPr>
        <w:tc>
          <w:tcPr>
            <w:tcW w:w="67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20"/>
        <w:spacing w:after="0" w:line="289" w:lineRule="auto"/>
        <w:rPr>
          <w:sz w:val="20"/>
          <w:szCs w:val="20"/>
          <w:color w:val="auto"/>
        </w:rPr>
      </w:pPr>
      <w:r>
        <w:rPr>
          <w:rFonts w:ascii="Arial" w:cs="Arial" w:eastAsia="Arial" w:hAnsi="Arial"/>
          <w:sz w:val="13"/>
          <w:szCs w:val="13"/>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color w:val="auto"/>
              </w:rPr>
              <w:t>2023</w:t>
            </w:r>
          </w:p>
        </w:tc>
      </w:tr>
      <w:tr>
        <w:trPr>
          <w:trHeight w:val="164"/>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gains</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7"/>
        </w:trPr>
        <w:tc>
          <w:tcPr>
            <w:tcW w:w="6760" w:type="dxa"/>
            <w:vAlign w:val="bottom"/>
          </w:tcPr>
          <w:p>
            <w:pPr>
              <w:ind w:left="20"/>
              <w:spacing w:after="0"/>
              <w:rPr>
                <w:sz w:val="20"/>
                <w:szCs w:val="20"/>
                <w:color w:val="auto"/>
              </w:rPr>
            </w:pPr>
            <w:r>
              <w:rPr>
                <w:rFonts w:ascii="Arial" w:cs="Arial" w:eastAsia="Arial" w:hAnsi="Arial"/>
                <w:sz w:val="13"/>
                <w:szCs w:val="13"/>
                <w:color w:val="auto"/>
              </w:rPr>
              <w:t>Gross losses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w:t>
            </w:r>
          </w:p>
        </w:tc>
      </w:tr>
    </w:tbl>
    <w:p>
      <w:pPr>
        <w:spacing w:after="0" w:line="242" w:lineRule="exact"/>
        <w:rPr>
          <w:sz w:val="20"/>
          <w:szCs w:val="20"/>
          <w:color w:val="auto"/>
        </w:rPr>
      </w:pPr>
    </w:p>
    <w:p>
      <w:pPr>
        <w:ind w:left="440" w:hanging="435"/>
        <w:spacing w:after="0"/>
        <w:tabs>
          <w:tab w:leader="none" w:pos="440" w:val="left"/>
        </w:tabs>
        <w:numPr>
          <w:ilvl w:val="0"/>
          <w:numId w:val="45"/>
        </w:numPr>
        <w:rPr>
          <w:rFonts w:ascii="Arial" w:cs="Arial" w:eastAsia="Arial" w:hAnsi="Arial"/>
          <w:sz w:val="23"/>
          <w:szCs w:val="23"/>
          <w:b w:val="1"/>
          <w:bCs w:val="1"/>
          <w:color w:val="00274E"/>
        </w:rPr>
      </w:pPr>
      <w:r>
        <w:rPr>
          <w:rFonts w:ascii="Arial" w:cs="Arial" w:eastAsia="Arial" w:hAnsi="Arial"/>
          <w:sz w:val="23"/>
          <w:szCs w:val="23"/>
          <w:b w:val="1"/>
          <w:bCs w:val="1"/>
          <w:color w:val="00274E"/>
        </w:rPr>
        <w:t>Derivatives</w:t>
      </w:r>
    </w:p>
    <w:p>
      <w:pPr>
        <w:spacing w:after="0" w:line="211"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As discussed under “</w:t>
      </w:r>
      <w:r>
        <w:rPr>
          <w:rFonts w:ascii="Arial" w:cs="Arial" w:eastAsia="Arial" w:hAnsi="Arial"/>
          <w:sz w:val="13"/>
          <w:szCs w:val="13"/>
          <w:i w:val="1"/>
          <w:iCs w:val="1"/>
          <w:color w:val="auto"/>
        </w:rPr>
        <w:t>Derivatives</w:t>
      </w:r>
      <w:r>
        <w:rPr>
          <w:rFonts w:ascii="Arial" w:cs="Arial" w:eastAsia="Arial" w:hAnsi="Arial"/>
          <w:sz w:val="13"/>
          <w:szCs w:val="13"/>
          <w:color w:val="auto"/>
        </w:rPr>
        <w:t xml:space="preserve">” in </w:t>
      </w:r>
      <w:r>
        <w:rPr>
          <w:rFonts w:ascii="Arial" w:cs="Arial" w:eastAsia="Arial" w:hAnsi="Arial"/>
          <w:sz w:val="13"/>
          <w:szCs w:val="13"/>
          <w:i w:val="1"/>
          <w:iCs w:val="1"/>
          <w:color w:val="auto"/>
        </w:rPr>
        <w:t>Note A — “Accounting Policies</w:t>
      </w:r>
      <w:r>
        <w:rPr>
          <w:rFonts w:ascii="Arial" w:cs="Arial" w:eastAsia="Arial" w:hAnsi="Arial"/>
          <w:sz w:val="13"/>
          <w:szCs w:val="13"/>
          <w:color w:val="auto"/>
        </w:rPr>
        <w:t>,” AFG uses derivatives to mitigate certain market risks related to its investment portfolio and deferred compensation obligations to employees.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classification of derivative assets and liabilities included in AFG’s Balance Sheet at fair value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1"/>
                <w:szCs w:val="11"/>
                <w:color w:val="auto"/>
              </w:rPr>
              <w:t>December 31, 2025</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1"/>
                <w:szCs w:val="11"/>
                <w:color w:val="auto"/>
              </w:rPr>
              <w:t>December 31, 2024</w:t>
            </w:r>
          </w:p>
        </w:tc>
      </w:tr>
      <w:tr>
        <w:trPr>
          <w:trHeight w:val="153"/>
        </w:trPr>
        <w:tc>
          <w:tcPr>
            <w:tcW w:w="5380" w:type="dxa"/>
            <w:vAlign w:val="bottom"/>
          </w:tcPr>
          <w:p>
            <w:pPr>
              <w:spacing w:after="0"/>
              <w:rPr>
                <w:sz w:val="13"/>
                <w:szCs w:val="13"/>
                <w:color w:val="auto"/>
              </w:rPr>
            </w:pPr>
          </w:p>
        </w:tc>
        <w:tc>
          <w:tcPr>
            <w:tcW w:w="2160" w:type="dxa"/>
            <w:vAlign w:val="bottom"/>
            <w:gridSpan w:val="2"/>
          </w:tcPr>
          <w:p>
            <w:pPr>
              <w:spacing w:after="0"/>
              <w:rPr>
                <w:sz w:val="20"/>
                <w:szCs w:val="20"/>
                <w:color w:val="auto"/>
              </w:rPr>
            </w:pPr>
            <w:r>
              <w:rPr>
                <w:rFonts w:ascii="Arial" w:cs="Arial" w:eastAsia="Arial" w:hAnsi="Arial"/>
                <w:sz w:val="11"/>
                <w:szCs w:val="11"/>
                <w:color w:val="auto"/>
              </w:rPr>
              <w:t>Balance Sheet Line</w:t>
            </w:r>
          </w:p>
        </w:tc>
        <w:tc>
          <w:tcPr>
            <w:tcW w:w="2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color w:val="auto"/>
              </w:rPr>
              <w:t>Asset</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color w:val="auto"/>
              </w:rPr>
              <w:t>Liability</w:t>
            </w: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Asset</w:t>
            </w:r>
          </w:p>
        </w:tc>
        <w:tc>
          <w:tcPr>
            <w:tcW w:w="160" w:type="dxa"/>
            <w:vAlign w:val="bottom"/>
          </w:tcPr>
          <w:p>
            <w:pPr>
              <w:spacing w:after="0"/>
              <w:rPr>
                <w:sz w:val="13"/>
                <w:szCs w:val="13"/>
                <w:color w:val="auto"/>
              </w:rPr>
            </w:pPr>
          </w:p>
        </w:tc>
        <w:tc>
          <w:tcPr>
            <w:tcW w:w="700" w:type="dxa"/>
            <w:vAlign w:val="bottom"/>
          </w:tcPr>
          <w:p>
            <w:pPr>
              <w:jc w:val="right"/>
              <w:ind w:right="178"/>
              <w:spacing w:after="0"/>
              <w:rPr>
                <w:sz w:val="20"/>
                <w:szCs w:val="20"/>
                <w:color w:val="auto"/>
              </w:rPr>
            </w:pPr>
            <w:r>
              <w:rPr>
                <w:rFonts w:ascii="Arial" w:cs="Arial" w:eastAsia="Arial" w:hAnsi="Arial"/>
                <w:sz w:val="11"/>
                <w:szCs w:val="11"/>
                <w:color w:val="auto"/>
              </w:rPr>
              <w:t>Liability</w:t>
            </w:r>
          </w:p>
        </w:tc>
      </w:tr>
      <w:tr>
        <w:trPr>
          <w:trHeight w:val="15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Derivatives designated and qualifying as cash flow hedges:</w:t>
            </w:r>
          </w:p>
        </w:tc>
        <w:tc>
          <w:tcPr>
            <w:tcW w:w="2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r>
      <w:tr>
        <w:trPr>
          <w:trHeight w:val="169"/>
        </w:trPr>
        <w:tc>
          <w:tcPr>
            <w:tcW w:w="5380" w:type="dxa"/>
            <w:vAlign w:val="bottom"/>
          </w:tcPr>
          <w:p>
            <w:pPr>
              <w:ind w:left="180"/>
              <w:spacing w:after="0"/>
              <w:rPr>
                <w:sz w:val="20"/>
                <w:szCs w:val="20"/>
                <w:color w:val="auto"/>
              </w:rPr>
            </w:pPr>
            <w:r>
              <w:rPr>
                <w:rFonts w:ascii="Arial" w:cs="Arial" w:eastAsia="Arial" w:hAnsi="Arial"/>
                <w:sz w:val="13"/>
                <w:szCs w:val="13"/>
                <w:color w:val="auto"/>
              </w:rPr>
              <w:t>Interest rate swaps</w:t>
            </w:r>
          </w:p>
        </w:tc>
        <w:tc>
          <w:tcPr>
            <w:tcW w:w="21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0"/>
        </w:trPr>
        <w:tc>
          <w:tcPr>
            <w:tcW w:w="5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Derivatives not designated as hedging instruments:</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maturities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380" w:type="dxa"/>
            <w:vAlign w:val="bottom"/>
          </w:tcPr>
          <w:p>
            <w:pPr>
              <w:ind w:left="180"/>
              <w:spacing w:after="0"/>
              <w:rPr>
                <w:sz w:val="20"/>
                <w:szCs w:val="20"/>
                <w:color w:val="auto"/>
              </w:rPr>
            </w:pPr>
            <w:r>
              <w:rPr>
                <w:rFonts w:ascii="Arial" w:cs="Arial" w:eastAsia="Arial" w:hAnsi="Arial"/>
                <w:sz w:val="13"/>
                <w:szCs w:val="13"/>
                <w:color w:val="auto"/>
              </w:rPr>
              <w:t>Total return swap</w:t>
            </w:r>
          </w:p>
        </w:tc>
        <w:tc>
          <w:tcPr>
            <w:tcW w:w="21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85"/>
        </w:trPr>
        <w:tc>
          <w:tcPr>
            <w:tcW w:w="538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Under the terms of the swaps, AFG receives fixed-rate interest payments in exchange for variable interest payments based on SOFR. The notional amounts of the interest rate swaps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generally decline over each swap’s respective life (the active swaps expire between October 2026 and October 2034) in anticipation of the expected decline in AFG’s portfolio of fixed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maturity securities with floating interest rates based on SOFR. The total outstanding notional amount of AFG’s interest rate swaps was $464 million at December 31, 2025 compared to</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$1.05 billion at December 31, 2024, reflecting scheduled amortization, partially offset by one new swap entered into in 2025 ($12 million notional amount at issuance). Amounts reclassified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from AOCI to net investment income were losses of $9 million, $24 million, and $26 million in 2025, 2024, and 2023, respectively. Based on a forward interest rate curve at December 31,</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2025, management estimates that it will reclassify approximately $3 million of pre-tax net losses on interest rate swaps from AOCI to net investment income over the next twelve months.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actual amount will vary based on changes in SOFR. A collateral receivable supporting these swaps of $10 million and $27 million at December 31, 2025 and December 31, 2024,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respectively, is included in other assets in AFG’s Balance Sheet.</w:t>
      </w:r>
    </w:p>
    <w:p>
      <w:pPr>
        <w:spacing w:after="0" w:line="189"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139"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AFG is exposed to fair value changes from certain equity and fixed maturity market-based exposures related to its deferred compensation obligations to certain employees. To mitigate this risk, AFG entered into a total return swap in 2022. AFG’s Balance Sheet includes a liability of less than $1 million to return collateral related to the swap (included in other liabilities) and a $4 million receivable for collateral posted related to the swap (included in other assets) at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gains (losses) included in AFG’s Statement of Earnings for changes in the fair value of derivatives for 2025, 2024 and 2023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40" w:type="dxa"/>
            <w:vAlign w:val="bottom"/>
          </w:tcPr>
          <w:p>
            <w:pPr>
              <w:spacing w:after="0"/>
              <w:rPr>
                <w:sz w:val="13"/>
                <w:szCs w:val="13"/>
                <w:color w:val="auto"/>
              </w:rPr>
            </w:pPr>
          </w:p>
        </w:tc>
        <w:tc>
          <w:tcPr>
            <w:tcW w:w="2340" w:type="dxa"/>
            <w:vAlign w:val="bottom"/>
            <w:gridSpan w:val="2"/>
          </w:tcPr>
          <w:p>
            <w:pPr>
              <w:ind w:left="20"/>
              <w:spacing w:after="0"/>
              <w:rPr>
                <w:sz w:val="20"/>
                <w:szCs w:val="20"/>
                <w:color w:val="auto"/>
              </w:rPr>
            </w:pPr>
            <w:r>
              <w:rPr>
                <w:rFonts w:ascii="Arial" w:cs="Arial" w:eastAsia="Arial" w:hAnsi="Arial"/>
                <w:sz w:val="11"/>
                <w:szCs w:val="11"/>
                <w:color w:val="auto"/>
              </w:rPr>
              <w:t>Statement of Earnings Line</w:t>
            </w:r>
          </w:p>
        </w:tc>
        <w:tc>
          <w:tcPr>
            <w:tcW w:w="340" w:type="dxa"/>
            <w:vAlign w:val="bottom"/>
          </w:tcPr>
          <w:p>
            <w:pPr>
              <w:spacing w:after="0"/>
              <w:rPr>
                <w:sz w:val="13"/>
                <w:szCs w:val="13"/>
                <w:color w:val="auto"/>
              </w:rPr>
            </w:pPr>
          </w:p>
        </w:tc>
        <w:tc>
          <w:tcPr>
            <w:tcW w:w="1100" w:type="dxa"/>
            <w:vAlign w:val="bottom"/>
          </w:tcPr>
          <w:p>
            <w:pPr>
              <w:jc w:val="right"/>
              <w:ind w:right="517"/>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Arial" w:cs="Arial" w:eastAsia="Arial" w:hAnsi="Arial"/>
                <w:sz w:val="11"/>
                <w:szCs w:val="11"/>
                <w:color w:val="auto"/>
              </w:rPr>
              <w:t>2023</w:t>
            </w:r>
          </w:p>
        </w:tc>
      </w:tr>
      <w:tr>
        <w:trPr>
          <w:trHeight w:val="15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Qualifying cash flow hedges:</w:t>
            </w:r>
          </w:p>
        </w:tc>
        <w:tc>
          <w:tcPr>
            <w:tcW w:w="2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9"/>
        </w:trPr>
        <w:tc>
          <w:tcPr>
            <w:tcW w:w="4440" w:type="dxa"/>
            <w:vAlign w:val="bottom"/>
          </w:tcPr>
          <w:p>
            <w:pPr>
              <w:ind w:left="180"/>
              <w:spacing w:after="0"/>
              <w:rPr>
                <w:sz w:val="20"/>
                <w:szCs w:val="20"/>
                <w:color w:val="auto"/>
              </w:rPr>
            </w:pPr>
            <w:r>
              <w:rPr>
                <w:rFonts w:ascii="Arial" w:cs="Arial" w:eastAsia="Arial" w:hAnsi="Arial"/>
                <w:sz w:val="13"/>
                <w:szCs w:val="13"/>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3"/>
                <w:szCs w:val="13"/>
                <w:color w:val="auto"/>
              </w:rPr>
              <w:t>Net investment income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44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4440" w:type="dxa"/>
            <w:vAlign w:val="bottom"/>
          </w:tcPr>
          <w:p>
            <w:pPr>
              <w:ind w:left="20"/>
              <w:spacing w:after="0"/>
              <w:rPr>
                <w:sz w:val="20"/>
                <w:szCs w:val="20"/>
                <w:color w:val="auto"/>
              </w:rPr>
            </w:pPr>
            <w:r>
              <w:rPr>
                <w:rFonts w:ascii="Arial" w:cs="Arial" w:eastAsia="Arial" w:hAnsi="Arial"/>
                <w:sz w:val="13"/>
                <w:szCs w:val="13"/>
                <w:color w:val="auto"/>
              </w:rPr>
              <w:t>Non-designated hedges: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Realized gains (losses) on securities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4440" w:type="dxa"/>
            <w:vAlign w:val="bottom"/>
          </w:tcPr>
          <w:p>
            <w:pPr>
              <w:ind w:left="180"/>
              <w:spacing w:after="0"/>
              <w:rPr>
                <w:sz w:val="20"/>
                <w:szCs w:val="20"/>
                <w:color w:val="auto"/>
              </w:rPr>
            </w:pPr>
            <w:r>
              <w:rPr>
                <w:rFonts w:ascii="Arial" w:cs="Arial" w:eastAsia="Arial" w:hAnsi="Arial"/>
                <w:sz w:val="13"/>
                <w:szCs w:val="13"/>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3"/>
                <w:szCs w:val="13"/>
                <w:color w:val="auto"/>
              </w:rPr>
              <w:t>Net investment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expenses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59"/>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Earnings (losses) on non-designated hedges</w:t>
            </w:r>
          </w:p>
        </w:tc>
        <w:tc>
          <w:tcPr>
            <w:tcW w:w="22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87"/>
        </w:trPr>
        <w:tc>
          <w:tcPr>
            <w:tcW w:w="4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 earnings (losses) on derivatives</w:t>
            </w:r>
          </w:p>
        </w:tc>
        <w:tc>
          <w:tcPr>
            <w:tcW w:w="2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495"/>
        <w:spacing w:after="0"/>
        <w:tabs>
          <w:tab w:leader="none" w:pos="500" w:val="left"/>
        </w:tabs>
        <w:numPr>
          <w:ilvl w:val="0"/>
          <w:numId w:val="46"/>
        </w:numPr>
        <w:rPr>
          <w:rFonts w:ascii="Arial" w:cs="Arial" w:eastAsia="Arial" w:hAnsi="Arial"/>
          <w:sz w:val="23"/>
          <w:szCs w:val="23"/>
          <w:b w:val="1"/>
          <w:bCs w:val="1"/>
          <w:color w:val="00274E"/>
        </w:rPr>
      </w:pPr>
      <w:r>
        <w:rPr>
          <w:rFonts w:ascii="Arial" w:cs="Arial" w:eastAsia="Arial" w:hAnsi="Arial"/>
          <w:sz w:val="23"/>
          <w:szCs w:val="23"/>
          <w:b w:val="1"/>
          <w:bCs w:val="1"/>
          <w:color w:val="00274E"/>
        </w:rPr>
        <w:t>Managed Investment Entities</w:t>
      </w:r>
    </w:p>
    <w:p>
      <w:pPr>
        <w:spacing w:after="0" w:line="200"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color w:val="auto"/>
        </w:rPr>
        <w:t>AFG is the investment manager and it has investments ranging from 5.4% to 100% of the most subordinate debt tranche of ten active collateralized loan obligations (“CLOs”), which are considered variable interest entities. AFG also owns portions of the senior debt tranches of certain of these CLOs. Upon formation,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169"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AFG’s maximum exposure to economic loss on the CLOs that it manages is limited to its investment in those CLOs, which had an aggregate fair value of $143 million (including $131 million invested in the most subordinate tranches) at December 31, 2025.</w:t>
      </w:r>
    </w:p>
    <w:p>
      <w:pPr>
        <w:spacing w:after="0" w:line="139" w:lineRule="exact"/>
        <w:rPr>
          <w:sz w:val="20"/>
          <w:szCs w:val="20"/>
          <w:color w:val="auto"/>
        </w:rPr>
      </w:pPr>
    </w:p>
    <w:p>
      <w:pPr>
        <w:ind w:right="300"/>
        <w:spacing w:after="0" w:line="279" w:lineRule="auto"/>
        <w:rPr>
          <w:sz w:val="20"/>
          <w:szCs w:val="20"/>
          <w:color w:val="auto"/>
        </w:rPr>
      </w:pPr>
      <w:r>
        <w:rPr>
          <w:rFonts w:ascii="Arial" w:cs="Arial" w:eastAsia="Arial" w:hAnsi="Arial"/>
          <w:sz w:val="13"/>
          <w:szCs w:val="13"/>
          <w:color w:val="auto"/>
        </w:rPr>
        <w:t>In 2025, AFG formed three new CLOs, which issued $1.22 billion face amount of liabilities (including $118 million face amount purchased by AFG). In 2024, AFG formed two new CLOs, which issued $813 million face amount of liabilities (including $73 million face amount purchased by AFG). In 2023, AFG formed one new CLO, which issued $407 million face amount of liabilities (including $16 million face amount purchased by AFG). In 2025, 2024 and 2023, six, one and four CLOs were substantially liquidated in accordance with the CLO indentures,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progression of the fair value of AFG's investment in CLO tranches and temporary warehousing entities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Distributions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CLO earnings attributable to AFG</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w:t>
            </w:r>
          </w:p>
        </w:tc>
      </w:tr>
      <w:tr>
        <w:trPr>
          <w:trHeight w:val="20"/>
        </w:trPr>
        <w:tc>
          <w:tcPr>
            <w:tcW w:w="7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67" w:lineRule="exact"/>
        <w:rPr>
          <w:sz w:val="20"/>
          <w:szCs w:val="20"/>
          <w:color w:val="auto"/>
        </w:rPr>
      </w:pPr>
    </w:p>
    <w:p>
      <w:pPr>
        <w:ind w:left="8700"/>
        <w:spacing w:after="0"/>
        <w:rPr>
          <w:sz w:val="20"/>
          <w:szCs w:val="20"/>
          <w:color w:val="auto"/>
        </w:rPr>
      </w:pPr>
      <w:r>
        <w:rPr>
          <w:rFonts w:ascii="Arial" w:cs="Arial" w:eastAsia="Arial" w:hAnsi="Arial"/>
          <w:sz w:val="12"/>
          <w:szCs w:val="12"/>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15875</wp:posOffset>
            </wp:positionV>
            <wp:extent cx="23914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Gains (losses) on change in fair value of assets/liabilities (*):</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Assets</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Liabilities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Management fees paid to AFG</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CLO earnings attributable to AFG</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bl>
    <w:p>
      <w:pPr>
        <w:spacing w:after="0" w:line="110" w:lineRule="exact"/>
        <w:rPr>
          <w:sz w:val="20"/>
          <w:szCs w:val="20"/>
          <w:color w:val="auto"/>
        </w:rPr>
      </w:pPr>
    </w:p>
    <w:p>
      <w:pPr>
        <w:ind w:left="320" w:hanging="315"/>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Included in revenues in AFG’s Statement of Earnings.</w:t>
      </w:r>
    </w:p>
    <w:p>
      <w:pPr>
        <w:spacing w:after="0" w:line="126"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The aggregate unpaid principal balance of the CLOs’ fixed maturity investments exceeded the fair value of the investments by $77 million and $66 million at December 31, 2025 and 2024, respectively. The carrying value of the CLOs’ debt (excluding the most subordinated tranches) exceeded the aggregate unpaid principal balance by $13 million and $36 million at those dates, respectively. At December 31, 2025, the CLO assets did not include any loans in default for which the CLOs are not accruing interest compared to an aggregate fair value of $3 million of loans in default (with an aggregate unpaid principal balance of $5 million) at December 31, 2024.</w:t>
      </w:r>
    </w:p>
    <w:p>
      <w:pPr>
        <w:spacing w:after="0" w:line="168"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In addition to the CLOs that it manages, AFG had investments in CLOs that are managed by third parties (therefore not consolidated), which are included in available for sale fixed maturity securities and had a fair value of $1.16 billion at December 31, 2025 and $1.24 billion at December 31, 2024.</w:t>
      </w:r>
    </w:p>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3"/>
          <w:szCs w:val="23"/>
          <w:b w:val="1"/>
          <w:bCs w:val="1"/>
          <w:color w:val="00274E"/>
        </w:rPr>
        <w:t>H.</w:t>
      </w:r>
      <w:r>
        <w:rPr>
          <w:sz w:val="20"/>
          <w:szCs w:val="20"/>
          <w:color w:val="auto"/>
        </w:rPr>
        <w:tab/>
      </w:r>
      <w:r>
        <w:rPr>
          <w:rFonts w:ascii="Arial" w:cs="Arial" w:eastAsia="Arial" w:hAnsi="Arial"/>
          <w:sz w:val="22"/>
          <w:szCs w:val="22"/>
          <w:b w:val="1"/>
          <w:bCs w:val="1"/>
          <w:color w:val="00274E"/>
        </w:rPr>
        <w:t>Goodwill and Other Intangibles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carrying value of goodwill are presented in the following table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 and 2024</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r>
      <w:tr>
        <w:trPr>
          <w:trHeight w:val="16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 of Radion</w:t>
            </w: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87"/>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2025</w:t>
            </w: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 xml:space="preserve">AFG recorded a goodwill impairment charge of $26 million in 2023 related to its investment in Verikai (included in the property and casualty insurance segment). The impairment indicator was slower than anticipated growth in the business supported by the Verikai technology relative to what was projected at acquisition. Management utilized the discounted cash flow method of the income approach to calculate the impairment charge. This charge and the impact of reducing the fair value of the contingent consideration related to the Verikai acquisition (see </w:t>
      </w:r>
      <w:r>
        <w:rPr>
          <w:rFonts w:ascii="Arial" w:cs="Arial" w:eastAsia="Arial" w:hAnsi="Arial"/>
          <w:sz w:val="13"/>
          <w:szCs w:val="13"/>
          <w:i w:val="1"/>
          <w:iCs w:val="1"/>
          <w:color w:val="auto"/>
        </w:rPr>
        <w:t>Note D —</w:t>
      </w:r>
      <w:r>
        <w:rPr>
          <w:rFonts w:ascii="Arial" w:cs="Arial" w:eastAsia="Arial" w:hAnsi="Arial"/>
          <w:sz w:val="13"/>
          <w:szCs w:val="13"/>
          <w:color w:val="auto"/>
        </w:rPr>
        <w:t xml:space="preserve">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are included in realized gains (losses) on subsidiaries in AFG’s Statement of Earnings</w:t>
      </w:r>
      <w:r>
        <w:rPr>
          <w:rFonts w:ascii="Arial" w:cs="Arial" w:eastAsia="Arial" w:hAnsi="Arial"/>
          <w:sz w:val="13"/>
          <w:szCs w:val="13"/>
          <w:i w:val="1"/>
          <w:iCs w:val="1"/>
          <w:color w:val="auto"/>
        </w:rPr>
        <w:t>.</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Included in other assets in AFG’s Balance Sheet is $189 million at December 31, 2025 and $203 million at December 31, 2024 of amortizable intangible assets related to acquisitions. These amounts are net of accumulated amortization of $75 million and $59 million, respectively. Amortization of intangibles was $20 million in both 2025 and 2024 and $15 million in 2023. In 2025, AFG wrote off $2 million of amortizable intangible assets that became obsolete in connection with certain changes in AFG’s business (included in realized gains (losses) on subsidiaries in AFG’s Statement of Earnings).</w:t>
      </w:r>
    </w:p>
    <w:p>
      <w:pPr>
        <w:spacing w:after="0" w:line="168"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Future amortization of intangibles (weighted average amortization period of 5 years) is estimated to be $20 million per year in 2026, $22 million in 2027, $19 million in 2028, $18 million in 2029, $17 million in 2030 and $93 million thereafter.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60" w:type="dxa"/>
            <w:vAlign w:val="bottom"/>
          </w:tcPr>
          <w:p>
            <w:pPr>
              <w:spacing w:after="0"/>
              <w:rPr>
                <w:sz w:val="20"/>
                <w:szCs w:val="20"/>
                <w:color w:val="auto"/>
              </w:rPr>
            </w:pPr>
            <w:r>
              <w:rPr>
                <w:rFonts w:ascii="Arial" w:cs="Arial" w:eastAsia="Arial" w:hAnsi="Arial"/>
                <w:sz w:val="23"/>
                <w:szCs w:val="23"/>
                <w:b w:val="1"/>
                <w:bCs w:val="1"/>
                <w:color w:val="00274E"/>
              </w:rPr>
              <w:t>I.</w:t>
            </w:r>
          </w:p>
        </w:tc>
        <w:tc>
          <w:tcPr>
            <w:tcW w:w="5180" w:type="dxa"/>
            <w:vAlign w:val="bottom"/>
          </w:tcPr>
          <w:p>
            <w:pPr>
              <w:ind w:left="220"/>
              <w:spacing w:after="0"/>
              <w:rPr>
                <w:sz w:val="20"/>
                <w:szCs w:val="20"/>
                <w:color w:val="auto"/>
              </w:rPr>
            </w:pPr>
            <w:r>
              <w:rPr>
                <w:rFonts w:ascii="Arial" w:cs="Arial" w:eastAsia="Arial" w:hAnsi="Arial"/>
                <w:sz w:val="23"/>
                <w:szCs w:val="23"/>
                <w:b w:val="1"/>
                <w:bCs w:val="1"/>
                <w:color w:val="00274E"/>
              </w:rPr>
              <w:t>Long-Term Debt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0"/>
        </w:trPr>
        <w:tc>
          <w:tcPr>
            <w:tcW w:w="5340" w:type="dxa"/>
            <w:vAlign w:val="bottom"/>
            <w:gridSpan w:val="2"/>
          </w:tcPr>
          <w:p>
            <w:pPr>
              <w:spacing w:after="0"/>
              <w:rPr>
                <w:sz w:val="20"/>
                <w:szCs w:val="20"/>
                <w:color w:val="auto"/>
              </w:rPr>
            </w:pPr>
            <w:r>
              <w:rPr>
                <w:rFonts w:ascii="Arial" w:cs="Arial" w:eastAsia="Arial" w:hAnsi="Arial"/>
                <w:sz w:val="13"/>
                <w:szCs w:val="13"/>
                <w:color w:val="auto"/>
              </w:rPr>
              <w:t>Long-term debt consisted of the following at December 31 (in millions):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1"/>
        </w:trPr>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117"/>
        </w:trPr>
        <w:tc>
          <w:tcPr>
            <w:tcW w:w="1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Arial" w:cs="Arial" w:eastAsia="Arial" w:hAnsi="Arial"/>
                <w:sz w:val="12"/>
                <w:szCs w:val="12"/>
                <w:color w:val="auto"/>
                <w:w w:val="99"/>
              </w:rPr>
              <w:t>Discount and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20"/>
              <w:spacing w:after="0" w:line="117" w:lineRule="exact"/>
              <w:rPr>
                <w:sz w:val="20"/>
                <w:szCs w:val="20"/>
                <w:color w:val="auto"/>
              </w:rPr>
            </w:pPr>
            <w:r>
              <w:rPr>
                <w:rFonts w:ascii="Arial" w:cs="Arial" w:eastAsia="Arial" w:hAnsi="Arial"/>
                <w:sz w:val="12"/>
                <w:szCs w:val="12"/>
                <w:color w:val="auto"/>
                <w:w w:val="99"/>
              </w:rPr>
              <w:t>Discount and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61"/>
        </w:trPr>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color w:val="auto"/>
                <w:w w:val="98"/>
              </w:rPr>
              <w:t>Issue Costs</w:t>
            </w:r>
          </w:p>
        </w:tc>
        <w:tc>
          <w:tcPr>
            <w:tcW w:w="960" w:type="dxa"/>
            <w:vAlign w:val="bottom"/>
            <w:gridSpan w:val="3"/>
          </w:tcPr>
          <w:p>
            <w:pPr>
              <w:ind w:left="40"/>
              <w:spacing w:after="0"/>
              <w:rPr>
                <w:sz w:val="20"/>
                <w:szCs w:val="20"/>
                <w:color w:val="auto"/>
              </w:rPr>
            </w:pPr>
            <w:r>
              <w:rPr>
                <w:rFonts w:ascii="Arial" w:cs="Arial" w:eastAsia="Arial" w:hAnsi="Arial"/>
                <w:sz w:val="12"/>
                <w:szCs w:val="12"/>
                <w:color w:val="auto"/>
              </w:rPr>
              <w:t>Carrying Value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Principal</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Issue Costs</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Carrying Value</w:t>
            </w:r>
          </w:p>
        </w:tc>
      </w:tr>
      <w:tr>
        <w:trPr>
          <w:trHeight w:val="152"/>
        </w:trPr>
        <w:tc>
          <w:tcPr>
            <w:tcW w:w="5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Direct Senior Obligations of AFG:</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4.50% Senior Notes due June 2047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566</w:t>
            </w:r>
          </w:p>
        </w:tc>
      </w:tr>
      <w:tr>
        <w:trPr>
          <w:trHeight w:val="171"/>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5.00% Senior Notes due September 2035</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5.25% Senior Notes due April 2030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249</w:t>
            </w:r>
          </w:p>
        </w:tc>
      </w:tr>
      <w:tr>
        <w:trPr>
          <w:trHeight w:val="170"/>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16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1,173</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818</w:t>
            </w:r>
          </w:p>
        </w:tc>
      </w:tr>
      <w:tr>
        <w:trPr>
          <w:trHeight w:val="151"/>
        </w:trPr>
        <w:tc>
          <w:tcPr>
            <w:tcW w:w="160" w:type="dxa"/>
            <w:vAlign w:val="bottom"/>
            <w:shd w:val="clear" w:color="auto" w:fill="CCEEFF"/>
          </w:tcPr>
          <w:p>
            <w:pPr>
              <w:spacing w:after="0"/>
              <w:rPr>
                <w:sz w:val="13"/>
                <w:szCs w:val="13"/>
                <w:color w:val="auto"/>
              </w:rPr>
            </w:pPr>
          </w:p>
        </w:tc>
        <w:tc>
          <w:tcPr>
            <w:tcW w:w="5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0"/>
        </w:trPr>
        <w:tc>
          <w:tcPr>
            <w:tcW w:w="53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 Subordinated Obligations of AFG: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4.50% Subordinated Debentures due September 2060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69"/>
        </w:trPr>
        <w:tc>
          <w:tcPr>
            <w:tcW w:w="16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5.125% Subordinated Debentures due December 2059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171"/>
        </w:trPr>
        <w:tc>
          <w:tcPr>
            <w:tcW w:w="160" w:type="dxa"/>
            <w:vAlign w:val="bottom"/>
            <w:shd w:val="clear" w:color="auto" w:fill="CCEEFF"/>
          </w:tcPr>
          <w:p>
            <w:pPr>
              <w:spacing w:after="0"/>
              <w:rPr>
                <w:sz w:val="14"/>
                <w:szCs w:val="14"/>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5.625% Subordinated Debentures due June 2060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69"/>
        </w:trPr>
        <w:tc>
          <w:tcPr>
            <w:tcW w:w="160" w:type="dxa"/>
            <w:vAlign w:val="bottom"/>
            <w:tcBorders>
              <w:bottom w:val="single" w:sz="8" w:color="CCEEFF"/>
            </w:tcBorders>
          </w:tcPr>
          <w:p>
            <w:pPr>
              <w:spacing w:after="0"/>
              <w:rPr>
                <w:sz w:val="14"/>
                <w:szCs w:val="14"/>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5.875% Subordinated Debentures due March 2059</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r>
      <w:tr>
        <w:trPr>
          <w:trHeight w:val="160"/>
        </w:trPr>
        <w:tc>
          <w:tcPr>
            <w:tcW w:w="160" w:type="dxa"/>
            <w:vAlign w:val="bottom"/>
            <w:shd w:val="clear" w:color="auto" w:fill="CCEEFF"/>
          </w:tcPr>
          <w:p>
            <w:pPr>
              <w:spacing w:after="0"/>
              <w:rPr>
                <w:sz w:val="13"/>
                <w:szCs w:val="13"/>
                <w:color w:val="auto"/>
              </w:rPr>
            </w:pPr>
          </w:p>
        </w:tc>
        <w:tc>
          <w:tcPr>
            <w:tcW w:w="5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w:t>
            </w:r>
          </w:p>
        </w:tc>
      </w:tr>
      <w:tr>
        <w:trPr>
          <w:trHeight w:val="160"/>
        </w:trPr>
        <w:tc>
          <w:tcPr>
            <w:tcW w:w="1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1,848</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w:t>
            </w:r>
          </w:p>
        </w:tc>
      </w:tr>
      <w:tr>
        <w:trPr>
          <w:trHeight w:val="20"/>
        </w:trPr>
        <w:tc>
          <w:tcPr>
            <w:tcW w:w="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40"/>
        <w:spacing w:after="0" w:line="297" w:lineRule="auto"/>
        <w:rPr>
          <w:sz w:val="20"/>
          <w:szCs w:val="20"/>
          <w:color w:val="auto"/>
        </w:rPr>
      </w:pPr>
      <w:r>
        <w:rPr>
          <w:rFonts w:ascii="Arial" w:cs="Arial" w:eastAsia="Arial" w:hAnsi="Arial"/>
          <w:sz w:val="13"/>
          <w:szCs w:val="13"/>
          <w:color w:val="auto"/>
        </w:rPr>
        <w:t>At December 31, 2025, scheduled principal payments on debt for the subsequent five years and thereafter are as follows: 2026 — none; 2027 — none; 2028 — none; 2029 — none; 2030 — $253 million and thereafter — $1.60 billion.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In September 2025, AFG issued $350 million in 5.00% Senior Notes due in 2035. The net proceeds of this offering were used for general corporate purposes.</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During 2023, AFG repurchased $15 million principal amount of its 4.50% Senior Notes due in June 2047 for $13 million and $8 million principal amount of its 5.25% Senior Notes due in April 2030 for $8 million in open market transactions.</w:t>
      </w:r>
    </w:p>
    <w:p>
      <w:pPr>
        <w:spacing w:after="0" w:line="139"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December 31, 2025 or December 31, 2024.</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Cash interest payments on long-term debt were $74 million in each of 2025, 2024 and 2023.</w:t>
      </w:r>
    </w:p>
    <w:p>
      <w:pPr>
        <w:spacing w:after="0" w:line="203" w:lineRule="exact"/>
        <w:rPr>
          <w:sz w:val="20"/>
          <w:szCs w:val="20"/>
          <w:color w:val="auto"/>
        </w:rPr>
      </w:pPr>
    </w:p>
    <w:p>
      <w:pPr>
        <w:ind w:left="440" w:hanging="435"/>
        <w:spacing w:after="0"/>
        <w:tabs>
          <w:tab w:leader="none" w:pos="440" w:val="left"/>
        </w:tabs>
        <w:numPr>
          <w:ilvl w:val="0"/>
          <w:numId w:val="48"/>
        </w:numPr>
        <w:rPr>
          <w:rFonts w:ascii="Arial" w:cs="Arial" w:eastAsia="Arial" w:hAnsi="Arial"/>
          <w:sz w:val="23"/>
          <w:szCs w:val="23"/>
          <w:b w:val="1"/>
          <w:bCs w:val="1"/>
          <w:color w:val="00274E"/>
        </w:rPr>
      </w:pPr>
      <w:r>
        <w:rPr>
          <w:rFonts w:ascii="Arial" w:cs="Arial" w:eastAsia="Arial" w:hAnsi="Arial"/>
          <w:sz w:val="23"/>
          <w:szCs w:val="23"/>
          <w:b w:val="1"/>
          <w:bCs w:val="1"/>
          <w:color w:val="00274E"/>
        </w:rPr>
        <w:t>Leases</w:t>
      </w:r>
    </w:p>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AFG and its subsidiaries lease real estate that is primarily used for office space and, to a lesser extent, equipment under operating lease arrangements. Most of AFG’s real estate leases include an option to extend or renew the lease term at AFG’s option. The operating lease liability includes lease payments related to options to extend or renew the lease term if AFG is reasonably certain of exercising those options. Lease payments are discounted using the implicit discount rate in the lease. If the implicit discount rate for the lease cannot be readily determined, AFG uses an estimate of its incremental secured borrowing rate. AFG did not have any material contracts accounted for as finance or short-term leases at December 31, 2025 or December 31, 2024.</w:t>
      </w:r>
    </w:p>
    <w:p>
      <w:pPr>
        <w:spacing w:after="0" w:line="320" w:lineRule="exact"/>
        <w:rPr>
          <w:sz w:val="20"/>
          <w:szCs w:val="20"/>
          <w:color w:val="auto"/>
        </w:rPr>
      </w:pPr>
    </w:p>
    <w:p>
      <w:pPr>
        <w:ind w:right="640"/>
        <w:spacing w:after="0" w:line="291" w:lineRule="auto"/>
        <w:rPr>
          <w:sz w:val="20"/>
          <w:szCs w:val="20"/>
          <w:color w:val="auto"/>
        </w:rPr>
      </w:pPr>
      <w:r>
        <w:rPr>
          <w:rFonts w:ascii="Arial" w:cs="Arial" w:eastAsia="Arial" w:hAnsi="Arial"/>
          <w:sz w:val="13"/>
          <w:szCs w:val="13"/>
          <w:color w:val="auto"/>
        </w:rPr>
        <w:t>AFG’s operating lease right-of-use asset and operating lease liability are included in other assets and other liabilities, respectively, in AFG’s Balance Sheet at December 31 and are presented in the following table (in millions):</w:t>
      </w:r>
    </w:p>
    <w:tbl>
      <w:tblPr>
        <w:tblLayout w:type="fixed"/>
        <w:tblInd w:w="0" w:type="dxa"/>
        <w:tblCellMar>
          <w:top w:w="0" w:type="dxa"/>
          <w:left w:w="0" w:type="dxa"/>
          <w:bottom w:w="0" w:type="dxa"/>
          <w:right w:w="0" w:type="dxa"/>
        </w:tblCellMar>
      </w:tblPr>
      <w:tr>
        <w:trPr>
          <w:trHeight w:val="161"/>
        </w:trPr>
        <w:tc>
          <w:tcPr>
            <w:tcW w:w="75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8"/>
              <w:spacing w:after="0"/>
              <w:rPr>
                <w:sz w:val="20"/>
                <w:szCs w:val="20"/>
                <w:color w:val="auto"/>
              </w:rPr>
            </w:pPr>
            <w:r>
              <w:rPr>
                <w:rFonts w:ascii="Arial" w:cs="Arial" w:eastAsia="Arial" w:hAnsi="Arial"/>
                <w:sz w:val="12"/>
                <w:szCs w:val="12"/>
                <w:color w:val="auto"/>
              </w:rPr>
              <w:t>2024</w:t>
            </w:r>
          </w:p>
        </w:tc>
      </w:tr>
      <w:tr>
        <w:trPr>
          <w:trHeight w:val="163"/>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w:t>
            </w:r>
          </w:p>
        </w:tc>
        <w:tc>
          <w:tcPr>
            <w:tcW w:w="1300" w:type="dxa"/>
            <w:vAlign w:val="bottom"/>
            <w:shd w:val="clear" w:color="auto" w:fill="CCEEFF"/>
          </w:tcPr>
          <w:p>
            <w:pPr>
              <w:jc w:val="right"/>
              <w:ind w:right="113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r>
      <w:tr>
        <w:trPr>
          <w:trHeight w:val="167"/>
        </w:trPr>
        <w:tc>
          <w:tcPr>
            <w:tcW w:w="754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232</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Operating lease expense was $42 million, $41 million and $36 million in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lease information for the years ended December 31, 2025, 2024 and 2023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2025</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color w:val="auto"/>
              </w:rPr>
              <w:t>2024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color w:val="auto"/>
              </w:rPr>
              <w:t>2023</w:t>
            </w:r>
          </w:p>
        </w:tc>
      </w:tr>
      <w:tr>
        <w:trPr>
          <w:trHeight w:val="16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lease liabilities reported in operating cash flows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7"/>
        </w:trPr>
        <w:tc>
          <w:tcPr>
            <w:tcW w:w="7520" w:type="dxa"/>
            <w:vAlign w:val="bottom"/>
          </w:tcPr>
          <w:p>
            <w:pPr>
              <w:ind w:left="20"/>
              <w:spacing w:after="0"/>
              <w:rPr>
                <w:sz w:val="20"/>
                <w:szCs w:val="20"/>
                <w:color w:val="auto"/>
              </w:rPr>
            </w:pPr>
            <w:r>
              <w:rPr>
                <w:rFonts w:ascii="Arial" w:cs="Arial" w:eastAsia="Arial" w:hAnsi="Arial"/>
                <w:sz w:val="13"/>
                <w:szCs w:val="13"/>
                <w:color w:val="auto"/>
              </w:rPr>
              <w:t>Right-of-use assets obtained under new leases</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426"/>
        </w:trPr>
        <w:tc>
          <w:tcPr>
            <w:tcW w:w="8380" w:type="dxa"/>
            <w:vAlign w:val="bottom"/>
            <w:gridSpan w:val="2"/>
          </w:tcPr>
          <w:p>
            <w:pPr>
              <w:spacing w:after="0"/>
              <w:rPr>
                <w:sz w:val="20"/>
                <w:szCs w:val="20"/>
                <w:color w:val="auto"/>
              </w:rPr>
            </w:pPr>
            <w:r>
              <w:rPr>
                <w:rFonts w:ascii="Arial" w:cs="Arial" w:eastAsia="Arial" w:hAnsi="Arial"/>
                <w:sz w:val="13"/>
                <w:szCs w:val="13"/>
                <w:color w:val="auto"/>
              </w:rPr>
              <w:t>The following table presents the undiscounted contractual maturities of AFG’s operating lease liability at December 31, 2025 (in millions):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7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payments:</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2026</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2027</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2028</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2029</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9"/>
        </w:trPr>
        <w:tc>
          <w:tcPr>
            <w:tcW w:w="7520" w:type="dxa"/>
            <w:vAlign w:val="bottom"/>
          </w:tcPr>
          <w:p>
            <w:pPr>
              <w:ind w:left="220"/>
              <w:spacing w:after="0"/>
              <w:rPr>
                <w:sz w:val="20"/>
                <w:szCs w:val="20"/>
                <w:color w:val="auto"/>
              </w:rPr>
            </w:pPr>
            <w:r>
              <w:rPr>
                <w:rFonts w:ascii="Arial" w:cs="Arial" w:eastAsia="Arial" w:hAnsi="Arial"/>
                <w:sz w:val="13"/>
                <w:szCs w:val="13"/>
                <w:color w:val="auto"/>
              </w:rPr>
              <w:t>2030</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Thereafter</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59"/>
        </w:trPr>
        <w:tc>
          <w:tcPr>
            <w:tcW w:w="7520" w:type="dxa"/>
            <w:vAlign w:val="bottom"/>
          </w:tcPr>
          <w:p>
            <w:pPr>
              <w:ind w:left="520"/>
              <w:spacing w:after="0"/>
              <w:rPr>
                <w:sz w:val="20"/>
                <w:szCs w:val="20"/>
                <w:color w:val="auto"/>
              </w:rPr>
            </w:pPr>
            <w:r>
              <w:rPr>
                <w:rFonts w:ascii="Arial" w:cs="Arial" w:eastAsia="Arial" w:hAnsi="Arial"/>
                <w:sz w:val="13"/>
                <w:szCs w:val="13"/>
                <w:color w:val="auto"/>
              </w:rPr>
              <w:t>Total lease payments</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304</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discounting</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Operating lease liability</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20"/>
        </w:trPr>
        <w:tc>
          <w:tcPr>
            <w:tcW w:w="7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8"/>
        </w:trPr>
        <w:tc>
          <w:tcPr>
            <w:tcW w:w="7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 years</w:t>
            </w:r>
          </w:p>
        </w:tc>
      </w:tr>
      <w:tr>
        <w:trPr>
          <w:trHeight w:val="167"/>
        </w:trPr>
        <w:tc>
          <w:tcPr>
            <w:tcW w:w="752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w:t>
            </w:r>
          </w:p>
        </w:tc>
      </w:tr>
    </w:tbl>
    <w:p>
      <w:pPr>
        <w:spacing w:after="0" w:line="242" w:lineRule="exact"/>
        <w:rPr>
          <w:sz w:val="20"/>
          <w:szCs w:val="20"/>
          <w:color w:val="auto"/>
        </w:rPr>
      </w:pPr>
    </w:p>
    <w:p>
      <w:pPr>
        <w:ind w:left="480" w:hanging="475"/>
        <w:spacing w:after="0"/>
        <w:tabs>
          <w:tab w:leader="none" w:pos="480" w:val="left"/>
        </w:tabs>
        <w:numPr>
          <w:ilvl w:val="0"/>
          <w:numId w:val="49"/>
        </w:numPr>
        <w:rPr>
          <w:rFonts w:ascii="Arial" w:cs="Arial" w:eastAsia="Arial" w:hAnsi="Arial"/>
          <w:sz w:val="23"/>
          <w:szCs w:val="23"/>
          <w:b w:val="1"/>
          <w:bCs w:val="1"/>
          <w:color w:val="00274E"/>
        </w:rPr>
      </w:pPr>
      <w:r>
        <w:rPr>
          <w:rFonts w:ascii="Arial" w:cs="Arial" w:eastAsia="Arial" w:hAnsi="Arial"/>
          <w:sz w:val="23"/>
          <w:szCs w:val="23"/>
          <w:b w:val="1"/>
          <w:bCs w:val="1"/>
          <w:color w:val="00274E"/>
        </w:rPr>
        <w:t>Shareholders’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AFG is authorized to issue 12.5 million shares of Voting Preferred Stock and 12.5 million shares of Nonvoting Preferred Stock, each without par value.</w:t>
      </w:r>
    </w:p>
    <w:p>
      <w:pPr>
        <w:spacing w:after="0" w:line="19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b w:val="1"/>
          <w:bCs w:val="1"/>
          <w:color w:val="00274E"/>
        </w:rPr>
        <w:t xml:space="preserve">Stock Incentive Plan </w:t>
      </w:r>
      <w:r>
        <w:rPr>
          <w:rFonts w:ascii="Arial" w:cs="Arial" w:eastAsia="Arial" w:hAnsi="Arial"/>
          <w:sz w:val="13"/>
          <w:szCs w:val="13"/>
          <w:color w:val="000000"/>
        </w:rPr>
        <w:t>Under AFG’s stock incentive plan, employees of AFG and its subsidiaries are eligible to receive equity awards in the form of stock options, stock appreciation</w:t>
      </w:r>
      <w:r>
        <w:rPr>
          <w:rFonts w:ascii="Arial" w:cs="Arial" w:eastAsia="Arial" w:hAnsi="Arial"/>
          <w:sz w:val="16"/>
          <w:szCs w:val="16"/>
          <w:b w:val="1"/>
          <w:bCs w:val="1"/>
          <w:color w:val="00274E"/>
        </w:rPr>
        <w:t xml:space="preserve"> </w:t>
      </w:r>
      <w:r>
        <w:rPr>
          <w:rFonts w:ascii="Arial" w:cs="Arial" w:eastAsia="Arial" w:hAnsi="Arial"/>
          <w:sz w:val="13"/>
          <w:szCs w:val="13"/>
          <w:color w:val="000000"/>
        </w:rPr>
        <w:t>rights, restricted stock awards, restricted stock units and stock awards. At December 31, 2025, there were 2.2 million shares of AFG Common Stock reserved for issuance under AFG’s stock incentive plan.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restricted Common Stock that AFG has granted generally vests over a four-year period. Data relating to grants of restricted stock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9"/>
              <w:spacing w:after="0"/>
              <w:rPr>
                <w:sz w:val="20"/>
                <w:szCs w:val="20"/>
                <w:color w:val="auto"/>
              </w:rPr>
            </w:pPr>
            <w:r>
              <w:rPr>
                <w:rFonts w:ascii="Arial" w:cs="Arial" w:eastAsia="Arial" w:hAnsi="Arial"/>
                <w:sz w:val="11"/>
                <w:szCs w:val="11"/>
                <w:color w:val="auto"/>
              </w:rPr>
              <w:t>Average</w:t>
            </w:r>
          </w:p>
        </w:tc>
        <w:tc>
          <w:tcPr>
            <w:tcW w:w="0" w:type="dxa"/>
            <w:vAlign w:val="bottom"/>
          </w:tcPr>
          <w:p>
            <w:pPr>
              <w:spacing w:after="0"/>
              <w:rPr>
                <w:sz w:val="1"/>
                <w:szCs w:val="1"/>
                <w:color w:val="auto"/>
              </w:rPr>
            </w:pPr>
          </w:p>
        </w:tc>
      </w:tr>
      <w:tr>
        <w:trPr>
          <w:trHeight w:val="117"/>
        </w:trPr>
        <w:tc>
          <w:tcPr>
            <w:tcW w:w="8800" w:type="dxa"/>
            <w:vAlign w:val="bottom"/>
          </w:tcPr>
          <w:p>
            <w:pPr>
              <w:spacing w:after="0"/>
              <w:rPr>
                <w:sz w:val="10"/>
                <w:szCs w:val="10"/>
                <w:color w:val="auto"/>
              </w:rPr>
            </w:pPr>
          </w:p>
        </w:tc>
        <w:tc>
          <w:tcPr>
            <w:tcW w:w="1200" w:type="dxa"/>
            <w:vAlign w:val="bottom"/>
            <w:vMerge w:val="restart"/>
          </w:tcPr>
          <w:p>
            <w:pPr>
              <w:jc w:val="right"/>
              <w:ind w:right="358"/>
              <w:spacing w:after="0"/>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39"/>
              <w:spacing w:after="0" w:line="117" w:lineRule="exact"/>
              <w:rPr>
                <w:sz w:val="20"/>
                <w:szCs w:val="20"/>
                <w:color w:val="auto"/>
              </w:rPr>
            </w:pPr>
            <w:r>
              <w:rPr>
                <w:rFonts w:ascii="Arial" w:cs="Arial" w:eastAsia="Arial" w:hAnsi="Arial"/>
                <w:sz w:val="11"/>
                <w:szCs w:val="11"/>
                <w:color w:val="auto"/>
              </w:rPr>
              <w:t>Grant Date</w:t>
            </w:r>
          </w:p>
        </w:tc>
        <w:tc>
          <w:tcPr>
            <w:tcW w:w="0" w:type="dxa"/>
            <w:vAlign w:val="bottom"/>
          </w:tcPr>
          <w:p>
            <w:pPr>
              <w:spacing w:after="0"/>
              <w:rPr>
                <w:sz w:val="1"/>
                <w:szCs w:val="1"/>
                <w:color w:val="auto"/>
              </w:rPr>
            </w:pPr>
          </w:p>
        </w:tc>
      </w:tr>
      <w:tr>
        <w:trPr>
          <w:trHeight w:val="144"/>
        </w:trPr>
        <w:tc>
          <w:tcPr>
            <w:tcW w:w="8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6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January 1, 2025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566,364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125.61</w:t>
            </w:r>
          </w:p>
        </w:tc>
        <w:tc>
          <w:tcPr>
            <w:tcW w:w="0" w:type="dxa"/>
            <w:vAlign w:val="bottom"/>
          </w:tcPr>
          <w:p>
            <w:pPr>
              <w:spacing w:after="0"/>
              <w:rPr>
                <w:sz w:val="1"/>
                <w:szCs w:val="1"/>
                <w:color w:val="auto"/>
              </w:rPr>
            </w:pPr>
          </w:p>
        </w:tc>
      </w:tr>
      <w:tr>
        <w:trPr>
          <w:trHeight w:val="169"/>
        </w:trPr>
        <w:tc>
          <w:tcPr>
            <w:tcW w:w="8800" w:type="dxa"/>
            <w:vAlign w:val="bottom"/>
          </w:tcPr>
          <w:p>
            <w:pPr>
              <w:ind w:left="20"/>
              <w:spacing w:after="0"/>
              <w:rPr>
                <w:sz w:val="20"/>
                <w:szCs w:val="20"/>
                <w:color w:val="auto"/>
              </w:rPr>
            </w:pPr>
            <w:r>
              <w:rPr>
                <w:rFonts w:ascii="Arial" w:cs="Arial" w:eastAsia="Arial" w:hAnsi="Arial"/>
                <w:sz w:val="13"/>
                <w:szCs w:val="13"/>
                <w:color w:val="auto"/>
              </w:rPr>
              <w:t>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166,297</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121.89</w:t>
            </w: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111.95</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(21,437)</w:t>
            </w:r>
          </w:p>
        </w:tc>
        <w:tc>
          <w:tcPr>
            <w:tcW w:w="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128.19</w:t>
            </w:r>
          </w:p>
        </w:tc>
        <w:tc>
          <w:tcPr>
            <w:tcW w:w="0" w:type="dxa"/>
            <w:vAlign w:val="bottom"/>
          </w:tcPr>
          <w:p>
            <w:pPr>
              <w:spacing w:after="0"/>
              <w:rPr>
                <w:sz w:val="1"/>
                <w:szCs w:val="1"/>
                <w:color w:val="auto"/>
              </w:rPr>
            </w:pPr>
          </w:p>
        </w:tc>
      </w:tr>
      <w:tr>
        <w:trPr>
          <w:trHeight w:val="18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December 31,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576,182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127.65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total fair value of restricted stock that vested during 2025, 2024 and 2023 was $16 million, $19 million and $25 million, respectively.</w:t>
      </w:r>
    </w:p>
    <w:p>
      <w:pPr>
        <w:spacing w:after="0" w:line="201" w:lineRule="exact"/>
        <w:rPr>
          <w:sz w:val="20"/>
          <w:szCs w:val="20"/>
          <w:color w:val="auto"/>
        </w:rPr>
      </w:pPr>
    </w:p>
    <w:p>
      <w:pPr>
        <w:jc w:val="both"/>
        <w:ind w:right="160"/>
        <w:spacing w:after="0" w:line="284" w:lineRule="auto"/>
        <w:rPr>
          <w:sz w:val="20"/>
          <w:szCs w:val="20"/>
          <w:color w:val="auto"/>
        </w:rPr>
      </w:pPr>
      <w:r>
        <w:rPr>
          <w:rFonts w:ascii="Arial" w:cs="Arial" w:eastAsia="Arial" w:hAnsi="Arial"/>
          <w:sz w:val="13"/>
          <w:szCs w:val="13"/>
          <w:color w:val="auto"/>
        </w:rPr>
        <w:t>AFG does not have any stock options outstanding at December 31, 2025 and has not granted any stock options since 2015. The total intrinsic value of options exercised during 2025, 2024 and 2023 was $1 million, $10 million and $8 million, respectively. During 2025, 2024 and 2023, AFG received $1 million, $6 million and $4 million, respectively, in cash from the exercise of stock options. The total tax benefit related to the exercises was less than $1 million, $2 million and $1 million during those years, respectively.</w:t>
      </w:r>
    </w:p>
    <w:p>
      <w:pPr>
        <w:spacing w:after="0" w:line="148"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color w:val="auto"/>
        </w:rPr>
        <w:t>Total compensation expense related to the stock incentive plan was $18 million for 2025, 2024 and 2023. AFG’s provision for income tax includes tax benefits of $5 million in 2025, $7 million in 2024 and $6 million in 2023 related to AFG’s stock incentive plan. At December 31, 2025, there was $32 million of unrecognized compensation expense related to restricted stock awards, which is expected to be recognized over a weighted average of 2.4 years.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b w:val="1"/>
          <w:bCs w:val="1"/>
          <w:color w:val="00274E"/>
        </w:rPr>
        <w:t xml:space="preserve">Accumulated Other Comprehensive Income (Loss), Net of Tax (“AOCI”) </w:t>
      </w:r>
      <w:r>
        <w:rPr>
          <w:rFonts w:ascii="Arial" w:cs="Arial" w:eastAsia="Arial" w:hAnsi="Arial"/>
          <w:sz w:val="13"/>
          <w:szCs w:val="13"/>
          <w:color w:val="000000"/>
        </w:rPr>
        <w:t>Comprehensive income is defined as all changes in shareholders’ equity except those arising from</w:t>
      </w:r>
      <w:r>
        <w:rPr>
          <w:rFonts w:ascii="Arial" w:cs="Arial" w:eastAsia="Arial" w:hAnsi="Arial"/>
          <w:sz w:val="16"/>
          <w:szCs w:val="16"/>
          <w:b w:val="1"/>
          <w:bCs w:val="1"/>
          <w:color w:val="00274E"/>
        </w:rPr>
        <w:t xml:space="preserve"> </w:t>
      </w:r>
      <w:r>
        <w:rPr>
          <w:rFonts w:ascii="Arial" w:cs="Arial" w:eastAsia="Arial" w:hAnsi="Arial"/>
          <w:sz w:val="13"/>
          <w:szCs w:val="13"/>
          <w:color w:val="000000"/>
        </w:rPr>
        <w:t>transactions with shareholders. Comprehensive income includes net earnings and other comprehensive income (loss), which consists primarily of changes in net unrealized gains or losses on available for sale fixed maturity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progression of the components of accumulated other comprehensive income (loss)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color w:val="auto"/>
              </w:rPr>
              <w:t>Other Comprehensive Income (Loss)</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80"/>
              <w:spacing w:after="0" w:line="103" w:lineRule="exact"/>
              <w:rPr>
                <w:sz w:val="20"/>
                <w:szCs w:val="20"/>
                <w:color w:val="auto"/>
              </w:rPr>
            </w:pPr>
            <w:r>
              <w:rPr>
                <w:rFonts w:ascii="Arial" w:cs="Arial" w:eastAsia="Arial" w:hAnsi="Arial"/>
                <w:sz w:val="11"/>
                <w:szCs w:val="11"/>
                <w:color w:val="auto"/>
              </w:rPr>
              <w:t>AOCI Beginning</w:t>
            </w:r>
          </w:p>
        </w:tc>
        <w:tc>
          <w:tcPr>
            <w:tcW w:w="200" w:type="dxa"/>
            <w:vAlign w:val="bottom"/>
          </w:tcPr>
          <w:p>
            <w:pPr>
              <w:spacing w:after="0"/>
              <w:rPr>
                <w:sz w:val="8"/>
                <w:szCs w:val="8"/>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color w:val="auto"/>
              </w:rPr>
              <w:t>Pretax</w:t>
            </w:r>
          </w:p>
        </w:tc>
        <w:tc>
          <w:tcPr>
            <w:tcW w:w="260" w:type="dxa"/>
            <w:vAlign w:val="bottom"/>
          </w:tcPr>
          <w:p>
            <w:pPr>
              <w:spacing w:after="0"/>
              <w:rPr>
                <w:sz w:val="8"/>
                <w:szCs w:val="8"/>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97"/>
              </w:rPr>
              <w:t>Tax</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Net of tax</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123"/>
              <w:spacing w:after="0" w:line="103" w:lineRule="exact"/>
              <w:rPr>
                <w:sz w:val="20"/>
                <w:szCs w:val="20"/>
                <w:color w:val="auto"/>
              </w:rPr>
            </w:pPr>
            <w:r>
              <w:rPr>
                <w:rFonts w:ascii="Arial" w:cs="Arial" w:eastAsia="Arial" w:hAnsi="Arial"/>
                <w:sz w:val="11"/>
                <w:szCs w:val="11"/>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color w:val="auto"/>
              </w:rPr>
              <w:t>Balance</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43"/>
              <w:spacing w:after="0"/>
              <w:rPr>
                <w:sz w:val="20"/>
                <w:szCs w:val="20"/>
                <w:color w:val="auto"/>
              </w:rPr>
            </w:pPr>
            <w:r>
              <w:rPr>
                <w:rFonts w:ascii="Arial" w:cs="Arial" w:eastAsia="Arial" w:hAnsi="Arial"/>
                <w:sz w:val="11"/>
                <w:szCs w:val="11"/>
                <w:color w:val="auto"/>
              </w:rPr>
              <w:t>Balance</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7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98"/>
              </w:rPr>
              <w:t>Year ended December 31, 2025</w:t>
            </w:r>
          </w:p>
        </w:tc>
        <w:tc>
          <w:tcPr>
            <w:tcW w:w="4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164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180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80" w:type="dxa"/>
            <w:vAlign w:val="bottom"/>
            <w:gridSpan w:val="2"/>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239</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190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color w:val="auto"/>
              </w:rPr>
              <w:t>Other Comprehensive Income (Loss)</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80"/>
              <w:spacing w:after="0" w:line="103" w:lineRule="exact"/>
              <w:rPr>
                <w:sz w:val="20"/>
                <w:szCs w:val="20"/>
                <w:color w:val="auto"/>
              </w:rPr>
            </w:pPr>
            <w:r>
              <w:rPr>
                <w:rFonts w:ascii="Arial" w:cs="Arial" w:eastAsia="Arial" w:hAnsi="Arial"/>
                <w:sz w:val="11"/>
                <w:szCs w:val="11"/>
                <w:color w:val="auto"/>
              </w:rPr>
              <w:t>AOCI Beginning</w:t>
            </w:r>
          </w:p>
        </w:tc>
        <w:tc>
          <w:tcPr>
            <w:tcW w:w="200" w:type="dxa"/>
            <w:vAlign w:val="bottom"/>
          </w:tcPr>
          <w:p>
            <w:pPr>
              <w:spacing w:after="0"/>
              <w:rPr>
                <w:sz w:val="8"/>
                <w:szCs w:val="8"/>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color w:val="auto"/>
              </w:rPr>
              <w:t>Pretax</w:t>
            </w:r>
          </w:p>
        </w:tc>
        <w:tc>
          <w:tcPr>
            <w:tcW w:w="260" w:type="dxa"/>
            <w:vAlign w:val="bottom"/>
          </w:tcPr>
          <w:p>
            <w:pPr>
              <w:spacing w:after="0"/>
              <w:rPr>
                <w:sz w:val="8"/>
                <w:szCs w:val="8"/>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97"/>
              </w:rPr>
              <w:t>Tax</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Net of tax</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123"/>
              <w:spacing w:after="0" w:line="103" w:lineRule="exact"/>
              <w:rPr>
                <w:sz w:val="20"/>
                <w:szCs w:val="20"/>
                <w:color w:val="auto"/>
              </w:rPr>
            </w:pPr>
            <w:r>
              <w:rPr>
                <w:rFonts w:ascii="Arial" w:cs="Arial" w:eastAsia="Arial" w:hAnsi="Arial"/>
                <w:sz w:val="11"/>
                <w:szCs w:val="11"/>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color w:val="auto"/>
              </w:rPr>
              <w:t>Balance</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43"/>
              <w:spacing w:after="0"/>
              <w:rPr>
                <w:sz w:val="20"/>
                <w:szCs w:val="20"/>
                <w:color w:val="auto"/>
              </w:rPr>
            </w:pPr>
            <w:r>
              <w:rPr>
                <w:rFonts w:ascii="Arial" w:cs="Arial" w:eastAsia="Arial" w:hAnsi="Arial"/>
                <w:sz w:val="11"/>
                <w:szCs w:val="11"/>
                <w:color w:val="auto"/>
              </w:rPr>
              <w:t>Balance</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76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w w:val="98"/>
              </w:rPr>
              <w:t>Year ended December 31, 2024</w:t>
            </w:r>
          </w:p>
        </w:tc>
        <w:tc>
          <w:tcPr>
            <w:tcW w:w="4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80" w:type="dxa"/>
            <w:vAlign w:val="bottom"/>
            <w:gridSpan w:val="2"/>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tcBorders>
              <w:bottom w:val="single" w:sz="8" w:color="auto"/>
            </w:tcBorders>
          </w:tcPr>
          <w:p>
            <w:pPr>
              <w:spacing w:after="0" w:line="128" w:lineRule="exact"/>
              <w:rPr>
                <w:sz w:val="20"/>
                <w:szCs w:val="20"/>
                <w:color w:val="auto"/>
              </w:rPr>
            </w:pPr>
            <w:r>
              <w:rPr>
                <w:rFonts w:ascii="Arial" w:cs="Arial" w:eastAsia="Arial" w:hAnsi="Arial"/>
                <w:sz w:val="12"/>
                <w:szCs w:val="12"/>
                <w:b w:val="1"/>
                <w:bCs w:val="1"/>
                <w:color w:val="auto"/>
                <w:w w:val="98"/>
              </w:rPr>
              <w:t>Year ended December 31, 2023</w:t>
            </w: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unrealized gains (losses) on securities: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2"/>
                <w:szCs w:val="12"/>
                <w:color w:val="auto"/>
              </w:rPr>
              <w:t>Unrealized holding gains (losses) on securities arising during the period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3"/>
                <w:szCs w:val="13"/>
                <w:color w:val="auto"/>
              </w:rPr>
            </w:pPr>
          </w:p>
        </w:tc>
        <w:tc>
          <w:tcPr>
            <w:tcW w:w="760" w:type="dxa"/>
            <w:vAlign w:val="bottom"/>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tcPr>
          <w:p>
            <w:pPr>
              <w:jc w:val="right"/>
              <w:ind w:right="3"/>
              <w:spacing w:after="0"/>
              <w:rPr>
                <w:sz w:val="20"/>
                <w:szCs w:val="20"/>
                <w:color w:val="auto"/>
              </w:rPr>
            </w:pPr>
            <w:r>
              <w:rPr>
                <w:rFonts w:ascii="Arial" w:cs="Arial" w:eastAsia="Arial" w:hAnsi="Arial"/>
                <w:sz w:val="11"/>
                <w:szCs w:val="11"/>
                <w:color w:val="auto"/>
                <w:w w:val="97"/>
              </w:rPr>
              <w:t>176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Reclassification adjustment for realized (gains) losses included in net earnings (*)</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380"/>
              <w:spacing w:after="0"/>
              <w:rPr>
                <w:sz w:val="20"/>
                <w:szCs w:val="20"/>
                <w:color w:val="auto"/>
              </w:rPr>
            </w:pPr>
            <w:r>
              <w:rPr>
                <w:rFonts w:ascii="Arial" w:cs="Arial" w:eastAsia="Arial" w:hAnsi="Arial"/>
                <w:sz w:val="12"/>
                <w:szCs w:val="12"/>
                <w:color w:val="auto"/>
              </w:rPr>
              <w:t>Total net unrealized gains (losses) on securities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w w:val="97"/>
              </w:rPr>
              <w:t>210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unrealized gains (losses) on cash flow hedges: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2"/>
                <w:szCs w:val="12"/>
                <w:color w:val="auto"/>
              </w:rPr>
              <w:t>Unrealized holding gains (losses) on cash flow hedges arising during the period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Reclassification adjustment for investment income included in net earnings (*)</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380"/>
              <w:spacing w:after="0"/>
              <w:rPr>
                <w:sz w:val="20"/>
                <w:szCs w:val="20"/>
                <w:color w:val="auto"/>
              </w:rPr>
            </w:pPr>
            <w:r>
              <w:rPr>
                <w:rFonts w:ascii="Arial" w:cs="Arial" w:eastAsia="Arial" w:hAnsi="Arial"/>
                <w:sz w:val="12"/>
                <w:szCs w:val="12"/>
                <w:color w:val="auto"/>
              </w:rPr>
              <w:t>Total net unrealized gains (losses) on cash flow hedges</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translation adjustments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2"/>
                <w:szCs w:val="12"/>
                <w:color w:val="auto"/>
              </w:rPr>
              <w:t>Pension and other postretirement plan adjustments</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224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reclassification adjustments affected the following lines in AFG’s Statement of Earnings:</w:t>
      </w:r>
    </w:p>
    <w:p>
      <w:pPr>
        <w:sectPr>
          <w:pgSz w:w="11900" w:h="16838" w:orient="portrait"/>
          <w:cols w:equalWidth="0" w:num="1">
            <w:col w:w="11280"/>
          </w:cols>
          <w:pgMar w:left="300" w:top="121" w:right="319" w:bottom="1440" w:gutter="0" w:footer="0" w:header="0"/>
        </w:sectPr>
      </w:pPr>
    </w:p>
    <w:p>
      <w:pPr>
        <w:spacing w:after="0" w:line="9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15875</wp:posOffset>
            </wp:positionV>
            <wp:extent cx="316674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Pretax - Net unrealized gains (losses) on securities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Pretax - Net unrealized gains (losses) on cash flow hedges</w:t>
      </w:r>
    </w:p>
    <w:p>
      <w:pPr>
        <w:spacing w:after="0" w:line="21" w:lineRule="exact"/>
        <w:rPr>
          <w:sz w:val="20"/>
          <w:szCs w:val="20"/>
          <w:color w:val="auto"/>
        </w:rPr>
      </w:pPr>
    </w:p>
    <w:p>
      <w:pPr>
        <w:ind w:left="520" w:right="80"/>
        <w:spacing w:after="0" w:line="312" w:lineRule="auto"/>
        <w:rPr>
          <w:sz w:val="20"/>
          <w:szCs w:val="20"/>
          <w:color w:val="auto"/>
        </w:rPr>
      </w:pPr>
      <w:r>
        <w:rPr>
          <w:rFonts w:ascii="Arial" w:cs="Arial" w:eastAsia="Arial" w:hAnsi="Arial"/>
          <w:sz w:val="12"/>
          <w:szCs w:val="12"/>
          <w:color w:val="auto"/>
        </w:rPr>
        <w:t>Pretax - Net unrealized gains (losses) on pension and other postretirement plans Tax</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340931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Realized gains (losses) on securities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Net investment income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Other expenses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Provision for income taxes</w:t>
      </w:r>
    </w:p>
    <w:p>
      <w:pPr>
        <w:spacing w:after="0" w:line="261" w:lineRule="exact"/>
        <w:rPr>
          <w:sz w:val="20"/>
          <w:szCs w:val="20"/>
          <w:color w:val="auto"/>
        </w:rPr>
      </w:pPr>
    </w:p>
    <w:p>
      <w:pPr>
        <w:sectPr>
          <w:pgSz w:w="11900" w:h="16838" w:orient="portrait"/>
          <w:cols w:equalWidth="0" w:num="2">
            <w:col w:w="4880" w:space="720"/>
            <w:col w:w="5680"/>
          </w:cols>
          <w:pgMar w:left="300" w:top="121" w:right="31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35" w:lineRule="exact"/>
        <w:rPr>
          <w:sz w:val="20"/>
          <w:szCs w:val="20"/>
          <w:color w:val="auto"/>
        </w:rPr>
      </w:pPr>
    </w:p>
    <w:p>
      <w:pPr>
        <w:ind w:left="460" w:hanging="455"/>
        <w:spacing w:after="0"/>
        <w:tabs>
          <w:tab w:leader="none" w:pos="460" w:val="left"/>
        </w:tabs>
        <w:numPr>
          <w:ilvl w:val="0"/>
          <w:numId w:val="51"/>
        </w:numPr>
        <w:rPr>
          <w:rFonts w:ascii="Arial" w:cs="Arial" w:eastAsia="Arial" w:hAnsi="Arial"/>
          <w:sz w:val="23"/>
          <w:szCs w:val="23"/>
          <w:b w:val="1"/>
          <w:bCs w:val="1"/>
          <w:color w:val="00274E"/>
        </w:rPr>
      </w:pPr>
      <w:r>
        <w:rPr>
          <w:rFonts w:ascii="Arial" w:cs="Arial" w:eastAsia="Arial" w:hAnsi="Arial"/>
          <w:sz w:val="23"/>
          <w:szCs w:val="23"/>
          <w:b w:val="1"/>
          <w:bCs w:val="1"/>
          <w:color w:val="00274E"/>
        </w:rPr>
        <w:t>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income taxes at the statutory rate of 21% to the provision for income taxes as shown in AFG’s Statement of Earnings (dollars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2025</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2024</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1"/>
                <w:szCs w:val="11"/>
                <w:color w:val="auto"/>
                <w:w w:val="97"/>
              </w:rPr>
              <w:t>2023</w:t>
            </w:r>
          </w:p>
        </w:tc>
      </w:tr>
      <w:tr>
        <w:trPr>
          <w:trHeight w:val="150"/>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color w:val="auto"/>
              </w:rPr>
              <w:t>Amount</w:t>
            </w:r>
          </w:p>
        </w:tc>
        <w:tc>
          <w:tcPr>
            <w:tcW w:w="840" w:type="dxa"/>
            <w:vAlign w:val="bottom"/>
            <w:gridSpan w:val="2"/>
          </w:tcPr>
          <w:p>
            <w:pPr>
              <w:ind w:left="60"/>
              <w:spacing w:after="0"/>
              <w:rPr>
                <w:sz w:val="20"/>
                <w:szCs w:val="20"/>
                <w:color w:val="auto"/>
              </w:rPr>
            </w:pPr>
            <w:r>
              <w:rPr>
                <w:rFonts w:ascii="Arial" w:cs="Arial" w:eastAsia="Arial" w:hAnsi="Arial"/>
                <w:sz w:val="11"/>
                <w:szCs w:val="11"/>
                <w:color w:val="auto"/>
              </w:rPr>
              <w:t>% of EBT</w:t>
            </w:r>
          </w:p>
        </w:tc>
        <w:tc>
          <w:tcPr>
            <w:tcW w:w="160" w:type="dxa"/>
            <w:vAlign w:val="bottom"/>
          </w:tcPr>
          <w:p>
            <w:pPr>
              <w:spacing w:after="0"/>
              <w:rPr>
                <w:sz w:val="13"/>
                <w:szCs w:val="13"/>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1"/>
                <w:szCs w:val="11"/>
                <w:color w:val="auto"/>
              </w:rPr>
              <w:t>Amount</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rPr>
              <w:t>% of EBT</w:t>
            </w:r>
          </w:p>
        </w:tc>
        <w:tc>
          <w:tcPr>
            <w:tcW w:w="16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1"/>
                <w:szCs w:val="1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Arial" w:cs="Arial" w:eastAsia="Arial" w:hAnsi="Arial"/>
                <w:sz w:val="11"/>
                <w:szCs w:val="11"/>
                <w:color w:val="auto"/>
              </w:rPr>
              <w:t>% of EBT</w:t>
            </w:r>
          </w:p>
        </w:tc>
      </w:tr>
      <w:tr>
        <w:trPr>
          <w:trHeight w:val="189"/>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 (“EBT”)</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11"/>
        </w:trPr>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at statutory rate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5520" w:type="dxa"/>
            <w:vAlign w:val="bottom"/>
          </w:tcPr>
          <w:p>
            <w:pPr>
              <w:ind w:left="20"/>
              <w:spacing w:after="0"/>
              <w:rPr>
                <w:sz w:val="20"/>
                <w:szCs w:val="20"/>
                <w:color w:val="auto"/>
              </w:rPr>
            </w:pPr>
            <w:r>
              <w:rPr>
                <w:rFonts w:ascii="Arial" w:cs="Arial" w:eastAsia="Arial" w:hAnsi="Arial"/>
                <w:sz w:val="13"/>
                <w:szCs w:val="13"/>
                <w:color w:val="auto"/>
              </w:rPr>
              <w:t>Effect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 and local income taxes, net of federal income tax effect (*)</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5520" w:type="dxa"/>
            <w:vAlign w:val="bottom"/>
          </w:tcPr>
          <w:p>
            <w:pPr>
              <w:ind w:left="100"/>
              <w:spacing w:after="0"/>
              <w:rPr>
                <w:sz w:val="20"/>
                <w:szCs w:val="20"/>
                <w:color w:val="auto"/>
              </w:rPr>
            </w:pPr>
            <w:r>
              <w:rPr>
                <w:rFonts w:ascii="Arial" w:cs="Arial" w:eastAsia="Arial" w:hAnsi="Arial"/>
                <w:sz w:val="13"/>
                <w:szCs w:val="13"/>
                <w:color w:val="auto"/>
              </w:rPr>
              <w:t>Foreign tax effects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in tax laws or rates enacted in the current period</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520" w:type="dxa"/>
            <w:vAlign w:val="bottom"/>
          </w:tcPr>
          <w:p>
            <w:pPr>
              <w:ind w:left="100"/>
              <w:spacing w:after="0"/>
              <w:rPr>
                <w:sz w:val="20"/>
                <w:szCs w:val="20"/>
                <w:color w:val="auto"/>
              </w:rPr>
            </w:pPr>
            <w:r>
              <w:rPr>
                <w:rFonts w:ascii="Arial" w:cs="Arial" w:eastAsia="Arial" w:hAnsi="Arial"/>
                <w:sz w:val="13"/>
                <w:szCs w:val="13"/>
                <w:color w:val="auto"/>
              </w:rPr>
              <w:t>Cross-border tax laws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tax credits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520" w:type="dxa"/>
            <w:vAlign w:val="bottom"/>
          </w:tcPr>
          <w:p>
            <w:pPr>
              <w:ind w:left="100"/>
              <w:spacing w:after="0"/>
              <w:rPr>
                <w:sz w:val="20"/>
                <w:szCs w:val="20"/>
                <w:color w:val="auto"/>
              </w:rPr>
            </w:pPr>
            <w:r>
              <w:rPr>
                <w:rFonts w:ascii="Arial" w:cs="Arial" w:eastAsia="Arial" w:hAnsi="Arial"/>
                <w:sz w:val="13"/>
                <w:szCs w:val="13"/>
                <w:color w:val="auto"/>
              </w:rPr>
              <w:t>Changes in valuation allowance</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 of nontaxable or nondeductible items: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5520" w:type="dxa"/>
            <w:vAlign w:val="bottom"/>
          </w:tcPr>
          <w:p>
            <w:pPr>
              <w:ind w:left="280"/>
              <w:spacing w:after="0"/>
              <w:rPr>
                <w:sz w:val="20"/>
                <w:szCs w:val="20"/>
                <w:color w:val="auto"/>
              </w:rPr>
            </w:pPr>
            <w:r>
              <w:rPr>
                <w:rFonts w:ascii="Arial" w:cs="Arial" w:eastAsia="Arial" w:hAnsi="Arial"/>
                <w:sz w:val="13"/>
                <w:szCs w:val="13"/>
                <w:color w:val="auto"/>
              </w:rPr>
              <w:t>Tax preference investments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5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520" w:type="dxa"/>
            <w:vAlign w:val="bottom"/>
          </w:tcPr>
          <w:p>
            <w:pPr>
              <w:ind w:left="100"/>
              <w:spacing w:after="0"/>
              <w:rPr>
                <w:sz w:val="20"/>
                <w:szCs w:val="20"/>
                <w:color w:val="auto"/>
              </w:rPr>
            </w:pPr>
            <w:r>
              <w:rPr>
                <w:rFonts w:ascii="Arial" w:cs="Arial" w:eastAsia="Arial" w:hAnsi="Arial"/>
                <w:sz w:val="13"/>
                <w:szCs w:val="13"/>
                <w:color w:val="auto"/>
              </w:rPr>
              <w:t>Changes in unrecognized income tax benefits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adjustments</w:t>
            </w: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Provision for income taxes as shown in the statement of earnings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221</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21%</w:t>
            </w: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right="60" w:hanging="315"/>
        <w:spacing w:after="0" w:line="314" w:lineRule="auto"/>
        <w:tabs>
          <w:tab w:leader="none" w:pos="313" w:val="left"/>
        </w:tabs>
        <w:numPr>
          <w:ilvl w:val="0"/>
          <w:numId w:val="52"/>
        </w:numPr>
        <w:rPr>
          <w:rFonts w:ascii="Arial" w:cs="Arial" w:eastAsia="Arial" w:hAnsi="Arial"/>
          <w:sz w:val="13"/>
          <w:szCs w:val="13"/>
          <w:color w:val="auto"/>
        </w:rPr>
      </w:pPr>
      <w:r>
        <w:rPr>
          <w:rFonts w:ascii="Arial" w:cs="Arial" w:eastAsia="Arial" w:hAnsi="Arial"/>
          <w:sz w:val="13"/>
          <w:szCs w:val="13"/>
          <w:color w:val="auto"/>
        </w:rPr>
        <w:t>State taxes in California and Florida represent the majority (greater than 50%) of the state and local net tax effect in 2025. State taxes in Florida and Illinois represent the majority of the state and local net tax effect in both 2024 and 2023.</w:t>
      </w:r>
    </w:p>
    <w:p>
      <w:pPr>
        <w:spacing w:after="0" w:line="129"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In 2025, AFG recorded $7 million in net tax expense related to a pending state income tax examination regarding the sale of a subsidiary in a prior year. In 2024, AFG recorded $4 million in net tax expense related to a pending IRS settlement regarding the sale of a different subsidiary in a prior year.</w:t>
      </w:r>
    </w:p>
    <w:p>
      <w:pPr>
        <w:spacing w:after="0" w:line="139"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auto"/>
        </w:rPr>
        <w:t>The One Big Beautiful Bill Act (enacted on July 4, 2025), among other things, extends many of the federal tax provisions of the 2017 Tax Cuts and Jobs Act and contains provisions that accelerate the timing of certain tax deductions with an offsetting impact to deferred taxes and no impact on total income tax expense. Management does not expect the tax provisions of the bill to be material to AFG’s results of operations in future periods.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federal excise tax on stock repurchases (in excess of any issuances) is recorded as part of the cost of the repurchases directly in shareholders’ equity.</w:t>
      </w:r>
    </w:p>
    <w:p>
      <w:pPr>
        <w:spacing w:after="0" w:line="201"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The Organisation for Economic Co-operation and Development (“OECD”) proposed a global minimum corporate tax rate of 15%, commonly referred to as Pillar Two. Due to AFG’s limited international operations, management does not believe Pillar Two will have a material impact on AFG’s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AFG’s 2014 — 2018 and 2021 — 2025 tax years remain subject to examination by the IRS.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highlights the portion of AFG’s earnings before income taxes that is subject to income taxes outside the United States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only</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 jurisdictions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earnings before income taxes</w:t>
            </w:r>
          </w:p>
        </w:tc>
        <w:tc>
          <w:tcPr>
            <w:tcW w:w="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total income tax provision consists of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2023</w:t>
            </w:r>
          </w:p>
        </w:tc>
        <w:tc>
          <w:tcPr>
            <w:tcW w:w="380" w:type="dxa"/>
            <w:vAlign w:val="bottom"/>
            <w:tcBorders>
              <w:bottom w:val="single" w:sz="8" w:color="auto"/>
            </w:tcBorders>
          </w:tcPr>
          <w:p>
            <w:pPr>
              <w:spacing w:after="0"/>
              <w:rPr>
                <w:sz w:val="13"/>
                <w:szCs w:val="13"/>
                <w:color w:val="auto"/>
              </w:rPr>
            </w:pP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w:t>
            </w: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U.S. federal</w:t>
            </w:r>
          </w:p>
        </w:tc>
        <w:tc>
          <w:tcPr>
            <w:tcW w:w="860" w:type="dxa"/>
            <w:vAlign w:val="bottom"/>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169</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U.S. state and local</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Foreign</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6</w:t>
            </w:r>
          </w:p>
        </w:tc>
      </w:tr>
      <w:tr>
        <w:trPr>
          <w:trHeight w:val="162"/>
        </w:trPr>
        <w:tc>
          <w:tcPr>
            <w:tcW w:w="75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current tax expense</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184</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Deferred taxes: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U.S. federal</w:t>
            </w:r>
          </w:p>
        </w:tc>
        <w:tc>
          <w:tcPr>
            <w:tcW w:w="8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w:t>
            </w:r>
          </w:p>
        </w:tc>
      </w:tr>
      <w:tr>
        <w:trPr>
          <w:trHeight w:val="159"/>
        </w:trPr>
        <w:tc>
          <w:tcPr>
            <w:tcW w:w="7520" w:type="dxa"/>
            <w:vAlign w:val="bottom"/>
          </w:tcPr>
          <w:p>
            <w:pPr>
              <w:ind w:left="440"/>
              <w:spacing w:after="0"/>
              <w:rPr>
                <w:sz w:val="20"/>
                <w:szCs w:val="20"/>
                <w:color w:val="auto"/>
              </w:rPr>
            </w:pPr>
            <w:r>
              <w:rPr>
                <w:rFonts w:ascii="Arial" w:cs="Arial" w:eastAsia="Arial" w:hAnsi="Arial"/>
                <w:sz w:val="13"/>
                <w:szCs w:val="13"/>
                <w:color w:val="auto"/>
              </w:rPr>
              <w:t>Total deferred tax expense</w:t>
            </w:r>
          </w:p>
        </w:tc>
        <w:tc>
          <w:tcPr>
            <w:tcW w:w="8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37</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income tax provision:</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U.S. federal</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206</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U.S. state and local</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Foreign</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6</w:t>
            </w:r>
          </w:p>
        </w:tc>
      </w:tr>
      <w:tr>
        <w:trPr>
          <w:trHeight w:val="187"/>
        </w:trPr>
        <w:tc>
          <w:tcPr>
            <w:tcW w:w="7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 income tax provision</w:t>
            </w:r>
          </w:p>
        </w:tc>
        <w:tc>
          <w:tcPr>
            <w:tcW w:w="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386"/>
        </w:trPr>
        <w:tc>
          <w:tcPr>
            <w:tcW w:w="8380" w:type="dxa"/>
            <w:vAlign w:val="bottom"/>
            <w:gridSpan w:val="2"/>
          </w:tcPr>
          <w:p>
            <w:pPr>
              <w:spacing w:after="0"/>
              <w:rPr>
                <w:sz w:val="20"/>
                <w:szCs w:val="20"/>
                <w:color w:val="auto"/>
              </w:rPr>
            </w:pPr>
            <w:r>
              <w:rPr>
                <w:rFonts w:ascii="Arial" w:cs="Arial" w:eastAsia="Arial" w:hAnsi="Arial"/>
                <w:sz w:val="13"/>
                <w:szCs w:val="13"/>
                <w:color w:val="auto"/>
              </w:rPr>
              <w:t>For income tax purposes, AFG and its subsidiaries had the following carryforwards available at December 31, 2025 (in millions):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Expiring</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Amount</w:t>
            </w:r>
          </w:p>
        </w:tc>
        <w:tc>
          <w:tcPr>
            <w:tcW w:w="380" w:type="dxa"/>
            <w:vAlign w:val="bottom"/>
            <w:tcBorders>
              <w:bottom w:val="single" w:sz="8" w:color="CCEEFF"/>
            </w:tcBorders>
          </w:tcPr>
          <w:p>
            <w:pPr>
              <w:spacing w:after="0"/>
              <w:rPr>
                <w:sz w:val="22"/>
                <w:szCs w:val="22"/>
                <w:color w:val="auto"/>
              </w:rPr>
            </w:pPr>
          </w:p>
        </w:tc>
      </w:tr>
      <w:tr>
        <w:trPr>
          <w:trHeight w:val="16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Loss – U.S.</w:t>
            </w:r>
          </w:p>
        </w:tc>
        <w:tc>
          <w:tcPr>
            <w:tcW w:w="86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2041 - 2045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spacing w:after="0"/>
              <w:rPr>
                <w:sz w:val="14"/>
                <w:szCs w:val="14"/>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Operating Loss – U.S.</w:t>
            </w:r>
          </w:p>
        </w:tc>
        <w:tc>
          <w:tcPr>
            <w:tcW w:w="8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indefinite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23</w:t>
            </w:r>
          </w:p>
        </w:tc>
        <w:tc>
          <w:tcPr>
            <w:tcW w:w="380" w:type="dxa"/>
            <w:vAlign w:val="bottom"/>
          </w:tcPr>
          <w:p>
            <w:pPr>
              <w:spacing w:after="0"/>
              <w:rPr>
                <w:sz w:val="14"/>
                <w:szCs w:val="14"/>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Loss – United Kingdom</w:t>
            </w:r>
          </w:p>
        </w:tc>
        <w:tc>
          <w:tcPr>
            <w:tcW w:w="86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indefinite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36 (*)</w:t>
            </w:r>
          </w:p>
        </w:tc>
      </w:tr>
    </w:tbl>
    <w:p>
      <w:pPr>
        <w:spacing w:after="0" w:line="11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w:t>
        <w:tab/>
        <w:t>£27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Deferred income tax assets and liabilities reflect temporary differences between the carrying amounts of assets and liabilities recognized for financial reporting purposes and the amounts recognized for tax purposes. The significant components of deferred tax assets and liabilities included in AFG’s Balance Sheet at December 31 were as follows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color w:val="auto"/>
              </w:rPr>
              <w:t>2024</w:t>
            </w:r>
          </w:p>
        </w:tc>
      </w:tr>
      <w:tr>
        <w:trPr>
          <w:trHeight w:val="153"/>
        </w:trPr>
        <w:tc>
          <w:tcPr>
            <w:tcW w:w="9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Federal net operating loss carryforwards</w:t>
            </w:r>
          </w:p>
        </w:tc>
        <w:tc>
          <w:tcPr>
            <w:tcW w:w="580" w:type="dxa"/>
            <w:vAlign w:val="bottom"/>
          </w:tcPr>
          <w:p>
            <w:pPr>
              <w:jc w:val="right"/>
              <w:ind w:right="439"/>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underwriting losses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Insurance claims and reserves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 benefits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Lease liabilities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5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9"/>
        </w:trPr>
        <w:tc>
          <w:tcPr>
            <w:tcW w:w="9360" w:type="dxa"/>
            <w:vAlign w:val="bottom"/>
          </w:tcPr>
          <w:p>
            <w:pPr>
              <w:ind w:left="520"/>
              <w:spacing w:after="0"/>
              <w:rPr>
                <w:sz w:val="20"/>
                <w:szCs w:val="20"/>
                <w:color w:val="auto"/>
              </w:rPr>
            </w:pPr>
            <w:r>
              <w:rPr>
                <w:rFonts w:ascii="Arial" w:cs="Arial" w:eastAsia="Arial" w:hAnsi="Arial"/>
                <w:sz w:val="13"/>
                <w:szCs w:val="13"/>
                <w:color w:val="auto"/>
              </w:rPr>
              <w:t>Total deferred tax assets before valuation allowance</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474</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 against deferred tax assets</w:t>
            </w:r>
          </w:p>
        </w:tc>
        <w:tc>
          <w:tcPr>
            <w:tcW w:w="5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9"/>
        </w:trPr>
        <w:tc>
          <w:tcPr>
            <w:tcW w:w="9360" w:type="dxa"/>
            <w:vAlign w:val="bottom"/>
          </w:tcPr>
          <w:p>
            <w:pPr>
              <w:ind w:left="520"/>
              <w:spacing w:after="0"/>
              <w:rPr>
                <w:sz w:val="20"/>
                <w:szCs w:val="20"/>
                <w:color w:val="auto"/>
              </w:rPr>
            </w:pPr>
            <w:r>
              <w:rPr>
                <w:rFonts w:ascii="Arial" w:cs="Arial" w:eastAsia="Arial" w:hAnsi="Arial"/>
                <w:sz w:val="13"/>
                <w:szCs w:val="13"/>
                <w:color w:val="auto"/>
              </w:rPr>
              <w:t>Total deferred tax assets</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463</w:t>
            </w:r>
          </w:p>
        </w:tc>
      </w:tr>
      <w:tr>
        <w:trPr>
          <w:trHeight w:val="171"/>
        </w:trPr>
        <w:tc>
          <w:tcPr>
            <w:tcW w:w="9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Investment securities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(233)</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policy acquisition costs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9"/>
        </w:trPr>
        <w:tc>
          <w:tcPr>
            <w:tcW w:w="9360" w:type="dxa"/>
            <w:vAlign w:val="bottom"/>
          </w:tcPr>
          <w:p>
            <w:pPr>
              <w:ind w:left="280"/>
              <w:spacing w:after="0"/>
              <w:rPr>
                <w:sz w:val="20"/>
                <w:szCs w:val="20"/>
                <w:color w:val="auto"/>
              </w:rPr>
            </w:pPr>
            <w:r>
              <w:rPr>
                <w:rFonts w:ascii="Arial" w:cs="Arial" w:eastAsia="Arial" w:hAnsi="Arial"/>
                <w:sz w:val="13"/>
                <w:szCs w:val="13"/>
                <w:color w:val="auto"/>
              </w:rPr>
              <w:t>Insurance claims and reserves transition liability</w:t>
            </w:r>
          </w:p>
        </w:tc>
        <w:tc>
          <w:tcPr>
            <w:tcW w:w="5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right of use assets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Real estate, property and equipment</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0"/>
        </w:trPr>
        <w:tc>
          <w:tcPr>
            <w:tcW w:w="93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deferred tax liabilities</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(479)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62"/>
        </w:trPr>
        <w:tc>
          <w:tcPr>
            <w:tcW w:w="9360" w:type="dxa"/>
            <w:vAlign w:val="bottom"/>
          </w:tcPr>
          <w:p>
            <w:pPr>
              <w:ind w:left="20"/>
              <w:spacing w:after="0"/>
              <w:rPr>
                <w:sz w:val="20"/>
                <w:szCs w:val="20"/>
                <w:color w:val="auto"/>
              </w:rPr>
            </w:pPr>
            <w:r>
              <w:rPr>
                <w:rFonts w:ascii="Arial" w:cs="Arial" w:eastAsia="Arial" w:hAnsi="Arial"/>
                <w:sz w:val="13"/>
                <w:szCs w:val="13"/>
                <w:color w:val="auto"/>
              </w:rPr>
              <w:t>Net deferred tax asset</w:t>
            </w:r>
          </w:p>
        </w:tc>
        <w:tc>
          <w:tcPr>
            <w:tcW w:w="58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20"/>
        </w:trPr>
        <w:tc>
          <w:tcPr>
            <w:tcW w:w="9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AFG’s net deferred tax asset at December 31, 2025 and 2024 is included in other assets in AFG’s Balance Sheet. The decrease in AFG’s net deferred tax asset at December 31, 2025 compared to December 31, 2024 reflects lower net unrealized losses on fixed maturities and the increase in fair value of equity securities and carrying value of limited partnership investments still owned.</w:t>
      </w:r>
    </w:p>
    <w:p>
      <w:pPr>
        <w:spacing w:after="0" w:line="153"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The likelihood of realizing deferred tax assets is reviewed periodically. Any adjustments required to the valuation allowance are made in the period during which developments requiring an adjustment become known.</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At December 31, 2025, there are unrecognized tax benefits and related interest and penalties of $3 million (all related to penalties) that, if recognized, would impact the effective tax rate. At December 31, 2024, there were no unrecognized tax benefits or related interest and penalties. There were unrecognized tax benefits and related interest and penalties of less than $1 million at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Cash payments for income taxes, net of refunds, were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2025</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federal</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U.S. state and local</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7520" w:type="dxa"/>
            <w:vAlign w:val="bottom"/>
          </w:tcPr>
          <w:p>
            <w:pPr>
              <w:ind w:left="100"/>
              <w:spacing w:after="0"/>
              <w:rPr>
                <w:sz w:val="20"/>
                <w:szCs w:val="20"/>
                <w:color w:val="auto"/>
              </w:rPr>
            </w:pPr>
            <w:r>
              <w:rPr>
                <w:rFonts w:ascii="Arial" w:cs="Arial" w:eastAsia="Arial" w:hAnsi="Arial"/>
                <w:sz w:val="13"/>
                <w:szCs w:val="13"/>
                <w:color w:val="auto"/>
              </w:rPr>
              <w:t>Total cash payments for income taxes, net of refunds</w:t>
            </w: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r>
      <w:tr>
        <w:trPr>
          <w:trHeight w:val="20"/>
        </w:trPr>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23"/>
          <w:szCs w:val="23"/>
          <w:b w:val="1"/>
          <w:bCs w:val="1"/>
          <w:color w:val="00274E"/>
        </w:rPr>
      </w:pPr>
      <w:r>
        <w:rPr>
          <w:rFonts w:ascii="Arial" w:cs="Arial" w:eastAsia="Arial" w:hAnsi="Arial"/>
          <w:sz w:val="23"/>
          <w:szCs w:val="23"/>
          <w:b w:val="1"/>
          <w:bCs w:val="1"/>
          <w:color w:val="00274E"/>
        </w:rPr>
        <w:t>Contingencies</w:t>
      </w:r>
    </w:p>
    <w:p>
      <w:pPr>
        <w:spacing w:after="0" w:line="200"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Accruals (included in other liabilities) have been recorded for various environmental and occupational injury and disease claims and other contingencies arising out of the railroad operations disposed of by Penn Central Transportation Company (“PCTC”), the predecessor to APU Consolidated, Inc. (including its subsidiaries, “APU”) prior to PCTC’s bankruptcy reorganization in 1978, and certain manufacturing operations disposed of by APU and Great American Financial Resources, Inc. (“GAFRI”).</w:t>
      </w:r>
    </w:p>
    <w:p>
      <w:pPr>
        <w:spacing w:after="0" w:line="148"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At December 31, 2025, APU had liabilities for environmental and personal injury claims and other contingencies aggregating $101 million. The environmental claims consist of a number of proceedings and claims seeking to impose responsibility for hazardous waste remediation costs related to certain sites formerly owned or operated by the railroad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and manufacturing operations. Remediation costs are difficult to estimate for a number of reasons, including the number and financial resources of other potentially responsible parties, the range of costs for remediation alternatives, changing technology and the time period over which these matters develop. The personal injury claims and other contingencies include pending and expected claims, primarily by former employees of PCTC, for injury or disease allegedly caused by exposure to excessive noise, asbestos or other substances in the workplace and other labor disputes. At December 31, 2025, GAFRI had a liability of $8 million for environmental costs and certain other matters associated with the sales of its former manufacturing operations.</w:t>
      </w:r>
    </w:p>
    <w:p>
      <w:pPr>
        <w:spacing w:after="0" w:line="15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AFG completed in-depth internal reviews of its asbestos and environmental (“A&amp;E”) reserves in the third quarters of 2025, 2024 and 2023. The 2025, 2024 and 2023 internal reviews resulted in pretax special A&amp;E charges of $25 million, $14 million and $15 million, respectively, for the former railroad and manufacturing operations.</w:t>
      </w:r>
    </w:p>
    <w:p>
      <w:pPr>
        <w:spacing w:after="0" w:line="139"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Establishing property and casualty insurance reserves for claims related to environmental exposures, asbestos and other mass tort claims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The property and casualty group’s liability (included in unpaid losses and loss adjustment expenses) for A&amp;E reserves was $460 million at December 31, 2025; related recoverables from reinsurers (net of allowances) at that date were $113 million.</w:t>
      </w:r>
    </w:p>
    <w:p>
      <w:pPr>
        <w:spacing w:after="0" w:line="15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While management believes AFG has recorded adequate reserves for the items discussed above, the outcome is uncertain and could result in liabilities that may vary from amounts AFG has currently recorded. Such amounts could have a material effect on AFG’s future results of operations and financial condition.</w:t>
      </w:r>
    </w:p>
    <w:p>
      <w:pPr>
        <w:spacing w:after="0" w:line="139" w:lineRule="exact"/>
        <w:rPr>
          <w:sz w:val="20"/>
          <w:szCs w:val="20"/>
          <w:color w:val="auto"/>
        </w:rPr>
      </w:pPr>
    </w:p>
    <w:p>
      <w:pPr>
        <w:jc w:val="both"/>
        <w:ind w:right="220"/>
        <w:spacing w:after="0" w:line="284" w:lineRule="auto"/>
        <w:rPr>
          <w:sz w:val="20"/>
          <w:szCs w:val="20"/>
          <w:color w:val="auto"/>
        </w:rPr>
      </w:pPr>
      <w:r>
        <w:rPr>
          <w:rFonts w:ascii="Arial" w:cs="Arial" w:eastAsia="Arial" w:hAnsi="Arial"/>
          <w:sz w:val="13"/>
          <w:szCs w:val="13"/>
          <w:color w:val="auto"/>
        </w:rPr>
        <w:t>In addition, 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None of these matters are expected to have a material adverse impact on AFG’s results of operations or financial condition.</w:t>
      </w:r>
    </w:p>
    <w:p>
      <w:pPr>
        <w:spacing w:after="0" w:line="140" w:lineRule="exact"/>
        <w:rPr>
          <w:sz w:val="20"/>
          <w:szCs w:val="20"/>
          <w:color w:val="auto"/>
        </w:rPr>
      </w:pPr>
    </w:p>
    <w:p>
      <w:pPr>
        <w:ind w:left="480" w:hanging="475"/>
        <w:spacing w:after="0"/>
        <w:tabs>
          <w:tab w:leader="none" w:pos="480" w:val="left"/>
        </w:tabs>
        <w:numPr>
          <w:ilvl w:val="0"/>
          <w:numId w:val="54"/>
        </w:numPr>
        <w:rPr>
          <w:rFonts w:ascii="Arial" w:cs="Arial" w:eastAsia="Arial" w:hAnsi="Arial"/>
          <w:sz w:val="23"/>
          <w:szCs w:val="23"/>
          <w:b w:val="1"/>
          <w:bCs w:val="1"/>
          <w:color w:val="00274E"/>
        </w:rPr>
      </w:pPr>
      <w:r>
        <w:rPr>
          <w:rFonts w:ascii="Arial" w:cs="Arial" w:eastAsia="Arial" w:hAnsi="Arial"/>
          <w:sz w:val="23"/>
          <w:szCs w:val="23"/>
          <w:b w:val="1"/>
          <w:bCs w:val="1"/>
          <w:color w:val="00274E"/>
        </w:rPr>
        <w:t>Insurance</w:t>
      </w:r>
    </w:p>
    <w:p>
      <w:pPr>
        <w:spacing w:after="0" w:line="198" w:lineRule="exact"/>
        <w:rPr>
          <w:sz w:val="20"/>
          <w:szCs w:val="20"/>
          <w:color w:val="auto"/>
        </w:rPr>
      </w:pPr>
    </w:p>
    <w:p>
      <w:pPr>
        <w:jc w:val="both"/>
        <w:ind w:right="180"/>
        <w:spacing w:after="0"/>
        <w:rPr>
          <w:sz w:val="20"/>
          <w:szCs w:val="20"/>
          <w:color w:val="auto"/>
        </w:rPr>
      </w:pPr>
      <w:r>
        <w:rPr>
          <w:rFonts w:ascii="Arial" w:cs="Arial" w:eastAsia="Arial" w:hAnsi="Arial"/>
          <w:sz w:val="16"/>
          <w:szCs w:val="16"/>
          <w:b w:val="1"/>
          <w:bCs w:val="1"/>
          <w:color w:val="00274E"/>
        </w:rPr>
        <w:t xml:space="preserve">Insurance Reserves </w:t>
      </w:r>
      <w:r>
        <w:rPr>
          <w:rFonts w:ascii="Arial" w:cs="Arial" w:eastAsia="Arial" w:hAnsi="Arial"/>
          <w:sz w:val="13"/>
          <w:szCs w:val="13"/>
          <w:color w:val="000000"/>
        </w:rPr>
        <w:t>Estimating the liability for unpaid losses and loss adjustment expenses (“LAE”) is inherently judgmental and is influenced by factors that are subject to significant</w:t>
      </w:r>
      <w:r>
        <w:rPr>
          <w:rFonts w:ascii="Arial" w:cs="Arial" w:eastAsia="Arial" w:hAnsi="Arial"/>
          <w:sz w:val="16"/>
          <w:szCs w:val="16"/>
          <w:b w:val="1"/>
          <w:bCs w:val="1"/>
          <w:color w:val="00274E"/>
        </w:rPr>
        <w:t xml:space="preserve"> </w:t>
      </w:r>
      <w:r>
        <w:rPr>
          <w:rFonts w:ascii="Arial" w:cs="Arial" w:eastAsia="Arial" w:hAnsi="Arial"/>
          <w:sz w:val="13"/>
          <w:szCs w:val="13"/>
          <w:color w:val="000000"/>
        </w:rPr>
        <w:t>variation. Determining the liability is a complex process incorporating input from many areas of the Company including actuarial, underwriting, pricing, claims and operations management.</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The process used to determine the total reserve for liabilities involves estimating the ultimate incurred losses and LAE, adjusted for amounts already paid on the claims. The incurred but not reported (“IBNR”) reserve is derived by first estimating the ultimate unpaid reserve liability and subtracting case reserves for loss and LAE.</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In determining management’s best estimate of the ultimate liability, management (with the assistance of Company actuaries) considers items such as the effect of inflation on medical, hospitalization, material, repair and replacement costs, the nature and maturity of lines of insurance, general economic trends and the legal environment. In addition, historical trends adjusted for changes in underwriting standards, policy provisions, product mix and other factors are analyzed using actuarial reserve development techniques. Weighing all of the factors, the management team determines a single or “point” estimate that it records as its best estimate of the ultimate liability. Ranges of loss reserves are not developed by Company actuaries. This reserve analysis and review is completed each quarter for almost every business within AFG’s property and casualty insurance sub-segments.</w:t>
      </w:r>
    </w:p>
    <w:p>
      <w:pPr>
        <w:spacing w:after="0" w:line="172"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Each quarterly review includes in-depth analysis of several hundred subdivisions of the business, employing multiple actuarial techniques. For each subdivision, actuaries use informed, professional judgment to adjust these techniques as necessary to respond to specific conditions in the data or within the business.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Some of the standard actuarial methods employed for the quarterly reserve analysis may include (but may not be limited to):</w:t>
      </w:r>
    </w:p>
    <w:p>
      <w:pPr>
        <w:spacing w:after="0" w:line="22" w:lineRule="exact"/>
        <w:rPr>
          <w:sz w:val="20"/>
          <w:szCs w:val="20"/>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Case Incurred Development Method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Paid Development Method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Bornhuetter-Ferguson Method</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Incremental Paid LAE to Paid Loss Method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334" w:lineRule="exact"/>
        <w:rPr>
          <w:sz w:val="20"/>
          <w:szCs w:val="20"/>
          <w:color w:val="auto"/>
        </w:rPr>
      </w:pPr>
    </w:p>
    <w:p>
      <w:pPr>
        <w:jc w:val="both"/>
        <w:ind w:right="80"/>
        <w:spacing w:after="0" w:line="276" w:lineRule="auto"/>
        <w:rPr>
          <w:sz w:val="20"/>
          <w:szCs w:val="20"/>
          <w:color w:val="auto"/>
        </w:rPr>
      </w:pPr>
      <w:r>
        <w:rPr>
          <w:rFonts w:ascii="Arial" w:cs="Arial" w:eastAsia="Arial" w:hAnsi="Arial"/>
          <w:sz w:val="13"/>
          <w:szCs w:val="13"/>
          <w:color w:val="auto"/>
        </w:rPr>
        <w:t>Each method has particular strengths and weaknesses and no single estimation method is most accurate in all situations. When applied to a particular group of claims, the relative strengths and weaknesses of each method can change over time based on the facts and circumstances. Ultimately, the estimation methods chosen are those which the actuary believes produce the most reliable indication for the particular liabilities under review.</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The period of time from the event triggering a claim through the settlement of the liability is referred to as the “tail”. Generally, the same actuarial methods are considered for both short-tail and long-tail lines of business because most of them work properly for both. The methods are designed to incorporate the effects of the differing length of time to settle particular claims. For nearly all lines of business, the actuaries rely heavily on the Bornhuetter-Ferguson method for more recent accident periods. As accident years mature and the underlying claim data becomes more credible, more weight is given to the Case Incurred and Paid Development methods. This transition occurs relatively quickly for short-tailed lines, and over a number of years for long-tail lines. Liability claims for long-tail lines are more susceptible to litigation and can be significantly affected by changing contract interpretation and the legal environment. Therefore, the estimation of loss reserves for these classes is more complex and subject to a higher degree of variability.</w:t>
      </w:r>
    </w:p>
    <w:p>
      <w:pPr>
        <w:spacing w:after="0" w:line="159"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The level of detail in which data is analyzed varies among the different lines of business. Data is generally analyzed by major product or by coverage within product, using countrywide data; however, in some situations, data may be reviewed by state or region. Appropriate segmentation of the data is determined based on data credibility, homogeneity of development patterns, mix of business, and other actuarial considerations.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Supplementary statistical information is also reviewed to determine which methods are most appropriate to use or if adjustments are needed to particular methods. Such information includes:</w:t>
      </w:r>
    </w:p>
    <w:p>
      <w:pPr>
        <w:spacing w:after="0" w:line="22" w:lineRule="exact"/>
        <w:rPr>
          <w:sz w:val="20"/>
          <w:szCs w:val="20"/>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Open and closed claim counts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Average case reserves and average incurred on open claims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Closure rates and statistics related to closed and open claim percentages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Average closed claim severity</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Ultimate claim severity</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Reported loss ratios</w:t>
      </w:r>
    </w:p>
    <w:p>
      <w:pPr>
        <w:spacing w:after="0" w:line="14"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Projected ultimate loss ratios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Loss payment patterns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Within each business, results of individual methods are reviewed, supplementary statistical information is analyzed, and data from underwriting, operating and claim management are considered in deriving management’s best estimate of the ultimate liability. This estimate may be the result of one method, a weighted average of several methods, or a judgmental selection as the management team determines is appropriate.</w:t>
      </w:r>
    </w:p>
    <w:p>
      <w:pPr>
        <w:spacing w:after="0" w:line="163" w:lineRule="exact"/>
        <w:rPr>
          <w:sz w:val="20"/>
          <w:szCs w:val="20"/>
          <w:color w:val="auto"/>
        </w:rPr>
      </w:pPr>
    </w:p>
    <w:p>
      <w:pPr>
        <w:ind w:right="260"/>
        <w:spacing w:after="0" w:line="269" w:lineRule="auto"/>
        <w:rPr>
          <w:sz w:val="20"/>
          <w:szCs w:val="20"/>
          <w:color w:val="auto"/>
        </w:rPr>
      </w:pPr>
      <w:r>
        <w:rPr>
          <w:rFonts w:ascii="Arial" w:cs="Arial" w:eastAsia="Arial" w:hAnsi="Arial"/>
          <w:sz w:val="13"/>
          <w:szCs w:val="13"/>
          <w:color w:val="auto"/>
        </w:rPr>
        <w:t>The liability for losses and LAE for a very limited number of claims with long-term scheduled payments under certain workers’ compensation policies has been discounted at 4.5% at both December 31, 2025 and December 31, 2024, which represents an approximation of long-term investment yields. Because of the limited amount of claims involved, the net impact of discounting did not materially impact AFG’s total liability for unpaid losses and loss adjustment expenses (net reductions from discounting of $8 million at both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an analysis of changes in the liability for losses and loss adjustment expenses over the past three years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14,179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13,087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11,974</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reinsurance recoverables, net of allowance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3,767</w:t>
            </w:r>
          </w:p>
        </w:tc>
      </w:tr>
      <w:tr>
        <w:trPr>
          <w:trHeight w:val="16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liability at beginning of period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8,207</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Provision for losses and LAE occurring in the current year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4,469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4,256</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the provision for claims of prior years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losses and LAE incurred</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4,388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4,460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4,033</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losses and LAE of:</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80"/>
              <w:spacing w:after="0"/>
              <w:rPr>
                <w:sz w:val="20"/>
                <w:szCs w:val="20"/>
                <w:color w:val="auto"/>
              </w:rPr>
            </w:pPr>
            <w:r>
              <w:rPr>
                <w:rFonts w:ascii="Arial" w:cs="Arial" w:eastAsia="Arial" w:hAnsi="Arial"/>
                <w:sz w:val="13"/>
                <w:szCs w:val="13"/>
                <w:color w:val="auto"/>
              </w:rPr>
              <w:t>Current year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(1,330)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(1,261)</w:t>
            </w:r>
          </w:p>
        </w:tc>
      </w:tr>
      <w:tr>
        <w:trPr>
          <w:trHeight w:val="171"/>
        </w:trPr>
        <w:tc>
          <w:tcPr>
            <w:tcW w:w="7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Prior years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(2,488)</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(2,181)</w:t>
            </w:r>
          </w:p>
        </w:tc>
      </w:tr>
      <w:tr>
        <w:trPr>
          <w:trHeight w:val="159"/>
        </w:trPr>
        <w:tc>
          <w:tcPr>
            <w:tcW w:w="7520" w:type="dxa"/>
            <w:vAlign w:val="bottom"/>
          </w:tcPr>
          <w:p>
            <w:pPr>
              <w:ind w:left="360"/>
              <w:spacing w:after="0"/>
              <w:rPr>
                <w:sz w:val="20"/>
                <w:szCs w:val="20"/>
                <w:color w:val="auto"/>
              </w:rPr>
            </w:pPr>
            <w:r>
              <w:rPr>
                <w:rFonts w:ascii="Arial" w:cs="Arial" w:eastAsia="Arial" w:hAnsi="Arial"/>
                <w:sz w:val="13"/>
                <w:szCs w:val="13"/>
                <w:color w:val="auto"/>
              </w:rPr>
              <w:t>Total payments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(3,818)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(3,442)</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and other</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9"/>
        </w:trPr>
        <w:tc>
          <w:tcPr>
            <w:tcW w:w="7520" w:type="dxa"/>
            <w:vAlign w:val="bottom"/>
          </w:tcPr>
          <w:p>
            <w:pPr>
              <w:ind w:left="20"/>
              <w:spacing w:after="0"/>
              <w:rPr>
                <w:sz w:val="20"/>
                <w:szCs w:val="20"/>
                <w:color w:val="auto"/>
              </w:rPr>
            </w:pPr>
            <w:r>
              <w:rPr>
                <w:rFonts w:ascii="Arial" w:cs="Arial" w:eastAsia="Arial" w:hAnsi="Arial"/>
                <w:sz w:val="13"/>
                <w:szCs w:val="13"/>
                <w:color w:val="auto"/>
              </w:rPr>
              <w:t>Net liability at end of period</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9,788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9,222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8,799</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back reinsurance recoverables, net of allowance</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4,288</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Gross unpaid losses and LAE included in the balance sheet</w:t>
            </w:r>
          </w:p>
        </w:tc>
        <w:tc>
          <w:tcPr>
            <w:tcW w:w="74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15,094</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14,179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13,087</w:t>
            </w:r>
          </w:p>
        </w:tc>
      </w:tr>
      <w:tr>
        <w:trPr>
          <w:trHeight w:val="20"/>
        </w:trPr>
        <w:tc>
          <w:tcPr>
            <w:tcW w:w="7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100"/>
        <w:spacing w:after="0" w:line="263" w:lineRule="auto"/>
        <w:rPr>
          <w:sz w:val="20"/>
          <w:szCs w:val="20"/>
          <w:color w:val="auto"/>
        </w:rPr>
      </w:pPr>
      <w:r>
        <w:rPr>
          <w:rFonts w:ascii="Arial" w:cs="Arial" w:eastAsia="Arial" w:hAnsi="Arial"/>
          <w:sz w:val="13"/>
          <w:szCs w:val="13"/>
          <w:color w:val="auto"/>
        </w:rPr>
        <w:t>The net decrease in the provision for claims of prior years in 2025 reflects (i) lower than anticipated losses in the crop business, lower than expected claim severity in the aviation and ocean marine businesses and lower than anticipated claim frequency and severity in the property and inland marine business (within the Property and transportation sub-segment), (ii) lower than anticipated claim severity in the workers’ compensation and executive liability businesses (within the Specialty casualty sub-segment) and (iii) lower than anticipated claim frequency in the financial institutions business and lower than expected claim severity in the surety, fidelity and trade credit businesses (within the Specialty financial sub-segment). This favorable development was partially offset by higher than expected claim severity in the excess and surplus, social services, excess liability, public sector and general liability businesses (within the Specialty casualty sub-segment).</w:t>
      </w:r>
    </w:p>
    <w:p>
      <w:pPr>
        <w:spacing w:after="0" w:line="174"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The net decrease in the provision for claims of prior years in 2024 reflects (i) lower than anticipated losses in the crop business, lower than expected claim severity in the property and inland marine and aviation businesses and lower than anticipated claim frequency and severity in the ocean marine business (within the Property and transportation sub-segment), (ii) lower than anticipated claim severity in the workers’ compensation businesses and lower than expected claim frequency and severity in the executive liability business (within the Specialty casualty sub-segment) and (iii) lower than anticipated claim frequency and severity in the financial institutions and fidelity businesses and lower than expected claim frequency in the trade credit business (within the Specialty financial sub-segment). This favorable development was partially offset by (i) higher than anticipated claim frequency and severity in the umbrella and excess liability and social services businesses and higher than expected claim severity in the public sector and general liability businesses (within the Specialty casualty sub-segment) and (ii) higher than anticipated claim severity in the innovative markets and surety businesses (within the Specialty financial sub-segment).</w:t>
      </w:r>
    </w:p>
    <w:p>
      <w:pPr>
        <w:spacing w:after="0" w:line="160"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The net decrease in the provision for claims of prior years in 2023 reflects (i) lower than anticipated losses in the crop business, lower than expected claim frequency and severity across the transportation businesses and lower than anticipated claim frequency in the property and inland marine and ocean marine businesses and in the Singapore operations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financial institutions and surety businesses and lower than expected claim frequency and severity in the fidelity business (within the Specialty financial sub-segment). This favorable development was partially offset by higher than anticipated claim severity in the public sector business and higher than expected claim frequency and severity in the excess liability and general liability businesses (within the Specialty casualty sub-segment).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200" w:lineRule="exact"/>
        <w:rPr>
          <w:sz w:val="20"/>
          <w:szCs w:val="20"/>
          <w:color w:val="auto"/>
        </w:rPr>
      </w:pPr>
    </w:p>
    <w:p>
      <w:pPr>
        <w:spacing w:after="0" w:line="334"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53"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A reconciliation of incurred and paid claims development information to the aggregate carrying amount of the liability for unpaid losses and LAE, with separate disclosure of reinsurance recoverables on unpaid claims is shown below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9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color w:val="auto"/>
              </w:rPr>
              <w:t>2025</w:t>
            </w:r>
          </w:p>
        </w:tc>
      </w:tr>
      <w:tr>
        <w:trPr>
          <w:trHeight w:val="153"/>
        </w:trPr>
        <w:tc>
          <w:tcPr>
            <w:tcW w:w="9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Unpaid losses and allocated LAE, net of reinsurance: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9"/>
        </w:trPr>
        <w:tc>
          <w:tcPr>
            <w:tcW w:w="9920" w:type="dxa"/>
            <w:vAlign w:val="bottom"/>
          </w:tcPr>
          <w:p>
            <w:pPr>
              <w:ind w:left="180"/>
              <w:spacing w:after="0"/>
              <w:rPr>
                <w:sz w:val="20"/>
                <w:szCs w:val="20"/>
                <w:color w:val="auto"/>
              </w:rPr>
            </w:pPr>
            <w:r>
              <w:rPr>
                <w:rFonts w:ascii="Arial" w:cs="Arial" w:eastAsia="Arial" w:hAnsi="Arial"/>
                <w:sz w:val="13"/>
                <w:szCs w:val="13"/>
                <w:color w:val="auto"/>
              </w:rPr>
              <w:t>Specialty</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Property and transportation</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w:t>
            </w:r>
          </w:p>
        </w:tc>
      </w:tr>
      <w:tr>
        <w:trPr>
          <w:trHeight w:val="169"/>
        </w:trPr>
        <w:tc>
          <w:tcPr>
            <w:tcW w:w="9920" w:type="dxa"/>
            <w:vAlign w:val="bottom"/>
          </w:tcPr>
          <w:p>
            <w:pPr>
              <w:ind w:left="360"/>
              <w:spacing w:after="0"/>
              <w:rPr>
                <w:sz w:val="20"/>
                <w:szCs w:val="20"/>
                <w:color w:val="auto"/>
              </w:rPr>
            </w:pPr>
            <w:r>
              <w:rPr>
                <w:rFonts w:ascii="Arial" w:cs="Arial" w:eastAsia="Arial" w:hAnsi="Arial"/>
                <w:sz w:val="13"/>
                <w:szCs w:val="13"/>
                <w:color w:val="auto"/>
              </w:rPr>
              <w:t>Specialty casualty</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6,177</w:t>
            </w: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Specialty financial</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r>
      <w:tr>
        <w:trPr>
          <w:trHeight w:val="159"/>
        </w:trPr>
        <w:tc>
          <w:tcPr>
            <w:tcW w:w="9920" w:type="dxa"/>
            <w:vAlign w:val="bottom"/>
          </w:tcPr>
          <w:p>
            <w:pPr>
              <w:ind w:left="520"/>
              <w:spacing w:after="0"/>
              <w:rPr>
                <w:sz w:val="20"/>
                <w:szCs w:val="20"/>
                <w:color w:val="auto"/>
              </w:rPr>
            </w:pPr>
            <w:r>
              <w:rPr>
                <w:rFonts w:ascii="Arial" w:cs="Arial" w:eastAsia="Arial" w:hAnsi="Arial"/>
                <w:sz w:val="13"/>
                <w:szCs w:val="13"/>
                <w:color w:val="auto"/>
              </w:rPr>
              <w:t>Total Specialty (excluding foreign reserves)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8,484</w:t>
            </w:r>
          </w:p>
        </w:tc>
      </w:tr>
      <w:tr>
        <w:trPr>
          <w:trHeight w:val="171"/>
        </w:trPr>
        <w:tc>
          <w:tcPr>
            <w:tcW w:w="9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9920" w:type="dxa"/>
            <w:vAlign w:val="bottom"/>
          </w:tcPr>
          <w:p>
            <w:pPr>
              <w:ind w:left="180"/>
              <w:spacing w:after="0"/>
              <w:rPr>
                <w:sz w:val="20"/>
                <w:szCs w:val="20"/>
                <w:color w:val="auto"/>
              </w:rPr>
            </w:pPr>
            <w:r>
              <w:rPr>
                <w:rFonts w:ascii="Arial" w:cs="Arial" w:eastAsia="Arial" w:hAnsi="Arial"/>
                <w:sz w:val="13"/>
                <w:szCs w:val="13"/>
                <w:color w:val="auto"/>
              </w:rPr>
              <w:t>Other reserves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Foreign operations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169"/>
        </w:trPr>
        <w:tc>
          <w:tcPr>
            <w:tcW w:w="9920" w:type="dxa"/>
            <w:vAlign w:val="bottom"/>
          </w:tcPr>
          <w:p>
            <w:pPr>
              <w:ind w:left="360"/>
              <w:spacing w:after="0"/>
              <w:rPr>
                <w:sz w:val="20"/>
                <w:szCs w:val="20"/>
                <w:color w:val="auto"/>
              </w:rPr>
            </w:pPr>
            <w:r>
              <w:rPr>
                <w:rFonts w:ascii="Arial" w:cs="Arial" w:eastAsia="Arial" w:hAnsi="Arial"/>
                <w:sz w:val="13"/>
                <w:szCs w:val="13"/>
                <w:color w:val="auto"/>
              </w:rPr>
              <w:t>A&amp;E reserves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347</w:t>
            </w:r>
          </w:p>
        </w:tc>
      </w:tr>
      <w:tr>
        <w:trPr>
          <w:trHeight w:val="171"/>
        </w:trPr>
        <w:tc>
          <w:tcPr>
            <w:tcW w:w="9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Unallocated LAE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r>
      <w:tr>
        <w:trPr>
          <w:trHeight w:val="169"/>
        </w:trPr>
        <w:tc>
          <w:tcPr>
            <w:tcW w:w="99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r>
      <w:tr>
        <w:trPr>
          <w:trHeight w:val="162"/>
        </w:trPr>
        <w:tc>
          <w:tcPr>
            <w:tcW w:w="99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reserves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w:t>
            </w:r>
          </w:p>
        </w:tc>
      </w:tr>
      <w:tr>
        <w:trPr>
          <w:trHeight w:val="159"/>
        </w:trPr>
        <w:tc>
          <w:tcPr>
            <w:tcW w:w="9920" w:type="dxa"/>
            <w:vAlign w:val="bottom"/>
          </w:tcPr>
          <w:p>
            <w:pPr>
              <w:ind w:left="680"/>
              <w:spacing w:after="0"/>
              <w:rPr>
                <w:sz w:val="20"/>
                <w:szCs w:val="20"/>
                <w:color w:val="auto"/>
              </w:rPr>
            </w:pPr>
            <w:r>
              <w:rPr>
                <w:rFonts w:ascii="Arial" w:cs="Arial" w:eastAsia="Arial" w:hAnsi="Arial"/>
                <w:sz w:val="13"/>
                <w:szCs w:val="13"/>
                <w:color w:val="auto"/>
              </w:rPr>
              <w:t>Total reserves, net of reinsurance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9,788</w:t>
            </w:r>
          </w:p>
        </w:tc>
      </w:tr>
      <w:tr>
        <w:trPr>
          <w:trHeight w:val="171"/>
        </w:trPr>
        <w:tc>
          <w:tcPr>
            <w:tcW w:w="9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Add back reinsurance recoverables, net of allowance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5,306</w:t>
            </w:r>
          </w:p>
        </w:tc>
      </w:tr>
      <w:tr>
        <w:trPr>
          <w:trHeight w:val="18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unpaid losses and LAE included in the balance sheet</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The following claims development tables and associated disclosures related to short-duration insurance contracts are prepared by sub-segment within the property and casualty insurance business for the most recent 10 accident years. AFG determines its claim counts at the claimant or policy feature level depending on the particular facts and circumstances of the underlying claim. While the methodology is generally consistent within each sub-segment, there are minor differences between and within the sub-segments. The methods used to summarize claim counts have not changed significantly over the time periods reported in the tables below.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Property and transportation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gridSpan w:val="19"/>
          </w:tcPr>
          <w:p>
            <w:pPr>
              <w:jc w:val="right"/>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center"/>
              <w:ind w:right="184"/>
              <w:spacing w:after="0"/>
              <w:rPr>
                <w:sz w:val="20"/>
                <w:szCs w:val="20"/>
                <w:color w:val="auto"/>
              </w:rPr>
            </w:pPr>
            <w:r>
              <w:rPr>
                <w:rFonts w:ascii="Arial" w:cs="Arial" w:eastAsia="Arial" w:hAnsi="Arial"/>
                <w:sz w:val="11"/>
                <w:szCs w:val="11"/>
                <w:color w:val="auto"/>
              </w:rPr>
              <w:t>As of December 31, 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31"/>
          </w:tcPr>
          <w:p>
            <w:pPr>
              <w:ind w:left="200"/>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4"/>
            <w:vMerge w:val="restart"/>
          </w:tcPr>
          <w:p>
            <w:pPr>
              <w:jc w:val="center"/>
              <w:ind w:right="140"/>
              <w:spacing w:after="0"/>
              <w:rPr>
                <w:sz w:val="20"/>
                <w:szCs w:val="20"/>
                <w:color w:val="auto"/>
              </w:rPr>
            </w:pPr>
            <w:r>
              <w:rPr>
                <w:rFonts w:ascii="Arial" w:cs="Arial" w:eastAsia="Arial" w:hAnsi="Arial"/>
                <w:sz w:val="11"/>
                <w:szCs w:val="11"/>
                <w:color w:val="auto"/>
                <w:w w:val="95"/>
              </w:rPr>
              <w:t>Total IBNR Plus Expected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900" w:type="dxa"/>
            <w:vAlign w:val="bottom"/>
            <w:gridSpan w:val="63"/>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w w:val="96"/>
              </w:rPr>
              <w:t>Cumulative Number</w:t>
            </w: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center"/>
              <w:ind w:right="43"/>
              <w:spacing w:after="0"/>
              <w:rPr>
                <w:sz w:val="20"/>
                <w:szCs w:val="20"/>
                <w:color w:val="auto"/>
              </w:rPr>
            </w:pPr>
            <w:r>
              <w:rPr>
                <w:rFonts w:ascii="Arial" w:cs="Arial" w:eastAsia="Arial" w:hAnsi="Arial"/>
                <w:sz w:val="11"/>
                <w:szCs w:val="11"/>
                <w:color w:val="auto"/>
              </w:rPr>
              <w:t>2016</w:t>
            </w:r>
          </w:p>
        </w:tc>
        <w:tc>
          <w:tcPr>
            <w:tcW w:w="240" w:type="dxa"/>
            <w:vAlign w:val="bottom"/>
            <w:gridSpan w:val="4"/>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color w:val="auto"/>
              </w:rPr>
              <w:t>2017</w:t>
            </w:r>
          </w:p>
        </w:tc>
        <w:tc>
          <w:tcPr>
            <w:tcW w:w="240" w:type="dxa"/>
            <w:vAlign w:val="bottom"/>
            <w:gridSpan w:val="5"/>
          </w:tcPr>
          <w:p>
            <w:pPr>
              <w:spacing w:after="0"/>
              <w:rPr>
                <w:sz w:val="9"/>
                <w:szCs w:val="9"/>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auto"/>
              </w:rPr>
              <w:t>2018</w:t>
            </w:r>
          </w:p>
        </w:tc>
        <w:tc>
          <w:tcPr>
            <w:tcW w:w="180" w:type="dxa"/>
            <w:vAlign w:val="bottom"/>
            <w:gridSpan w:val="4"/>
          </w:tcPr>
          <w:p>
            <w:pPr>
              <w:spacing w:after="0"/>
              <w:rPr>
                <w:sz w:val="9"/>
                <w:szCs w:val="9"/>
                <w:color w:val="auto"/>
              </w:rPr>
            </w:pPr>
          </w:p>
        </w:tc>
        <w:tc>
          <w:tcPr>
            <w:tcW w:w="60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220" w:type="dxa"/>
            <w:vAlign w:val="bottom"/>
            <w:gridSpan w:val="5"/>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260" w:type="dxa"/>
            <w:vAlign w:val="bottom"/>
            <w:gridSpan w:val="5"/>
          </w:tcPr>
          <w:p>
            <w:pPr>
              <w:spacing w:after="0"/>
              <w:rPr>
                <w:sz w:val="9"/>
                <w:szCs w:val="9"/>
                <w:color w:val="auto"/>
              </w:rPr>
            </w:pPr>
          </w:p>
        </w:tc>
        <w:tc>
          <w:tcPr>
            <w:tcW w:w="520" w:type="dxa"/>
            <w:vAlign w:val="bottom"/>
            <w:vMerge w:val="restart"/>
          </w:tcPr>
          <w:p>
            <w:pPr>
              <w:jc w:val="right"/>
              <w:ind w:right="143"/>
              <w:spacing w:after="0"/>
              <w:rPr>
                <w:sz w:val="20"/>
                <w:szCs w:val="20"/>
                <w:color w:val="auto"/>
              </w:rPr>
            </w:pPr>
            <w:r>
              <w:rPr>
                <w:rFonts w:ascii="Arial" w:cs="Arial" w:eastAsia="Arial" w:hAnsi="Arial"/>
                <w:sz w:val="11"/>
                <w:szCs w:val="11"/>
                <w:color w:val="auto"/>
              </w:rPr>
              <w:t>2021</w:t>
            </w:r>
          </w:p>
        </w:tc>
        <w:tc>
          <w:tcPr>
            <w:tcW w:w="220" w:type="dxa"/>
            <w:vAlign w:val="bottom"/>
            <w:gridSpan w:val="4"/>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280" w:type="dxa"/>
            <w:vAlign w:val="bottom"/>
            <w:gridSpan w:val="4"/>
          </w:tcPr>
          <w:p>
            <w:pPr>
              <w:spacing w:after="0"/>
              <w:rPr>
                <w:sz w:val="9"/>
                <w:szCs w:val="9"/>
                <w:color w:val="auto"/>
              </w:rPr>
            </w:pPr>
          </w:p>
        </w:tc>
        <w:tc>
          <w:tcPr>
            <w:tcW w:w="52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300" w:type="dxa"/>
            <w:vAlign w:val="bottom"/>
            <w:gridSpan w:val="5"/>
          </w:tcPr>
          <w:p>
            <w:pPr>
              <w:spacing w:after="0"/>
              <w:rPr>
                <w:sz w:val="9"/>
                <w:szCs w:val="9"/>
                <w:color w:val="auto"/>
              </w:rPr>
            </w:pPr>
          </w:p>
        </w:tc>
        <w:tc>
          <w:tcPr>
            <w:tcW w:w="48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340" w:type="dxa"/>
            <w:vAlign w:val="bottom"/>
            <w:gridSpan w:val="4"/>
          </w:tcPr>
          <w:p>
            <w:pPr>
              <w:spacing w:after="0"/>
              <w:rPr>
                <w:sz w:val="9"/>
                <w:szCs w:val="9"/>
                <w:color w:val="auto"/>
              </w:rPr>
            </w:pPr>
          </w:p>
        </w:tc>
        <w:tc>
          <w:tcPr>
            <w:tcW w:w="48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rPr>
              <w:t>2025</w:t>
            </w:r>
          </w:p>
        </w:tc>
        <w:tc>
          <w:tcPr>
            <w:tcW w:w="1600" w:type="dxa"/>
            <w:vAlign w:val="bottom"/>
            <w:gridSpan w:val="8"/>
          </w:tcPr>
          <w:p>
            <w:pPr>
              <w:spacing w:after="0"/>
              <w:rPr>
                <w:sz w:val="20"/>
                <w:szCs w:val="20"/>
                <w:color w:val="auto"/>
              </w:rPr>
            </w:pPr>
            <w:r>
              <w:rPr>
                <w:rFonts w:ascii="Arial" w:cs="Arial" w:eastAsia="Arial" w:hAnsi="Arial"/>
                <w:sz w:val="11"/>
                <w:szCs w:val="11"/>
                <w:color w:val="auto"/>
              </w:rPr>
              <w:t>Development on Reported</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3"/>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rPr>
              <w:t>723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720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w:t>
            </w:r>
          </w:p>
        </w:tc>
        <w:tc>
          <w:tcPr>
            <w:tcW w:w="20" w:type="dxa"/>
            <w:vAlign w:val="bottom"/>
            <w:shd w:val="clear" w:color="auto" w:fill="CCEEFF"/>
          </w:tcPr>
          <w:p>
            <w:pPr>
              <w:spacing w:after="0"/>
              <w:rPr>
                <w:sz w:val="13"/>
                <w:szCs w:val="13"/>
                <w:color w:val="auto"/>
              </w:rPr>
            </w:pPr>
          </w:p>
        </w:tc>
        <w:tc>
          <w:tcPr>
            <w:tcW w:w="24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695</w:t>
            </w: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695</w:t>
            </w:r>
          </w:p>
        </w:tc>
        <w:tc>
          <w:tcPr>
            <w:tcW w:w="2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692</w:t>
            </w: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690</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70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121,425</w:t>
            </w:r>
          </w:p>
        </w:tc>
        <w:tc>
          <w:tcPr>
            <w:tcW w:w="0" w:type="dxa"/>
            <w:vAlign w:val="bottom"/>
          </w:tcPr>
          <w:p>
            <w:pPr>
              <w:spacing w:after="0"/>
              <w:rPr>
                <w:sz w:val="1"/>
                <w:szCs w:val="1"/>
                <w:color w:val="auto"/>
              </w:rPr>
            </w:pPr>
          </w:p>
        </w:tc>
      </w:tr>
      <w:tr>
        <w:trPr>
          <w:trHeight w:val="156"/>
        </w:trPr>
        <w:tc>
          <w:tcPr>
            <w:tcW w:w="1900" w:type="dxa"/>
            <w:vAlign w:val="bottom"/>
            <w:gridSpan w:val="10"/>
          </w:tcPr>
          <w:p>
            <w:pPr>
              <w:jc w:val="right"/>
              <w:ind w:right="1846"/>
              <w:spacing w:after="0"/>
              <w:rPr>
                <w:sz w:val="20"/>
                <w:szCs w:val="20"/>
                <w:color w:val="auto"/>
              </w:rPr>
            </w:pPr>
            <w:r>
              <w:rPr>
                <w:rFonts w:ascii="Arial" w:cs="Arial" w:eastAsia="Arial" w:hAnsi="Arial"/>
                <w:sz w:val="11"/>
                <w:szCs w:val="11"/>
                <w:color w:val="auto"/>
              </w:rPr>
              <w:t>2017</w:t>
            </w:r>
          </w:p>
        </w:tc>
        <w:tc>
          <w:tcPr>
            <w:tcW w:w="780" w:type="dxa"/>
            <w:vAlign w:val="bottom"/>
            <w:gridSpan w:val="6"/>
          </w:tcPr>
          <w:p>
            <w:pPr>
              <w:jc w:val="center"/>
              <w:spacing w:after="0"/>
              <w:rPr>
                <w:sz w:val="20"/>
                <w:szCs w:val="20"/>
                <w:color w:val="auto"/>
              </w:rPr>
            </w:pPr>
            <w:r>
              <w:rPr>
                <w:rFonts w:ascii="Arial" w:cs="Arial" w:eastAsia="Arial" w:hAnsi="Arial"/>
                <w:sz w:val="11"/>
                <w:szCs w:val="11"/>
                <w:color w:val="auto"/>
              </w:rPr>
              <w:t>897</w:t>
            </w:r>
          </w:p>
        </w:tc>
        <w:tc>
          <w:tcPr>
            <w:tcW w:w="700" w:type="dxa"/>
            <w:vAlign w:val="bottom"/>
            <w:gridSpan w:val="5"/>
          </w:tcPr>
          <w:p>
            <w:pPr>
              <w:ind w:left="300"/>
              <w:spacing w:after="0"/>
              <w:rPr>
                <w:sz w:val="20"/>
                <w:szCs w:val="20"/>
                <w:color w:val="auto"/>
              </w:rPr>
            </w:pPr>
            <w:r>
              <w:rPr>
                <w:rFonts w:ascii="Arial" w:cs="Arial" w:eastAsia="Arial" w:hAnsi="Arial"/>
                <w:sz w:val="11"/>
                <w:szCs w:val="11"/>
                <w:color w:val="auto"/>
              </w:rPr>
              <w:t>855</w:t>
            </w:r>
          </w:p>
        </w:tc>
        <w:tc>
          <w:tcPr>
            <w:tcW w:w="820" w:type="dxa"/>
            <w:vAlign w:val="bottom"/>
            <w:gridSpan w:val="6"/>
          </w:tcPr>
          <w:p>
            <w:pPr>
              <w:jc w:val="right"/>
              <w:ind w:right="203"/>
              <w:spacing w:after="0"/>
              <w:rPr>
                <w:sz w:val="20"/>
                <w:szCs w:val="20"/>
                <w:color w:val="auto"/>
              </w:rPr>
            </w:pPr>
            <w:r>
              <w:rPr>
                <w:rFonts w:ascii="Arial" w:cs="Arial" w:eastAsia="Arial" w:hAnsi="Arial"/>
                <w:sz w:val="11"/>
                <w:szCs w:val="11"/>
                <w:color w:val="auto"/>
              </w:rPr>
              <w:t>850</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829</w:t>
            </w:r>
          </w:p>
        </w:tc>
        <w:tc>
          <w:tcPr>
            <w:tcW w:w="740" w:type="dxa"/>
            <w:vAlign w:val="bottom"/>
            <w:gridSpan w:val="5"/>
          </w:tcPr>
          <w:p>
            <w:pPr>
              <w:jc w:val="right"/>
              <w:ind w:right="240"/>
              <w:spacing w:after="0"/>
              <w:rPr>
                <w:sz w:val="20"/>
                <w:szCs w:val="20"/>
                <w:color w:val="auto"/>
              </w:rPr>
            </w:pPr>
            <w:r>
              <w:rPr>
                <w:rFonts w:ascii="Arial" w:cs="Arial" w:eastAsia="Arial" w:hAnsi="Arial"/>
                <w:sz w:val="11"/>
                <w:szCs w:val="11"/>
                <w:color w:val="auto"/>
              </w:rPr>
              <w:t>822</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826</w:t>
            </w:r>
          </w:p>
        </w:tc>
        <w:tc>
          <w:tcPr>
            <w:tcW w:w="820" w:type="dxa"/>
            <w:vAlign w:val="bottom"/>
            <w:gridSpan w:val="7"/>
          </w:tcPr>
          <w:p>
            <w:pPr>
              <w:jc w:val="right"/>
              <w:ind w:right="320"/>
              <w:spacing w:after="0"/>
              <w:rPr>
                <w:sz w:val="20"/>
                <w:szCs w:val="20"/>
                <w:color w:val="auto"/>
              </w:rPr>
            </w:pPr>
            <w:r>
              <w:rPr>
                <w:rFonts w:ascii="Arial" w:cs="Arial" w:eastAsia="Arial" w:hAnsi="Arial"/>
                <w:sz w:val="11"/>
                <w:szCs w:val="11"/>
                <w:color w:val="auto"/>
              </w:rPr>
              <w:t>825</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823</w:t>
            </w:r>
          </w:p>
        </w:tc>
        <w:tc>
          <w:tcPr>
            <w:tcW w:w="680" w:type="dxa"/>
            <w:vAlign w:val="bottom"/>
            <w:gridSpan w:val="6"/>
          </w:tcPr>
          <w:p>
            <w:pPr>
              <w:jc w:val="right"/>
              <w:ind w:right="147"/>
              <w:spacing w:after="0"/>
              <w:rPr>
                <w:sz w:val="20"/>
                <w:szCs w:val="20"/>
                <w:color w:val="auto"/>
              </w:rPr>
            </w:pPr>
            <w:r>
              <w:rPr>
                <w:rFonts w:ascii="Arial" w:cs="Arial" w:eastAsia="Arial" w:hAnsi="Arial"/>
                <w:sz w:val="11"/>
                <w:szCs w:val="11"/>
                <w:color w:val="auto"/>
              </w:rPr>
              <w:t>820</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56</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141,054</w:t>
            </w:r>
          </w:p>
        </w:tc>
        <w:tc>
          <w:tcPr>
            <w:tcW w:w="0" w:type="dxa"/>
            <w:vAlign w:val="bottom"/>
          </w:tcPr>
          <w:p>
            <w:pPr>
              <w:spacing w:after="0"/>
              <w:rPr>
                <w:sz w:val="1"/>
                <w:szCs w:val="1"/>
                <w:color w:val="auto"/>
              </w:rPr>
            </w:pPr>
          </w:p>
        </w:tc>
      </w:tr>
      <w:tr>
        <w:trPr>
          <w:trHeight w:val="162"/>
        </w:trPr>
        <w:tc>
          <w:tcPr>
            <w:tcW w:w="2680" w:type="dxa"/>
            <w:vAlign w:val="bottom"/>
            <w:gridSpan w:val="16"/>
          </w:tcPr>
          <w:p>
            <w:pPr>
              <w:jc w:val="right"/>
              <w:ind w:right="2680"/>
              <w:spacing w:after="0"/>
              <w:rPr>
                <w:sz w:val="20"/>
                <w:szCs w:val="20"/>
                <w:color w:val="auto"/>
              </w:rPr>
            </w:pPr>
            <w:r>
              <w:rPr>
                <w:rFonts w:ascii="Arial" w:cs="Arial" w:eastAsia="Arial" w:hAnsi="Arial"/>
                <w:sz w:val="11"/>
                <w:szCs w:val="11"/>
                <w:color w:val="auto"/>
              </w:rPr>
              <w:t>2018</w:t>
            </w:r>
          </w:p>
        </w:tc>
        <w:tc>
          <w:tcPr>
            <w:tcW w:w="70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942</w:t>
            </w:r>
          </w:p>
        </w:tc>
        <w:tc>
          <w:tcPr>
            <w:tcW w:w="820" w:type="dxa"/>
            <w:vAlign w:val="bottom"/>
            <w:gridSpan w:val="6"/>
            <w:shd w:val="clear" w:color="auto" w:fill="CCEEFF"/>
          </w:tcPr>
          <w:p>
            <w:pPr>
              <w:jc w:val="right"/>
              <w:ind w:right="203"/>
              <w:spacing w:after="0"/>
              <w:rPr>
                <w:sz w:val="20"/>
                <w:szCs w:val="20"/>
                <w:color w:val="auto"/>
              </w:rPr>
            </w:pPr>
            <w:r>
              <w:rPr>
                <w:rFonts w:ascii="Arial" w:cs="Arial" w:eastAsia="Arial" w:hAnsi="Arial"/>
                <w:sz w:val="11"/>
                <w:szCs w:val="11"/>
                <w:color w:val="auto"/>
              </w:rPr>
              <w:t>912</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897</w:t>
            </w:r>
          </w:p>
        </w:tc>
        <w:tc>
          <w:tcPr>
            <w:tcW w:w="740" w:type="dxa"/>
            <w:vAlign w:val="bottom"/>
            <w:gridSpan w:val="5"/>
            <w:shd w:val="clear" w:color="auto" w:fill="CCEEFF"/>
          </w:tcPr>
          <w:p>
            <w:pPr>
              <w:jc w:val="right"/>
              <w:ind w:right="240"/>
              <w:spacing w:after="0"/>
              <w:rPr>
                <w:sz w:val="20"/>
                <w:szCs w:val="20"/>
                <w:color w:val="auto"/>
              </w:rPr>
            </w:pPr>
            <w:r>
              <w:rPr>
                <w:rFonts w:ascii="Arial" w:cs="Arial" w:eastAsia="Arial" w:hAnsi="Arial"/>
                <w:sz w:val="11"/>
                <w:szCs w:val="11"/>
                <w:color w:val="auto"/>
              </w:rPr>
              <w:t>886</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891</w:t>
            </w:r>
          </w:p>
        </w:tc>
        <w:tc>
          <w:tcPr>
            <w:tcW w:w="820" w:type="dxa"/>
            <w:vAlign w:val="bottom"/>
            <w:gridSpan w:val="7"/>
            <w:shd w:val="clear" w:color="auto" w:fill="CCEEFF"/>
          </w:tcPr>
          <w:p>
            <w:pPr>
              <w:jc w:val="right"/>
              <w:ind w:right="320"/>
              <w:spacing w:after="0"/>
              <w:rPr>
                <w:sz w:val="20"/>
                <w:szCs w:val="20"/>
                <w:color w:val="auto"/>
              </w:rPr>
            </w:pPr>
            <w:r>
              <w:rPr>
                <w:rFonts w:ascii="Arial" w:cs="Arial" w:eastAsia="Arial" w:hAnsi="Arial"/>
                <w:sz w:val="11"/>
                <w:szCs w:val="11"/>
                <w:color w:val="auto"/>
              </w:rPr>
              <w:t>886</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888</w:t>
            </w:r>
          </w:p>
        </w:tc>
        <w:tc>
          <w:tcPr>
            <w:tcW w:w="680" w:type="dxa"/>
            <w:vAlign w:val="bottom"/>
            <w:gridSpan w:val="6"/>
            <w:shd w:val="clear" w:color="auto" w:fill="CCEEFF"/>
          </w:tcPr>
          <w:p>
            <w:pPr>
              <w:jc w:val="right"/>
              <w:ind w:right="147"/>
              <w:spacing w:after="0"/>
              <w:rPr>
                <w:sz w:val="20"/>
                <w:szCs w:val="20"/>
                <w:color w:val="auto"/>
              </w:rPr>
            </w:pPr>
            <w:r>
              <w:rPr>
                <w:rFonts w:ascii="Arial" w:cs="Arial" w:eastAsia="Arial" w:hAnsi="Arial"/>
                <w:sz w:val="11"/>
                <w:szCs w:val="11"/>
                <w:color w:val="auto"/>
              </w:rPr>
              <w:t>890</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52</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130,840</w:t>
            </w:r>
          </w:p>
        </w:tc>
        <w:tc>
          <w:tcPr>
            <w:tcW w:w="0" w:type="dxa"/>
            <w:vAlign w:val="bottom"/>
          </w:tcPr>
          <w:p>
            <w:pPr>
              <w:spacing w:after="0"/>
              <w:rPr>
                <w:sz w:val="1"/>
                <w:szCs w:val="1"/>
                <w:color w:val="auto"/>
              </w:rPr>
            </w:pPr>
          </w:p>
        </w:tc>
      </w:tr>
      <w:tr>
        <w:trPr>
          <w:trHeight w:val="156"/>
        </w:trPr>
        <w:tc>
          <w:tcPr>
            <w:tcW w:w="3380" w:type="dxa"/>
            <w:vAlign w:val="bottom"/>
            <w:gridSpan w:val="21"/>
          </w:tcPr>
          <w:p>
            <w:pPr>
              <w:jc w:val="right"/>
              <w:ind w:right="3329"/>
              <w:spacing w:after="0"/>
              <w:rPr>
                <w:sz w:val="20"/>
                <w:szCs w:val="20"/>
                <w:color w:val="auto"/>
              </w:rPr>
            </w:pPr>
            <w:r>
              <w:rPr>
                <w:rFonts w:ascii="Arial" w:cs="Arial" w:eastAsia="Arial" w:hAnsi="Arial"/>
                <w:sz w:val="11"/>
                <w:szCs w:val="11"/>
                <w:color w:val="auto"/>
              </w:rPr>
              <w:t>2019</w:t>
            </w:r>
          </w:p>
        </w:tc>
        <w:tc>
          <w:tcPr>
            <w:tcW w:w="820" w:type="dxa"/>
            <w:vAlign w:val="bottom"/>
            <w:gridSpan w:val="6"/>
          </w:tcPr>
          <w:p>
            <w:pPr>
              <w:jc w:val="right"/>
              <w:ind w:right="203"/>
              <w:spacing w:after="0"/>
              <w:rPr>
                <w:sz w:val="20"/>
                <w:szCs w:val="20"/>
                <w:color w:val="auto"/>
              </w:rPr>
            </w:pPr>
            <w:r>
              <w:rPr>
                <w:rFonts w:ascii="Arial" w:cs="Arial" w:eastAsia="Arial" w:hAnsi="Arial"/>
                <w:sz w:val="11"/>
                <w:szCs w:val="11"/>
                <w:color w:val="auto"/>
              </w:rPr>
              <w:t>1,125</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1,071</w:t>
            </w:r>
          </w:p>
        </w:tc>
        <w:tc>
          <w:tcPr>
            <w:tcW w:w="740" w:type="dxa"/>
            <w:vAlign w:val="bottom"/>
            <w:gridSpan w:val="5"/>
          </w:tcPr>
          <w:p>
            <w:pPr>
              <w:jc w:val="right"/>
              <w:ind w:right="240"/>
              <w:spacing w:after="0"/>
              <w:rPr>
                <w:sz w:val="20"/>
                <w:szCs w:val="20"/>
                <w:color w:val="auto"/>
              </w:rPr>
            </w:pPr>
            <w:r>
              <w:rPr>
                <w:rFonts w:ascii="Arial" w:cs="Arial" w:eastAsia="Arial" w:hAnsi="Arial"/>
                <w:sz w:val="11"/>
                <w:szCs w:val="11"/>
                <w:color w:val="auto"/>
              </w:rPr>
              <w:t>1,062</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1,065</w:t>
            </w:r>
          </w:p>
        </w:tc>
        <w:tc>
          <w:tcPr>
            <w:tcW w:w="820" w:type="dxa"/>
            <w:vAlign w:val="bottom"/>
            <w:gridSpan w:val="7"/>
          </w:tcPr>
          <w:p>
            <w:pPr>
              <w:jc w:val="right"/>
              <w:ind w:right="320"/>
              <w:spacing w:after="0"/>
              <w:rPr>
                <w:sz w:val="20"/>
                <w:szCs w:val="20"/>
                <w:color w:val="auto"/>
              </w:rPr>
            </w:pPr>
            <w:r>
              <w:rPr>
                <w:rFonts w:ascii="Arial" w:cs="Arial" w:eastAsia="Arial" w:hAnsi="Arial"/>
                <w:sz w:val="11"/>
                <w:szCs w:val="11"/>
                <w:color w:val="auto"/>
              </w:rPr>
              <w:t>1,068</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1,070</w:t>
            </w:r>
          </w:p>
        </w:tc>
        <w:tc>
          <w:tcPr>
            <w:tcW w:w="680" w:type="dxa"/>
            <w:vAlign w:val="bottom"/>
            <w:gridSpan w:val="6"/>
          </w:tcPr>
          <w:p>
            <w:pPr>
              <w:jc w:val="right"/>
              <w:ind w:right="147"/>
              <w:spacing w:after="0"/>
              <w:rPr>
                <w:sz w:val="20"/>
                <w:szCs w:val="20"/>
                <w:color w:val="auto"/>
              </w:rPr>
            </w:pPr>
            <w:r>
              <w:rPr>
                <w:rFonts w:ascii="Arial" w:cs="Arial" w:eastAsia="Arial" w:hAnsi="Arial"/>
                <w:sz w:val="11"/>
                <w:szCs w:val="11"/>
                <w:color w:val="auto"/>
              </w:rPr>
              <w:t>1,070</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59</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154,461</w:t>
            </w:r>
          </w:p>
        </w:tc>
        <w:tc>
          <w:tcPr>
            <w:tcW w:w="0" w:type="dxa"/>
            <w:vAlign w:val="bottom"/>
          </w:tcPr>
          <w:p>
            <w:pPr>
              <w:spacing w:after="0"/>
              <w:rPr>
                <w:sz w:val="1"/>
                <w:szCs w:val="1"/>
                <w:color w:val="auto"/>
              </w:rPr>
            </w:pPr>
          </w:p>
        </w:tc>
      </w:tr>
      <w:tr>
        <w:trPr>
          <w:trHeight w:val="162"/>
        </w:trPr>
        <w:tc>
          <w:tcPr>
            <w:tcW w:w="4200" w:type="dxa"/>
            <w:vAlign w:val="bottom"/>
            <w:gridSpan w:val="27"/>
          </w:tcPr>
          <w:p>
            <w:pPr>
              <w:jc w:val="right"/>
              <w:ind w:right="4143"/>
              <w:spacing w:after="0"/>
              <w:rPr>
                <w:sz w:val="20"/>
                <w:szCs w:val="20"/>
                <w:color w:val="auto"/>
              </w:rPr>
            </w:pPr>
            <w:r>
              <w:rPr>
                <w:rFonts w:ascii="Arial" w:cs="Arial" w:eastAsia="Arial" w:hAnsi="Arial"/>
                <w:sz w:val="11"/>
                <w:szCs w:val="11"/>
                <w:color w:val="auto"/>
              </w:rPr>
              <w:t>2020</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1,053</w:t>
            </w:r>
          </w:p>
        </w:tc>
        <w:tc>
          <w:tcPr>
            <w:tcW w:w="740" w:type="dxa"/>
            <w:vAlign w:val="bottom"/>
            <w:gridSpan w:val="5"/>
            <w:shd w:val="clear" w:color="auto" w:fill="CCEEFF"/>
          </w:tcPr>
          <w:p>
            <w:pPr>
              <w:jc w:val="right"/>
              <w:ind w:right="240"/>
              <w:spacing w:after="0"/>
              <w:rPr>
                <w:sz w:val="20"/>
                <w:szCs w:val="20"/>
                <w:color w:val="auto"/>
              </w:rPr>
            </w:pPr>
            <w:r>
              <w:rPr>
                <w:rFonts w:ascii="Arial" w:cs="Arial" w:eastAsia="Arial" w:hAnsi="Arial"/>
                <w:sz w:val="11"/>
                <w:szCs w:val="11"/>
                <w:color w:val="auto"/>
              </w:rPr>
              <w:t>983</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969</w:t>
            </w:r>
          </w:p>
        </w:tc>
        <w:tc>
          <w:tcPr>
            <w:tcW w:w="820" w:type="dxa"/>
            <w:vAlign w:val="bottom"/>
            <w:gridSpan w:val="7"/>
            <w:shd w:val="clear" w:color="auto" w:fill="CCEEFF"/>
          </w:tcPr>
          <w:p>
            <w:pPr>
              <w:jc w:val="right"/>
              <w:ind w:right="320"/>
              <w:spacing w:after="0"/>
              <w:rPr>
                <w:sz w:val="20"/>
                <w:szCs w:val="20"/>
                <w:color w:val="auto"/>
              </w:rPr>
            </w:pPr>
            <w:r>
              <w:rPr>
                <w:rFonts w:ascii="Arial" w:cs="Arial" w:eastAsia="Arial" w:hAnsi="Arial"/>
                <w:sz w:val="11"/>
                <w:szCs w:val="11"/>
                <w:color w:val="auto"/>
              </w:rPr>
              <w:t>962</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963</w:t>
            </w:r>
          </w:p>
        </w:tc>
        <w:tc>
          <w:tcPr>
            <w:tcW w:w="680" w:type="dxa"/>
            <w:vAlign w:val="bottom"/>
            <w:gridSpan w:val="6"/>
            <w:shd w:val="clear" w:color="auto" w:fill="CCEEFF"/>
          </w:tcPr>
          <w:p>
            <w:pPr>
              <w:jc w:val="right"/>
              <w:ind w:right="147"/>
              <w:spacing w:after="0"/>
              <w:rPr>
                <w:sz w:val="20"/>
                <w:szCs w:val="20"/>
                <w:color w:val="auto"/>
              </w:rPr>
            </w:pPr>
            <w:r>
              <w:rPr>
                <w:rFonts w:ascii="Arial" w:cs="Arial" w:eastAsia="Arial" w:hAnsi="Arial"/>
                <w:sz w:val="11"/>
                <w:szCs w:val="11"/>
                <w:color w:val="auto"/>
              </w:rPr>
              <w:t>964</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71</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122,348</w:t>
            </w:r>
          </w:p>
        </w:tc>
        <w:tc>
          <w:tcPr>
            <w:tcW w:w="0" w:type="dxa"/>
            <w:vAlign w:val="bottom"/>
          </w:tcPr>
          <w:p>
            <w:pPr>
              <w:spacing w:after="0"/>
              <w:rPr>
                <w:sz w:val="1"/>
                <w:szCs w:val="1"/>
                <w:color w:val="auto"/>
              </w:rPr>
            </w:pPr>
          </w:p>
        </w:tc>
      </w:tr>
      <w:tr>
        <w:trPr>
          <w:trHeight w:val="156"/>
        </w:trPr>
        <w:tc>
          <w:tcPr>
            <w:tcW w:w="5020" w:type="dxa"/>
            <w:vAlign w:val="bottom"/>
            <w:gridSpan w:val="33"/>
          </w:tcPr>
          <w:p>
            <w:pPr>
              <w:jc w:val="right"/>
              <w:ind w:right="5020"/>
              <w:spacing w:after="0"/>
              <w:rPr>
                <w:sz w:val="20"/>
                <w:szCs w:val="20"/>
                <w:color w:val="auto"/>
              </w:rPr>
            </w:pPr>
            <w:r>
              <w:rPr>
                <w:rFonts w:ascii="Arial" w:cs="Arial" w:eastAsia="Arial" w:hAnsi="Arial"/>
                <w:sz w:val="11"/>
                <w:szCs w:val="11"/>
                <w:color w:val="auto"/>
              </w:rPr>
              <w:t>2021</w:t>
            </w:r>
          </w:p>
        </w:tc>
        <w:tc>
          <w:tcPr>
            <w:tcW w:w="740" w:type="dxa"/>
            <w:vAlign w:val="bottom"/>
            <w:gridSpan w:val="5"/>
          </w:tcPr>
          <w:p>
            <w:pPr>
              <w:jc w:val="right"/>
              <w:ind w:right="240"/>
              <w:spacing w:after="0"/>
              <w:rPr>
                <w:sz w:val="20"/>
                <w:szCs w:val="20"/>
                <w:color w:val="auto"/>
              </w:rPr>
            </w:pPr>
            <w:r>
              <w:rPr>
                <w:rFonts w:ascii="Arial" w:cs="Arial" w:eastAsia="Arial" w:hAnsi="Arial"/>
                <w:sz w:val="11"/>
                <w:szCs w:val="11"/>
                <w:color w:val="auto"/>
              </w:rPr>
              <w:t>1,130</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1,034</w:t>
            </w:r>
          </w:p>
        </w:tc>
        <w:tc>
          <w:tcPr>
            <w:tcW w:w="820" w:type="dxa"/>
            <w:vAlign w:val="bottom"/>
            <w:gridSpan w:val="7"/>
          </w:tcPr>
          <w:p>
            <w:pPr>
              <w:jc w:val="right"/>
              <w:ind w:right="320"/>
              <w:spacing w:after="0"/>
              <w:rPr>
                <w:sz w:val="20"/>
                <w:szCs w:val="20"/>
                <w:color w:val="auto"/>
              </w:rPr>
            </w:pPr>
            <w:r>
              <w:rPr>
                <w:rFonts w:ascii="Arial" w:cs="Arial" w:eastAsia="Arial" w:hAnsi="Arial"/>
                <w:sz w:val="11"/>
                <w:szCs w:val="11"/>
                <w:color w:val="auto"/>
              </w:rPr>
              <w:t>1,033</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1,038</w:t>
            </w:r>
          </w:p>
        </w:tc>
        <w:tc>
          <w:tcPr>
            <w:tcW w:w="680" w:type="dxa"/>
            <w:vAlign w:val="bottom"/>
            <w:gridSpan w:val="6"/>
          </w:tcPr>
          <w:p>
            <w:pPr>
              <w:jc w:val="right"/>
              <w:ind w:right="147"/>
              <w:spacing w:after="0"/>
              <w:rPr>
                <w:sz w:val="20"/>
                <w:szCs w:val="20"/>
                <w:color w:val="auto"/>
              </w:rPr>
            </w:pPr>
            <w:r>
              <w:rPr>
                <w:rFonts w:ascii="Arial" w:cs="Arial" w:eastAsia="Arial" w:hAnsi="Arial"/>
                <w:sz w:val="11"/>
                <w:szCs w:val="11"/>
                <w:color w:val="auto"/>
              </w:rPr>
              <w:t>1,034</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86</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123,890</w:t>
            </w:r>
          </w:p>
        </w:tc>
        <w:tc>
          <w:tcPr>
            <w:tcW w:w="0" w:type="dxa"/>
            <w:vAlign w:val="bottom"/>
          </w:tcPr>
          <w:p>
            <w:pPr>
              <w:spacing w:after="0"/>
              <w:rPr>
                <w:sz w:val="1"/>
                <w:szCs w:val="1"/>
                <w:color w:val="auto"/>
              </w:rPr>
            </w:pPr>
          </w:p>
        </w:tc>
      </w:tr>
      <w:tr>
        <w:trPr>
          <w:trHeight w:val="162"/>
        </w:trPr>
        <w:tc>
          <w:tcPr>
            <w:tcW w:w="5760" w:type="dxa"/>
            <w:vAlign w:val="bottom"/>
            <w:gridSpan w:val="38"/>
          </w:tcPr>
          <w:p>
            <w:pPr>
              <w:jc w:val="right"/>
              <w:ind w:right="5760"/>
              <w:spacing w:after="0"/>
              <w:rPr>
                <w:sz w:val="20"/>
                <w:szCs w:val="20"/>
                <w:color w:val="auto"/>
              </w:rPr>
            </w:pPr>
            <w:r>
              <w:rPr>
                <w:rFonts w:ascii="Arial" w:cs="Arial" w:eastAsia="Arial" w:hAnsi="Arial"/>
                <w:sz w:val="11"/>
                <w:szCs w:val="11"/>
                <w:color w:val="auto"/>
              </w:rPr>
              <w:t>2022</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1,409</w:t>
            </w:r>
          </w:p>
        </w:tc>
        <w:tc>
          <w:tcPr>
            <w:tcW w:w="820" w:type="dxa"/>
            <w:vAlign w:val="bottom"/>
            <w:gridSpan w:val="7"/>
            <w:shd w:val="clear" w:color="auto" w:fill="CCEEFF"/>
          </w:tcPr>
          <w:p>
            <w:pPr>
              <w:jc w:val="right"/>
              <w:ind w:right="320"/>
              <w:spacing w:after="0"/>
              <w:rPr>
                <w:sz w:val="20"/>
                <w:szCs w:val="20"/>
                <w:color w:val="auto"/>
              </w:rPr>
            </w:pPr>
            <w:r>
              <w:rPr>
                <w:rFonts w:ascii="Arial" w:cs="Arial" w:eastAsia="Arial" w:hAnsi="Arial"/>
                <w:sz w:val="11"/>
                <w:szCs w:val="11"/>
                <w:color w:val="auto"/>
              </w:rPr>
              <w:t>1,335</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1,329</w:t>
            </w:r>
          </w:p>
        </w:tc>
        <w:tc>
          <w:tcPr>
            <w:tcW w:w="680" w:type="dxa"/>
            <w:vAlign w:val="bottom"/>
            <w:gridSpan w:val="6"/>
            <w:shd w:val="clear" w:color="auto" w:fill="CCEEFF"/>
          </w:tcPr>
          <w:p>
            <w:pPr>
              <w:jc w:val="right"/>
              <w:ind w:right="147"/>
              <w:spacing w:after="0"/>
              <w:rPr>
                <w:sz w:val="20"/>
                <w:szCs w:val="20"/>
                <w:color w:val="auto"/>
              </w:rPr>
            </w:pPr>
            <w:r>
              <w:rPr>
                <w:rFonts w:ascii="Arial" w:cs="Arial" w:eastAsia="Arial" w:hAnsi="Arial"/>
                <w:sz w:val="11"/>
                <w:szCs w:val="11"/>
                <w:color w:val="auto"/>
              </w:rPr>
              <w:t>1,313</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104</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138,424</w:t>
            </w:r>
          </w:p>
        </w:tc>
        <w:tc>
          <w:tcPr>
            <w:tcW w:w="0" w:type="dxa"/>
            <w:vAlign w:val="bottom"/>
          </w:tcPr>
          <w:p>
            <w:pPr>
              <w:spacing w:after="0"/>
              <w:rPr>
                <w:sz w:val="1"/>
                <w:szCs w:val="1"/>
                <w:color w:val="auto"/>
              </w:rPr>
            </w:pPr>
          </w:p>
        </w:tc>
      </w:tr>
      <w:tr>
        <w:trPr>
          <w:trHeight w:val="156"/>
        </w:trPr>
        <w:tc>
          <w:tcPr>
            <w:tcW w:w="6580" w:type="dxa"/>
            <w:vAlign w:val="bottom"/>
            <w:gridSpan w:val="44"/>
          </w:tcPr>
          <w:p>
            <w:pPr>
              <w:jc w:val="right"/>
              <w:ind w:right="6580"/>
              <w:spacing w:after="0"/>
              <w:rPr>
                <w:sz w:val="20"/>
                <w:szCs w:val="20"/>
                <w:color w:val="auto"/>
              </w:rPr>
            </w:pPr>
            <w:r>
              <w:rPr>
                <w:rFonts w:ascii="Arial" w:cs="Arial" w:eastAsia="Arial" w:hAnsi="Arial"/>
                <w:sz w:val="11"/>
                <w:szCs w:val="11"/>
                <w:color w:val="auto"/>
              </w:rPr>
              <w:t>2023</w:t>
            </w:r>
          </w:p>
        </w:tc>
        <w:tc>
          <w:tcPr>
            <w:tcW w:w="820" w:type="dxa"/>
            <w:vAlign w:val="bottom"/>
            <w:gridSpan w:val="7"/>
          </w:tcPr>
          <w:p>
            <w:pPr>
              <w:jc w:val="right"/>
              <w:ind w:right="320"/>
              <w:spacing w:after="0"/>
              <w:rPr>
                <w:sz w:val="20"/>
                <w:szCs w:val="20"/>
                <w:color w:val="auto"/>
              </w:rPr>
            </w:pPr>
            <w:r>
              <w:rPr>
                <w:rFonts w:ascii="Arial" w:cs="Arial" w:eastAsia="Arial" w:hAnsi="Arial"/>
                <w:sz w:val="11"/>
                <w:szCs w:val="11"/>
                <w:color w:val="auto"/>
              </w:rPr>
              <w:t>1,502</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1,408</w:t>
            </w:r>
          </w:p>
        </w:tc>
        <w:tc>
          <w:tcPr>
            <w:tcW w:w="680" w:type="dxa"/>
            <w:vAlign w:val="bottom"/>
            <w:gridSpan w:val="6"/>
          </w:tcPr>
          <w:p>
            <w:pPr>
              <w:jc w:val="right"/>
              <w:ind w:right="147"/>
              <w:spacing w:after="0"/>
              <w:rPr>
                <w:sz w:val="20"/>
                <w:szCs w:val="20"/>
                <w:color w:val="auto"/>
              </w:rPr>
            </w:pPr>
            <w:r>
              <w:rPr>
                <w:rFonts w:ascii="Arial" w:cs="Arial" w:eastAsia="Arial" w:hAnsi="Arial"/>
                <w:sz w:val="11"/>
                <w:szCs w:val="11"/>
                <w:color w:val="auto"/>
              </w:rPr>
              <w:t>1,397</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149</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145,066</w:t>
            </w:r>
          </w:p>
        </w:tc>
        <w:tc>
          <w:tcPr>
            <w:tcW w:w="0" w:type="dxa"/>
            <w:vAlign w:val="bottom"/>
          </w:tcPr>
          <w:p>
            <w:pPr>
              <w:spacing w:after="0"/>
              <w:rPr>
                <w:sz w:val="1"/>
                <w:szCs w:val="1"/>
                <w:color w:val="auto"/>
              </w:rPr>
            </w:pPr>
          </w:p>
        </w:tc>
      </w:tr>
      <w:tr>
        <w:trPr>
          <w:trHeight w:val="162"/>
        </w:trPr>
        <w:tc>
          <w:tcPr>
            <w:tcW w:w="7400" w:type="dxa"/>
            <w:vAlign w:val="bottom"/>
            <w:gridSpan w:val="51"/>
          </w:tcPr>
          <w:p>
            <w:pPr>
              <w:jc w:val="right"/>
              <w:ind w:right="7400"/>
              <w:spacing w:after="0"/>
              <w:rPr>
                <w:sz w:val="20"/>
                <w:szCs w:val="20"/>
                <w:color w:val="auto"/>
              </w:rPr>
            </w:pPr>
            <w:r>
              <w:rPr>
                <w:rFonts w:ascii="Arial" w:cs="Arial" w:eastAsia="Arial" w:hAnsi="Arial"/>
                <w:sz w:val="11"/>
                <w:szCs w:val="11"/>
                <w:color w:val="auto"/>
              </w:rPr>
              <w:t>2024</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1,614</w:t>
            </w:r>
          </w:p>
        </w:tc>
        <w:tc>
          <w:tcPr>
            <w:tcW w:w="680" w:type="dxa"/>
            <w:vAlign w:val="bottom"/>
            <w:gridSpan w:val="6"/>
            <w:shd w:val="clear" w:color="auto" w:fill="CCEEFF"/>
          </w:tcPr>
          <w:p>
            <w:pPr>
              <w:jc w:val="right"/>
              <w:ind w:right="147"/>
              <w:spacing w:after="0"/>
              <w:rPr>
                <w:sz w:val="20"/>
                <w:szCs w:val="20"/>
                <w:color w:val="auto"/>
              </w:rPr>
            </w:pPr>
            <w:r>
              <w:rPr>
                <w:rFonts w:ascii="Arial" w:cs="Arial" w:eastAsia="Arial" w:hAnsi="Arial"/>
                <w:sz w:val="11"/>
                <w:szCs w:val="11"/>
                <w:color w:val="auto"/>
              </w:rPr>
              <w:t>1,558</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247</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175,137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Borders>
              <w:bottom w:val="single" w:sz="8" w:color="CCEEFF"/>
            </w:tcBorders>
            <w:gridSpan w:val="55"/>
          </w:tcPr>
          <w:p>
            <w:pPr>
              <w:jc w:val="center"/>
              <w:ind w:right="7043"/>
              <w:spacing w:after="0"/>
              <w:rPr>
                <w:sz w:val="20"/>
                <w:szCs w:val="20"/>
                <w:color w:val="auto"/>
              </w:rPr>
            </w:pPr>
            <w:r>
              <w:rPr>
                <w:rFonts w:ascii="Arial" w:cs="Arial" w:eastAsia="Arial" w:hAnsi="Arial"/>
                <w:sz w:val="11"/>
                <w:szCs w:val="11"/>
                <w:color w:val="auto"/>
                <w:w w:val="97"/>
              </w:rPr>
              <w:t>2025</w:t>
            </w:r>
          </w:p>
        </w:tc>
        <w:tc>
          <w:tcPr>
            <w:tcW w:w="74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1"/>
                <w:szCs w:val="11"/>
                <w:color w:val="auto"/>
              </w:rPr>
              <w:t>1,462</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1"/>
                <w:szCs w:val="11"/>
                <w:color w:val="auto"/>
              </w:rPr>
              <w:t>564</w:t>
            </w:r>
          </w:p>
        </w:tc>
        <w:tc>
          <w:tcPr>
            <w:tcW w:w="98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135,480</w:t>
            </w:r>
          </w:p>
        </w:tc>
        <w:tc>
          <w:tcPr>
            <w:tcW w:w="0" w:type="dxa"/>
            <w:vAlign w:val="bottom"/>
          </w:tcPr>
          <w:p>
            <w:pPr>
              <w:spacing w:after="0"/>
              <w:rPr>
                <w:sz w:val="1"/>
                <w:szCs w:val="1"/>
                <w:color w:val="auto"/>
              </w:rPr>
            </w:pPr>
          </w:p>
        </w:tc>
      </w:tr>
      <w:tr>
        <w:trPr>
          <w:trHeight w:val="153"/>
        </w:trPr>
        <w:tc>
          <w:tcPr>
            <w:tcW w:w="7920" w:type="dxa"/>
            <w:vAlign w:val="bottom"/>
            <w:gridSpan w:val="54"/>
          </w:tcPr>
          <w:p>
            <w:pPr>
              <w:spacing w:after="0"/>
              <w:rPr>
                <w:sz w:val="20"/>
                <w:szCs w:val="20"/>
                <w:color w:val="auto"/>
              </w:rPr>
            </w:pPr>
            <w:r>
              <w:rPr>
                <w:rFonts w:ascii="Arial" w:cs="Arial" w:eastAsia="Arial" w:hAnsi="Arial"/>
                <w:sz w:val="11"/>
                <w:szCs w:val="11"/>
                <w:color w:val="auto"/>
              </w:rPr>
              <w:t>Total</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3060" w:type="dxa"/>
            <w:vAlign w:val="bottom"/>
            <w:gridSpan w:val="11"/>
            <w:shd w:val="clear" w:color="auto" w:fill="CCEEFF"/>
          </w:tcPr>
          <w:p>
            <w:pPr>
              <w:jc w:val="right"/>
              <w:ind w:right="2524"/>
              <w:spacing w:after="0"/>
              <w:rPr>
                <w:sz w:val="20"/>
                <w:szCs w:val="20"/>
                <w:color w:val="auto"/>
              </w:rPr>
            </w:pPr>
            <w:r>
              <w:rPr>
                <w:rFonts w:ascii="Arial" w:cs="Arial" w:eastAsia="Arial" w:hAnsi="Arial"/>
                <w:sz w:val="11"/>
                <w:szCs w:val="11"/>
                <w:color w:val="auto"/>
              </w:rPr>
              <w:t>11,198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26"/>
          </w:tcPr>
          <w:p>
            <w:pPr>
              <w:jc w:val="right"/>
              <w:ind w:right="14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31"/>
          </w:tcPr>
          <w:p>
            <w:pPr>
              <w:ind w:left="180"/>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Accident Year</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2016</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2018</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gridSpan w:val="3"/>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2"/>
          </w:tcPr>
          <w:p>
            <w:pPr>
              <w:spacing w:after="0"/>
              <w:rPr>
                <w:sz w:val="13"/>
                <w:szCs w:val="13"/>
                <w:color w:val="auto"/>
              </w:rPr>
            </w:pPr>
          </w:p>
        </w:tc>
        <w:tc>
          <w:tcPr>
            <w:tcW w:w="7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gridSpan w:val="2"/>
          </w:tcPr>
          <w:p>
            <w:pPr>
              <w:spacing w:after="0"/>
              <w:rPr>
                <w:sz w:val="13"/>
                <w:szCs w:val="13"/>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 (a)</w:t>
            </w:r>
          </w:p>
        </w:tc>
        <w:tc>
          <w:tcPr>
            <w:tcW w:w="104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w w:val="97"/>
              </w:rPr>
              <w:t>295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w w:val="97"/>
              </w:rPr>
              <w:t>524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580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645</w:t>
            </w: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670</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676</w:t>
            </w:r>
          </w:p>
        </w:tc>
        <w:tc>
          <w:tcPr>
            <w:tcW w:w="2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679</w:t>
            </w: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center"/>
              <w:ind w:left="924"/>
              <w:spacing w:after="0"/>
              <w:rPr>
                <w:sz w:val="20"/>
                <w:szCs w:val="20"/>
                <w:color w:val="auto"/>
              </w:rPr>
            </w:pPr>
            <w:r>
              <w:rPr>
                <w:rFonts w:ascii="Arial" w:cs="Arial" w:eastAsia="Arial" w:hAnsi="Arial"/>
                <w:sz w:val="11"/>
                <w:szCs w:val="11"/>
                <w:color w:val="auto"/>
              </w:rPr>
              <w:t>98.7%</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gridSpan w:val="10"/>
          </w:tcPr>
          <w:p>
            <w:pPr>
              <w:jc w:val="right"/>
              <w:ind w:right="1846"/>
              <w:spacing w:after="0"/>
              <w:rPr>
                <w:sz w:val="20"/>
                <w:szCs w:val="20"/>
                <w:color w:val="auto"/>
              </w:rPr>
            </w:pPr>
            <w:r>
              <w:rPr>
                <w:rFonts w:ascii="Arial" w:cs="Arial" w:eastAsia="Arial" w:hAnsi="Arial"/>
                <w:sz w:val="11"/>
                <w:szCs w:val="11"/>
                <w:color w:val="auto"/>
              </w:rPr>
              <w:t>2017</w:t>
            </w:r>
          </w:p>
        </w:tc>
        <w:tc>
          <w:tcPr>
            <w:tcW w:w="780" w:type="dxa"/>
            <w:vAlign w:val="bottom"/>
            <w:gridSpan w:val="6"/>
          </w:tcPr>
          <w:p>
            <w:pPr>
              <w:jc w:val="center"/>
              <w:spacing w:after="0"/>
              <w:rPr>
                <w:sz w:val="20"/>
                <w:szCs w:val="20"/>
                <w:color w:val="auto"/>
              </w:rPr>
            </w:pPr>
            <w:r>
              <w:rPr>
                <w:rFonts w:ascii="Arial" w:cs="Arial" w:eastAsia="Arial" w:hAnsi="Arial"/>
                <w:sz w:val="11"/>
                <w:szCs w:val="11"/>
                <w:color w:val="auto"/>
                <w:w w:val="97"/>
              </w:rPr>
              <w:t>381</w:t>
            </w:r>
          </w:p>
        </w:tc>
        <w:tc>
          <w:tcPr>
            <w:tcW w:w="700" w:type="dxa"/>
            <w:vAlign w:val="bottom"/>
            <w:gridSpan w:val="5"/>
          </w:tcPr>
          <w:p>
            <w:pPr>
              <w:ind w:left="280"/>
              <w:spacing w:after="0"/>
              <w:rPr>
                <w:sz w:val="20"/>
                <w:szCs w:val="20"/>
                <w:color w:val="auto"/>
              </w:rPr>
            </w:pPr>
            <w:r>
              <w:rPr>
                <w:rFonts w:ascii="Arial" w:cs="Arial" w:eastAsia="Arial" w:hAnsi="Arial"/>
                <w:sz w:val="11"/>
                <w:szCs w:val="11"/>
                <w:color w:val="auto"/>
              </w:rPr>
              <w:t>643</w:t>
            </w:r>
          </w:p>
        </w:tc>
        <w:tc>
          <w:tcPr>
            <w:tcW w:w="820" w:type="dxa"/>
            <w:vAlign w:val="bottom"/>
            <w:gridSpan w:val="6"/>
          </w:tcPr>
          <w:p>
            <w:pPr>
              <w:jc w:val="right"/>
              <w:ind w:right="203"/>
              <w:spacing w:after="0"/>
              <w:rPr>
                <w:sz w:val="20"/>
                <w:szCs w:val="20"/>
                <w:color w:val="auto"/>
              </w:rPr>
            </w:pPr>
            <w:r>
              <w:rPr>
                <w:rFonts w:ascii="Arial" w:cs="Arial" w:eastAsia="Arial" w:hAnsi="Arial"/>
                <w:sz w:val="11"/>
                <w:szCs w:val="11"/>
                <w:color w:val="auto"/>
              </w:rPr>
              <w:t>699</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738</w:t>
            </w:r>
          </w:p>
        </w:tc>
        <w:tc>
          <w:tcPr>
            <w:tcW w:w="740" w:type="dxa"/>
            <w:vAlign w:val="bottom"/>
            <w:gridSpan w:val="5"/>
          </w:tcPr>
          <w:p>
            <w:pPr>
              <w:jc w:val="right"/>
              <w:ind w:right="280"/>
              <w:spacing w:after="0"/>
              <w:rPr>
                <w:sz w:val="20"/>
                <w:szCs w:val="20"/>
                <w:color w:val="auto"/>
              </w:rPr>
            </w:pPr>
            <w:r>
              <w:rPr>
                <w:rFonts w:ascii="Arial" w:cs="Arial" w:eastAsia="Arial" w:hAnsi="Arial"/>
                <w:sz w:val="11"/>
                <w:szCs w:val="11"/>
                <w:color w:val="auto"/>
              </w:rPr>
              <w:t>760</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788</w:t>
            </w:r>
          </w:p>
        </w:tc>
        <w:tc>
          <w:tcPr>
            <w:tcW w:w="820" w:type="dxa"/>
            <w:vAlign w:val="bottom"/>
            <w:gridSpan w:val="7"/>
          </w:tcPr>
          <w:p>
            <w:pPr>
              <w:jc w:val="right"/>
              <w:ind w:right="360"/>
              <w:spacing w:after="0"/>
              <w:rPr>
                <w:sz w:val="20"/>
                <w:szCs w:val="20"/>
                <w:color w:val="auto"/>
              </w:rPr>
            </w:pPr>
            <w:r>
              <w:rPr>
                <w:rFonts w:ascii="Arial" w:cs="Arial" w:eastAsia="Arial" w:hAnsi="Arial"/>
                <w:sz w:val="11"/>
                <w:szCs w:val="11"/>
                <w:color w:val="auto"/>
              </w:rPr>
              <w:t>799</w:t>
            </w:r>
          </w:p>
        </w:tc>
        <w:tc>
          <w:tcPr>
            <w:tcW w:w="820" w:type="dxa"/>
            <w:vAlign w:val="bottom"/>
            <w:gridSpan w:val="6"/>
          </w:tcPr>
          <w:p>
            <w:pPr>
              <w:jc w:val="right"/>
              <w:ind w:right="343"/>
              <w:spacing w:after="0"/>
              <w:rPr>
                <w:sz w:val="20"/>
                <w:szCs w:val="20"/>
                <w:color w:val="auto"/>
              </w:rPr>
            </w:pPr>
            <w:r>
              <w:rPr>
                <w:rFonts w:ascii="Arial" w:cs="Arial" w:eastAsia="Arial" w:hAnsi="Arial"/>
                <w:sz w:val="11"/>
                <w:szCs w:val="11"/>
                <w:color w:val="auto"/>
              </w:rPr>
              <w:t>809</w:t>
            </w:r>
          </w:p>
        </w:tc>
        <w:tc>
          <w:tcPr>
            <w:tcW w:w="680" w:type="dxa"/>
            <w:vAlign w:val="bottom"/>
            <w:gridSpan w:val="6"/>
          </w:tcPr>
          <w:p>
            <w:pPr>
              <w:jc w:val="right"/>
              <w:ind w:right="187"/>
              <w:spacing w:after="0"/>
              <w:rPr>
                <w:sz w:val="20"/>
                <w:szCs w:val="20"/>
                <w:color w:val="auto"/>
              </w:rPr>
            </w:pPr>
            <w:r>
              <w:rPr>
                <w:rFonts w:ascii="Arial" w:cs="Arial" w:eastAsia="Arial" w:hAnsi="Arial"/>
                <w:sz w:val="11"/>
                <w:szCs w:val="11"/>
                <w:color w:val="auto"/>
              </w:rPr>
              <w:t>811</w:t>
            </w:r>
          </w:p>
        </w:tc>
        <w:tc>
          <w:tcPr>
            <w:tcW w:w="2380" w:type="dxa"/>
            <w:vAlign w:val="bottom"/>
            <w:gridSpan w:val="5"/>
          </w:tcPr>
          <w:p>
            <w:pPr>
              <w:jc w:val="center"/>
              <w:ind w:right="4"/>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62"/>
        </w:trPr>
        <w:tc>
          <w:tcPr>
            <w:tcW w:w="2680" w:type="dxa"/>
            <w:vAlign w:val="bottom"/>
            <w:gridSpan w:val="16"/>
          </w:tcPr>
          <w:p>
            <w:pPr>
              <w:jc w:val="right"/>
              <w:ind w:right="2680"/>
              <w:spacing w:after="0"/>
              <w:rPr>
                <w:sz w:val="20"/>
                <w:szCs w:val="20"/>
                <w:color w:val="auto"/>
              </w:rPr>
            </w:pPr>
            <w:r>
              <w:rPr>
                <w:rFonts w:ascii="Arial" w:cs="Arial" w:eastAsia="Arial" w:hAnsi="Arial"/>
                <w:sz w:val="11"/>
                <w:szCs w:val="11"/>
                <w:color w:val="auto"/>
              </w:rPr>
              <w:t>2018</w:t>
            </w:r>
          </w:p>
        </w:tc>
        <w:tc>
          <w:tcPr>
            <w:tcW w:w="700" w:type="dxa"/>
            <w:vAlign w:val="bottom"/>
            <w:gridSpan w:val="5"/>
            <w:shd w:val="clear" w:color="auto" w:fill="CCEEFF"/>
          </w:tcPr>
          <w:p>
            <w:pPr>
              <w:ind w:left="280"/>
              <w:spacing w:after="0"/>
              <w:rPr>
                <w:sz w:val="20"/>
                <w:szCs w:val="20"/>
                <w:color w:val="auto"/>
              </w:rPr>
            </w:pPr>
            <w:r>
              <w:rPr>
                <w:rFonts w:ascii="Arial" w:cs="Arial" w:eastAsia="Arial" w:hAnsi="Arial"/>
                <w:sz w:val="11"/>
                <w:szCs w:val="11"/>
                <w:color w:val="auto"/>
              </w:rPr>
              <w:t>400</w:t>
            </w:r>
          </w:p>
        </w:tc>
        <w:tc>
          <w:tcPr>
            <w:tcW w:w="820" w:type="dxa"/>
            <w:vAlign w:val="bottom"/>
            <w:gridSpan w:val="6"/>
            <w:shd w:val="clear" w:color="auto" w:fill="CCEEFF"/>
          </w:tcPr>
          <w:p>
            <w:pPr>
              <w:jc w:val="right"/>
              <w:ind w:right="203"/>
              <w:spacing w:after="0"/>
              <w:rPr>
                <w:sz w:val="20"/>
                <w:szCs w:val="20"/>
                <w:color w:val="auto"/>
              </w:rPr>
            </w:pPr>
            <w:r>
              <w:rPr>
                <w:rFonts w:ascii="Arial" w:cs="Arial" w:eastAsia="Arial" w:hAnsi="Arial"/>
                <w:sz w:val="11"/>
                <w:szCs w:val="11"/>
                <w:color w:val="auto"/>
              </w:rPr>
              <w:t>680</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744</w:t>
            </w:r>
          </w:p>
        </w:tc>
        <w:tc>
          <w:tcPr>
            <w:tcW w:w="74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787</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831</w:t>
            </w:r>
          </w:p>
        </w:tc>
        <w:tc>
          <w:tcPr>
            <w:tcW w:w="820" w:type="dxa"/>
            <w:vAlign w:val="bottom"/>
            <w:gridSpan w:val="7"/>
            <w:shd w:val="clear" w:color="auto" w:fill="CCEEFF"/>
          </w:tcPr>
          <w:p>
            <w:pPr>
              <w:jc w:val="right"/>
              <w:ind w:right="360"/>
              <w:spacing w:after="0"/>
              <w:rPr>
                <w:sz w:val="20"/>
                <w:szCs w:val="20"/>
                <w:color w:val="auto"/>
              </w:rPr>
            </w:pPr>
            <w:r>
              <w:rPr>
                <w:rFonts w:ascii="Arial" w:cs="Arial" w:eastAsia="Arial" w:hAnsi="Arial"/>
                <w:sz w:val="11"/>
                <w:szCs w:val="11"/>
                <w:color w:val="auto"/>
              </w:rPr>
              <w:t>845</w:t>
            </w:r>
          </w:p>
        </w:tc>
        <w:tc>
          <w:tcPr>
            <w:tcW w:w="820" w:type="dxa"/>
            <w:vAlign w:val="bottom"/>
            <w:gridSpan w:val="6"/>
            <w:shd w:val="clear" w:color="auto" w:fill="CCEEFF"/>
          </w:tcPr>
          <w:p>
            <w:pPr>
              <w:jc w:val="right"/>
              <w:ind w:right="343"/>
              <w:spacing w:after="0"/>
              <w:rPr>
                <w:sz w:val="20"/>
                <w:szCs w:val="20"/>
                <w:color w:val="auto"/>
              </w:rPr>
            </w:pPr>
            <w:r>
              <w:rPr>
                <w:rFonts w:ascii="Arial" w:cs="Arial" w:eastAsia="Arial" w:hAnsi="Arial"/>
                <w:sz w:val="11"/>
                <w:szCs w:val="11"/>
                <w:color w:val="auto"/>
              </w:rPr>
              <w:t>859</w:t>
            </w:r>
          </w:p>
        </w:tc>
        <w:tc>
          <w:tcPr>
            <w:tcW w:w="680" w:type="dxa"/>
            <w:vAlign w:val="bottom"/>
            <w:gridSpan w:val="6"/>
            <w:shd w:val="clear" w:color="auto" w:fill="CCEEFF"/>
          </w:tcPr>
          <w:p>
            <w:pPr>
              <w:jc w:val="right"/>
              <w:ind w:right="187"/>
              <w:spacing w:after="0"/>
              <w:rPr>
                <w:sz w:val="20"/>
                <w:szCs w:val="20"/>
                <w:color w:val="auto"/>
              </w:rPr>
            </w:pPr>
            <w:r>
              <w:rPr>
                <w:rFonts w:ascii="Arial" w:cs="Arial" w:eastAsia="Arial" w:hAnsi="Arial"/>
                <w:sz w:val="11"/>
                <w:szCs w:val="11"/>
                <w:color w:val="auto"/>
              </w:rPr>
              <w:t>873</w:t>
            </w:r>
          </w:p>
        </w:tc>
        <w:tc>
          <w:tcPr>
            <w:tcW w:w="2380" w:type="dxa"/>
            <w:vAlign w:val="bottom"/>
            <w:gridSpan w:val="5"/>
            <w:shd w:val="clear" w:color="auto" w:fill="CCEEFF"/>
          </w:tcPr>
          <w:p>
            <w:pPr>
              <w:jc w:val="center"/>
              <w:ind w:right="4"/>
              <w:spacing w:after="0"/>
              <w:rPr>
                <w:sz w:val="20"/>
                <w:szCs w:val="20"/>
                <w:color w:val="auto"/>
              </w:rPr>
            </w:pPr>
            <w:r>
              <w:rPr>
                <w:rFonts w:ascii="Arial" w:cs="Arial" w:eastAsia="Arial" w:hAnsi="Arial"/>
                <w:sz w:val="11"/>
                <w:szCs w:val="11"/>
                <w:color w:val="auto"/>
              </w:rPr>
              <w:t>98.1%</w:t>
            </w:r>
          </w:p>
        </w:tc>
        <w:tc>
          <w:tcPr>
            <w:tcW w:w="0" w:type="dxa"/>
            <w:vAlign w:val="bottom"/>
          </w:tcPr>
          <w:p>
            <w:pPr>
              <w:spacing w:after="0"/>
              <w:rPr>
                <w:sz w:val="1"/>
                <w:szCs w:val="1"/>
                <w:color w:val="auto"/>
              </w:rPr>
            </w:pPr>
          </w:p>
        </w:tc>
      </w:tr>
      <w:tr>
        <w:trPr>
          <w:trHeight w:val="156"/>
        </w:trPr>
        <w:tc>
          <w:tcPr>
            <w:tcW w:w="3380" w:type="dxa"/>
            <w:vAlign w:val="bottom"/>
            <w:gridSpan w:val="21"/>
          </w:tcPr>
          <w:p>
            <w:pPr>
              <w:jc w:val="right"/>
              <w:ind w:right="3329"/>
              <w:spacing w:after="0"/>
              <w:rPr>
                <w:sz w:val="20"/>
                <w:szCs w:val="20"/>
                <w:color w:val="auto"/>
              </w:rPr>
            </w:pPr>
            <w:r>
              <w:rPr>
                <w:rFonts w:ascii="Arial" w:cs="Arial" w:eastAsia="Arial" w:hAnsi="Arial"/>
                <w:sz w:val="11"/>
                <w:szCs w:val="11"/>
                <w:color w:val="auto"/>
              </w:rPr>
              <w:t>2019</w:t>
            </w:r>
          </w:p>
        </w:tc>
        <w:tc>
          <w:tcPr>
            <w:tcW w:w="820" w:type="dxa"/>
            <w:vAlign w:val="bottom"/>
            <w:gridSpan w:val="6"/>
          </w:tcPr>
          <w:p>
            <w:pPr>
              <w:jc w:val="right"/>
              <w:ind w:right="203"/>
              <w:spacing w:after="0"/>
              <w:rPr>
                <w:sz w:val="20"/>
                <w:szCs w:val="20"/>
                <w:color w:val="auto"/>
              </w:rPr>
            </w:pPr>
            <w:r>
              <w:rPr>
                <w:rFonts w:ascii="Arial" w:cs="Arial" w:eastAsia="Arial" w:hAnsi="Arial"/>
                <w:sz w:val="11"/>
                <w:szCs w:val="11"/>
                <w:color w:val="auto"/>
              </w:rPr>
              <w:t>529</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829</w:t>
            </w:r>
          </w:p>
        </w:tc>
        <w:tc>
          <w:tcPr>
            <w:tcW w:w="740" w:type="dxa"/>
            <w:vAlign w:val="bottom"/>
            <w:gridSpan w:val="5"/>
          </w:tcPr>
          <w:p>
            <w:pPr>
              <w:jc w:val="right"/>
              <w:ind w:right="280"/>
              <w:spacing w:after="0"/>
              <w:rPr>
                <w:sz w:val="20"/>
                <w:szCs w:val="20"/>
                <w:color w:val="auto"/>
              </w:rPr>
            </w:pPr>
            <w:r>
              <w:rPr>
                <w:rFonts w:ascii="Arial" w:cs="Arial" w:eastAsia="Arial" w:hAnsi="Arial"/>
                <w:sz w:val="11"/>
                <w:szCs w:val="11"/>
                <w:color w:val="auto"/>
              </w:rPr>
              <w:t>911</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967</w:t>
            </w:r>
          </w:p>
        </w:tc>
        <w:tc>
          <w:tcPr>
            <w:tcW w:w="820" w:type="dxa"/>
            <w:vAlign w:val="bottom"/>
            <w:gridSpan w:val="7"/>
          </w:tcPr>
          <w:p>
            <w:pPr>
              <w:jc w:val="right"/>
              <w:ind w:right="360"/>
              <w:spacing w:after="0"/>
              <w:rPr>
                <w:sz w:val="20"/>
                <w:szCs w:val="20"/>
                <w:color w:val="auto"/>
              </w:rPr>
            </w:pPr>
            <w:r>
              <w:rPr>
                <w:rFonts w:ascii="Arial" w:cs="Arial" w:eastAsia="Arial" w:hAnsi="Arial"/>
                <w:sz w:val="11"/>
                <w:szCs w:val="11"/>
                <w:color w:val="auto"/>
              </w:rPr>
              <w:t>1,006</w:t>
            </w:r>
          </w:p>
        </w:tc>
        <w:tc>
          <w:tcPr>
            <w:tcW w:w="820" w:type="dxa"/>
            <w:vAlign w:val="bottom"/>
            <w:gridSpan w:val="6"/>
          </w:tcPr>
          <w:p>
            <w:pPr>
              <w:jc w:val="right"/>
              <w:ind w:right="343"/>
              <w:spacing w:after="0"/>
              <w:rPr>
                <w:sz w:val="20"/>
                <w:szCs w:val="20"/>
                <w:color w:val="auto"/>
              </w:rPr>
            </w:pPr>
            <w:r>
              <w:rPr>
                <w:rFonts w:ascii="Arial" w:cs="Arial" w:eastAsia="Arial" w:hAnsi="Arial"/>
                <w:sz w:val="11"/>
                <w:szCs w:val="11"/>
                <w:color w:val="auto"/>
              </w:rPr>
              <w:t>1,032</w:t>
            </w:r>
          </w:p>
        </w:tc>
        <w:tc>
          <w:tcPr>
            <w:tcW w:w="680" w:type="dxa"/>
            <w:vAlign w:val="bottom"/>
            <w:gridSpan w:val="6"/>
          </w:tcPr>
          <w:p>
            <w:pPr>
              <w:jc w:val="right"/>
              <w:ind w:right="187"/>
              <w:spacing w:after="0"/>
              <w:rPr>
                <w:sz w:val="20"/>
                <w:szCs w:val="20"/>
                <w:color w:val="auto"/>
              </w:rPr>
            </w:pPr>
            <w:r>
              <w:rPr>
                <w:rFonts w:ascii="Arial" w:cs="Arial" w:eastAsia="Arial" w:hAnsi="Arial"/>
                <w:sz w:val="11"/>
                <w:szCs w:val="11"/>
                <w:color w:val="auto"/>
              </w:rPr>
              <w:t>1,046</w:t>
            </w:r>
          </w:p>
        </w:tc>
        <w:tc>
          <w:tcPr>
            <w:tcW w:w="2380" w:type="dxa"/>
            <w:vAlign w:val="bottom"/>
            <w:gridSpan w:val="5"/>
          </w:tcPr>
          <w:p>
            <w:pPr>
              <w:jc w:val="center"/>
              <w:ind w:right="4"/>
              <w:spacing w:after="0"/>
              <w:rPr>
                <w:sz w:val="20"/>
                <w:szCs w:val="20"/>
                <w:color w:val="auto"/>
              </w:rPr>
            </w:pPr>
            <w:r>
              <w:rPr>
                <w:rFonts w:ascii="Arial" w:cs="Arial" w:eastAsia="Arial" w:hAnsi="Arial"/>
                <w:sz w:val="11"/>
                <w:szCs w:val="11"/>
                <w:color w:val="auto"/>
              </w:rPr>
              <w:t>97.8%</w:t>
            </w:r>
          </w:p>
        </w:tc>
        <w:tc>
          <w:tcPr>
            <w:tcW w:w="0" w:type="dxa"/>
            <w:vAlign w:val="bottom"/>
          </w:tcPr>
          <w:p>
            <w:pPr>
              <w:spacing w:after="0"/>
              <w:rPr>
                <w:sz w:val="1"/>
                <w:szCs w:val="1"/>
                <w:color w:val="auto"/>
              </w:rPr>
            </w:pPr>
          </w:p>
        </w:tc>
      </w:tr>
      <w:tr>
        <w:trPr>
          <w:trHeight w:val="162"/>
        </w:trPr>
        <w:tc>
          <w:tcPr>
            <w:tcW w:w="4200" w:type="dxa"/>
            <w:vAlign w:val="bottom"/>
            <w:gridSpan w:val="27"/>
          </w:tcPr>
          <w:p>
            <w:pPr>
              <w:jc w:val="right"/>
              <w:ind w:right="4143"/>
              <w:spacing w:after="0"/>
              <w:rPr>
                <w:sz w:val="20"/>
                <w:szCs w:val="20"/>
                <w:color w:val="auto"/>
              </w:rPr>
            </w:pPr>
            <w:r>
              <w:rPr>
                <w:rFonts w:ascii="Arial" w:cs="Arial" w:eastAsia="Arial" w:hAnsi="Arial"/>
                <w:sz w:val="11"/>
                <w:szCs w:val="11"/>
                <w:color w:val="auto"/>
              </w:rPr>
              <w:t>2020</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462</w:t>
            </w:r>
          </w:p>
        </w:tc>
        <w:tc>
          <w:tcPr>
            <w:tcW w:w="74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728</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808</w:t>
            </w:r>
          </w:p>
        </w:tc>
        <w:tc>
          <w:tcPr>
            <w:tcW w:w="820" w:type="dxa"/>
            <w:vAlign w:val="bottom"/>
            <w:gridSpan w:val="7"/>
            <w:shd w:val="clear" w:color="auto" w:fill="CCEEFF"/>
          </w:tcPr>
          <w:p>
            <w:pPr>
              <w:jc w:val="right"/>
              <w:ind w:right="360"/>
              <w:spacing w:after="0"/>
              <w:rPr>
                <w:sz w:val="20"/>
                <w:szCs w:val="20"/>
                <w:color w:val="auto"/>
              </w:rPr>
            </w:pPr>
            <w:r>
              <w:rPr>
                <w:rFonts w:ascii="Arial" w:cs="Arial" w:eastAsia="Arial" w:hAnsi="Arial"/>
                <w:sz w:val="11"/>
                <w:szCs w:val="11"/>
                <w:color w:val="auto"/>
              </w:rPr>
              <w:t>866</w:t>
            </w:r>
          </w:p>
        </w:tc>
        <w:tc>
          <w:tcPr>
            <w:tcW w:w="820" w:type="dxa"/>
            <w:vAlign w:val="bottom"/>
            <w:gridSpan w:val="6"/>
            <w:shd w:val="clear" w:color="auto" w:fill="CCEEFF"/>
          </w:tcPr>
          <w:p>
            <w:pPr>
              <w:jc w:val="right"/>
              <w:ind w:right="343"/>
              <w:spacing w:after="0"/>
              <w:rPr>
                <w:sz w:val="20"/>
                <w:szCs w:val="20"/>
                <w:color w:val="auto"/>
              </w:rPr>
            </w:pPr>
            <w:r>
              <w:rPr>
                <w:rFonts w:ascii="Arial" w:cs="Arial" w:eastAsia="Arial" w:hAnsi="Arial"/>
                <w:sz w:val="11"/>
                <w:szCs w:val="11"/>
                <w:color w:val="auto"/>
              </w:rPr>
              <w:t>905</w:t>
            </w:r>
          </w:p>
        </w:tc>
        <w:tc>
          <w:tcPr>
            <w:tcW w:w="680" w:type="dxa"/>
            <w:vAlign w:val="bottom"/>
            <w:gridSpan w:val="6"/>
            <w:shd w:val="clear" w:color="auto" w:fill="CCEEFF"/>
          </w:tcPr>
          <w:p>
            <w:pPr>
              <w:jc w:val="right"/>
              <w:ind w:right="187"/>
              <w:spacing w:after="0"/>
              <w:rPr>
                <w:sz w:val="20"/>
                <w:szCs w:val="20"/>
                <w:color w:val="auto"/>
              </w:rPr>
            </w:pPr>
            <w:r>
              <w:rPr>
                <w:rFonts w:ascii="Arial" w:cs="Arial" w:eastAsia="Arial" w:hAnsi="Arial"/>
                <w:sz w:val="11"/>
                <w:szCs w:val="11"/>
                <w:color w:val="auto"/>
              </w:rPr>
              <w:t>929</w:t>
            </w:r>
          </w:p>
        </w:tc>
        <w:tc>
          <w:tcPr>
            <w:tcW w:w="2380" w:type="dxa"/>
            <w:vAlign w:val="bottom"/>
            <w:gridSpan w:val="5"/>
            <w:shd w:val="clear" w:color="auto" w:fill="CCEEFF"/>
          </w:tcPr>
          <w:p>
            <w:pPr>
              <w:jc w:val="center"/>
              <w:ind w:right="4"/>
              <w:spacing w:after="0"/>
              <w:rPr>
                <w:sz w:val="20"/>
                <w:szCs w:val="20"/>
                <w:color w:val="auto"/>
              </w:rPr>
            </w:pPr>
            <w:r>
              <w:rPr>
                <w:rFonts w:ascii="Arial" w:cs="Arial" w:eastAsia="Arial" w:hAnsi="Arial"/>
                <w:sz w:val="11"/>
                <w:szCs w:val="11"/>
                <w:color w:val="auto"/>
              </w:rPr>
              <w:t>96.4%</w:t>
            </w:r>
          </w:p>
        </w:tc>
        <w:tc>
          <w:tcPr>
            <w:tcW w:w="0" w:type="dxa"/>
            <w:vAlign w:val="bottom"/>
          </w:tcPr>
          <w:p>
            <w:pPr>
              <w:spacing w:after="0"/>
              <w:rPr>
                <w:sz w:val="1"/>
                <w:szCs w:val="1"/>
                <w:color w:val="auto"/>
              </w:rPr>
            </w:pPr>
          </w:p>
        </w:tc>
      </w:tr>
      <w:tr>
        <w:trPr>
          <w:trHeight w:val="156"/>
        </w:trPr>
        <w:tc>
          <w:tcPr>
            <w:tcW w:w="5020" w:type="dxa"/>
            <w:vAlign w:val="bottom"/>
            <w:gridSpan w:val="33"/>
          </w:tcPr>
          <w:p>
            <w:pPr>
              <w:jc w:val="right"/>
              <w:ind w:right="5020"/>
              <w:spacing w:after="0"/>
              <w:rPr>
                <w:sz w:val="20"/>
                <w:szCs w:val="20"/>
                <w:color w:val="auto"/>
              </w:rPr>
            </w:pPr>
            <w:r>
              <w:rPr>
                <w:rFonts w:ascii="Arial" w:cs="Arial" w:eastAsia="Arial" w:hAnsi="Arial"/>
                <w:sz w:val="11"/>
                <w:szCs w:val="11"/>
                <w:color w:val="auto"/>
              </w:rPr>
              <w:t>2021</w:t>
            </w:r>
          </w:p>
        </w:tc>
        <w:tc>
          <w:tcPr>
            <w:tcW w:w="740" w:type="dxa"/>
            <w:vAlign w:val="bottom"/>
            <w:gridSpan w:val="5"/>
          </w:tcPr>
          <w:p>
            <w:pPr>
              <w:jc w:val="right"/>
              <w:ind w:right="280"/>
              <w:spacing w:after="0"/>
              <w:rPr>
                <w:sz w:val="20"/>
                <w:szCs w:val="20"/>
                <w:color w:val="auto"/>
              </w:rPr>
            </w:pPr>
            <w:r>
              <w:rPr>
                <w:rFonts w:ascii="Arial" w:cs="Arial" w:eastAsia="Arial" w:hAnsi="Arial"/>
                <w:sz w:val="11"/>
                <w:szCs w:val="11"/>
                <w:color w:val="auto"/>
              </w:rPr>
              <w:t>449</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770</w:t>
            </w:r>
          </w:p>
        </w:tc>
        <w:tc>
          <w:tcPr>
            <w:tcW w:w="820" w:type="dxa"/>
            <w:vAlign w:val="bottom"/>
            <w:gridSpan w:val="7"/>
          </w:tcPr>
          <w:p>
            <w:pPr>
              <w:jc w:val="right"/>
              <w:ind w:right="360"/>
              <w:spacing w:after="0"/>
              <w:rPr>
                <w:sz w:val="20"/>
                <w:szCs w:val="20"/>
                <w:color w:val="auto"/>
              </w:rPr>
            </w:pPr>
            <w:r>
              <w:rPr>
                <w:rFonts w:ascii="Arial" w:cs="Arial" w:eastAsia="Arial" w:hAnsi="Arial"/>
                <w:sz w:val="11"/>
                <w:szCs w:val="11"/>
                <w:color w:val="auto"/>
              </w:rPr>
              <w:t>872</w:t>
            </w:r>
          </w:p>
        </w:tc>
        <w:tc>
          <w:tcPr>
            <w:tcW w:w="820" w:type="dxa"/>
            <w:vAlign w:val="bottom"/>
            <w:gridSpan w:val="6"/>
          </w:tcPr>
          <w:p>
            <w:pPr>
              <w:jc w:val="right"/>
              <w:ind w:right="343"/>
              <w:spacing w:after="0"/>
              <w:rPr>
                <w:sz w:val="20"/>
                <w:szCs w:val="20"/>
                <w:color w:val="auto"/>
              </w:rPr>
            </w:pPr>
            <w:r>
              <w:rPr>
                <w:rFonts w:ascii="Arial" w:cs="Arial" w:eastAsia="Arial" w:hAnsi="Arial"/>
                <w:sz w:val="11"/>
                <w:szCs w:val="11"/>
                <w:color w:val="auto"/>
              </w:rPr>
              <w:t>941</w:t>
            </w:r>
          </w:p>
        </w:tc>
        <w:tc>
          <w:tcPr>
            <w:tcW w:w="680" w:type="dxa"/>
            <w:vAlign w:val="bottom"/>
            <w:gridSpan w:val="6"/>
          </w:tcPr>
          <w:p>
            <w:pPr>
              <w:jc w:val="right"/>
              <w:ind w:right="187"/>
              <w:spacing w:after="0"/>
              <w:rPr>
                <w:sz w:val="20"/>
                <w:szCs w:val="20"/>
                <w:color w:val="auto"/>
              </w:rPr>
            </w:pPr>
            <w:r>
              <w:rPr>
                <w:rFonts w:ascii="Arial" w:cs="Arial" w:eastAsia="Arial" w:hAnsi="Arial"/>
                <w:sz w:val="11"/>
                <w:szCs w:val="11"/>
                <w:color w:val="auto"/>
              </w:rPr>
              <w:t>972</w:t>
            </w:r>
          </w:p>
        </w:tc>
        <w:tc>
          <w:tcPr>
            <w:tcW w:w="2380" w:type="dxa"/>
            <w:vAlign w:val="bottom"/>
            <w:gridSpan w:val="5"/>
          </w:tcPr>
          <w:p>
            <w:pPr>
              <w:jc w:val="center"/>
              <w:ind w:right="4"/>
              <w:spacing w:after="0"/>
              <w:rPr>
                <w:sz w:val="20"/>
                <w:szCs w:val="20"/>
                <w:color w:val="auto"/>
              </w:rPr>
            </w:pPr>
            <w:r>
              <w:rPr>
                <w:rFonts w:ascii="Arial" w:cs="Arial" w:eastAsia="Arial" w:hAnsi="Arial"/>
                <w:sz w:val="11"/>
                <w:szCs w:val="11"/>
                <w:color w:val="auto"/>
              </w:rPr>
              <w:t>94.0%</w:t>
            </w:r>
          </w:p>
        </w:tc>
        <w:tc>
          <w:tcPr>
            <w:tcW w:w="0" w:type="dxa"/>
            <w:vAlign w:val="bottom"/>
          </w:tcPr>
          <w:p>
            <w:pPr>
              <w:spacing w:after="0"/>
              <w:rPr>
                <w:sz w:val="1"/>
                <w:szCs w:val="1"/>
                <w:color w:val="auto"/>
              </w:rPr>
            </w:pPr>
          </w:p>
        </w:tc>
      </w:tr>
      <w:tr>
        <w:trPr>
          <w:trHeight w:val="162"/>
        </w:trPr>
        <w:tc>
          <w:tcPr>
            <w:tcW w:w="5760" w:type="dxa"/>
            <w:vAlign w:val="bottom"/>
            <w:gridSpan w:val="38"/>
          </w:tcPr>
          <w:p>
            <w:pPr>
              <w:jc w:val="right"/>
              <w:ind w:right="5760"/>
              <w:spacing w:after="0"/>
              <w:rPr>
                <w:sz w:val="20"/>
                <w:szCs w:val="20"/>
                <w:color w:val="auto"/>
              </w:rPr>
            </w:pPr>
            <w:r>
              <w:rPr>
                <w:rFonts w:ascii="Arial" w:cs="Arial" w:eastAsia="Arial" w:hAnsi="Arial"/>
                <w:sz w:val="11"/>
                <w:szCs w:val="11"/>
                <w:color w:val="auto"/>
              </w:rPr>
              <w:t>2022</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588</w:t>
            </w:r>
          </w:p>
        </w:tc>
        <w:tc>
          <w:tcPr>
            <w:tcW w:w="820" w:type="dxa"/>
            <w:vAlign w:val="bottom"/>
            <w:gridSpan w:val="7"/>
            <w:shd w:val="clear" w:color="auto" w:fill="CCEEFF"/>
          </w:tcPr>
          <w:p>
            <w:pPr>
              <w:jc w:val="right"/>
              <w:ind w:right="360"/>
              <w:spacing w:after="0"/>
              <w:rPr>
                <w:sz w:val="20"/>
                <w:szCs w:val="20"/>
                <w:color w:val="auto"/>
              </w:rPr>
            </w:pPr>
            <w:r>
              <w:rPr>
                <w:rFonts w:ascii="Arial" w:cs="Arial" w:eastAsia="Arial" w:hAnsi="Arial"/>
                <w:sz w:val="11"/>
                <w:szCs w:val="11"/>
                <w:color w:val="auto"/>
              </w:rPr>
              <w:t>1,024</w:t>
            </w:r>
          </w:p>
        </w:tc>
        <w:tc>
          <w:tcPr>
            <w:tcW w:w="820" w:type="dxa"/>
            <w:vAlign w:val="bottom"/>
            <w:gridSpan w:val="6"/>
            <w:shd w:val="clear" w:color="auto" w:fill="CCEEFF"/>
          </w:tcPr>
          <w:p>
            <w:pPr>
              <w:jc w:val="right"/>
              <w:ind w:right="343"/>
              <w:spacing w:after="0"/>
              <w:rPr>
                <w:sz w:val="20"/>
                <w:szCs w:val="20"/>
                <w:color w:val="auto"/>
              </w:rPr>
            </w:pPr>
            <w:r>
              <w:rPr>
                <w:rFonts w:ascii="Arial" w:cs="Arial" w:eastAsia="Arial" w:hAnsi="Arial"/>
                <w:sz w:val="11"/>
                <w:szCs w:val="11"/>
                <w:color w:val="auto"/>
              </w:rPr>
              <w:t>1,128</w:t>
            </w:r>
          </w:p>
        </w:tc>
        <w:tc>
          <w:tcPr>
            <w:tcW w:w="680" w:type="dxa"/>
            <w:vAlign w:val="bottom"/>
            <w:gridSpan w:val="6"/>
            <w:shd w:val="clear" w:color="auto" w:fill="CCEEFF"/>
          </w:tcPr>
          <w:p>
            <w:pPr>
              <w:jc w:val="right"/>
              <w:ind w:right="187"/>
              <w:spacing w:after="0"/>
              <w:rPr>
                <w:sz w:val="20"/>
                <w:szCs w:val="20"/>
                <w:color w:val="auto"/>
              </w:rPr>
            </w:pPr>
            <w:r>
              <w:rPr>
                <w:rFonts w:ascii="Arial" w:cs="Arial" w:eastAsia="Arial" w:hAnsi="Arial"/>
                <w:sz w:val="11"/>
                <w:szCs w:val="11"/>
                <w:color w:val="auto"/>
              </w:rPr>
              <w:t>1,184</w:t>
            </w:r>
          </w:p>
        </w:tc>
        <w:tc>
          <w:tcPr>
            <w:tcW w:w="2380" w:type="dxa"/>
            <w:vAlign w:val="bottom"/>
            <w:gridSpan w:val="5"/>
            <w:shd w:val="clear" w:color="auto" w:fill="CCEEFF"/>
          </w:tcPr>
          <w:p>
            <w:pPr>
              <w:jc w:val="center"/>
              <w:ind w:right="4"/>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56"/>
        </w:trPr>
        <w:tc>
          <w:tcPr>
            <w:tcW w:w="6580" w:type="dxa"/>
            <w:vAlign w:val="bottom"/>
            <w:gridSpan w:val="44"/>
          </w:tcPr>
          <w:p>
            <w:pPr>
              <w:jc w:val="right"/>
              <w:ind w:right="6580"/>
              <w:spacing w:after="0"/>
              <w:rPr>
                <w:sz w:val="20"/>
                <w:szCs w:val="20"/>
                <w:color w:val="auto"/>
              </w:rPr>
            </w:pPr>
            <w:r>
              <w:rPr>
                <w:rFonts w:ascii="Arial" w:cs="Arial" w:eastAsia="Arial" w:hAnsi="Arial"/>
                <w:sz w:val="11"/>
                <w:szCs w:val="11"/>
                <w:color w:val="auto"/>
              </w:rPr>
              <w:t>2023</w:t>
            </w:r>
          </w:p>
        </w:tc>
        <w:tc>
          <w:tcPr>
            <w:tcW w:w="820" w:type="dxa"/>
            <w:vAlign w:val="bottom"/>
            <w:gridSpan w:val="7"/>
          </w:tcPr>
          <w:p>
            <w:pPr>
              <w:jc w:val="right"/>
              <w:ind w:right="360"/>
              <w:spacing w:after="0"/>
              <w:rPr>
                <w:sz w:val="20"/>
                <w:szCs w:val="20"/>
                <w:color w:val="auto"/>
              </w:rPr>
            </w:pPr>
            <w:r>
              <w:rPr>
                <w:rFonts w:ascii="Arial" w:cs="Arial" w:eastAsia="Arial" w:hAnsi="Arial"/>
                <w:sz w:val="11"/>
                <w:szCs w:val="11"/>
                <w:color w:val="auto"/>
              </w:rPr>
              <w:t>564</w:t>
            </w:r>
          </w:p>
        </w:tc>
        <w:tc>
          <w:tcPr>
            <w:tcW w:w="820" w:type="dxa"/>
            <w:vAlign w:val="bottom"/>
            <w:gridSpan w:val="6"/>
          </w:tcPr>
          <w:p>
            <w:pPr>
              <w:jc w:val="right"/>
              <w:ind w:right="343"/>
              <w:spacing w:after="0"/>
              <w:rPr>
                <w:sz w:val="20"/>
                <w:szCs w:val="20"/>
                <w:color w:val="auto"/>
              </w:rPr>
            </w:pPr>
            <w:r>
              <w:rPr>
                <w:rFonts w:ascii="Arial" w:cs="Arial" w:eastAsia="Arial" w:hAnsi="Arial"/>
                <w:sz w:val="11"/>
                <w:szCs w:val="11"/>
                <w:color w:val="auto"/>
              </w:rPr>
              <w:t>1,070</w:t>
            </w:r>
          </w:p>
        </w:tc>
        <w:tc>
          <w:tcPr>
            <w:tcW w:w="680" w:type="dxa"/>
            <w:vAlign w:val="bottom"/>
            <w:gridSpan w:val="6"/>
          </w:tcPr>
          <w:p>
            <w:pPr>
              <w:jc w:val="right"/>
              <w:ind w:right="187"/>
              <w:spacing w:after="0"/>
              <w:rPr>
                <w:sz w:val="20"/>
                <w:szCs w:val="20"/>
                <w:color w:val="auto"/>
              </w:rPr>
            </w:pPr>
            <w:r>
              <w:rPr>
                <w:rFonts w:ascii="Arial" w:cs="Arial" w:eastAsia="Arial" w:hAnsi="Arial"/>
                <w:sz w:val="11"/>
                <w:szCs w:val="11"/>
                <w:color w:val="auto"/>
              </w:rPr>
              <w:t>1,176</w:t>
            </w:r>
          </w:p>
        </w:tc>
        <w:tc>
          <w:tcPr>
            <w:tcW w:w="2380" w:type="dxa"/>
            <w:vAlign w:val="bottom"/>
            <w:gridSpan w:val="5"/>
          </w:tcPr>
          <w:p>
            <w:pPr>
              <w:jc w:val="center"/>
              <w:ind w:right="4"/>
              <w:spacing w:after="0"/>
              <w:rPr>
                <w:sz w:val="20"/>
                <w:szCs w:val="20"/>
                <w:color w:val="auto"/>
              </w:rPr>
            </w:pPr>
            <w:r>
              <w:rPr>
                <w:rFonts w:ascii="Arial" w:cs="Arial" w:eastAsia="Arial" w:hAnsi="Arial"/>
                <w:sz w:val="11"/>
                <w:szCs w:val="11"/>
                <w:color w:val="auto"/>
              </w:rPr>
              <w:t>84.2%</w:t>
            </w:r>
          </w:p>
        </w:tc>
        <w:tc>
          <w:tcPr>
            <w:tcW w:w="0" w:type="dxa"/>
            <w:vAlign w:val="bottom"/>
          </w:tcPr>
          <w:p>
            <w:pPr>
              <w:spacing w:after="0"/>
              <w:rPr>
                <w:sz w:val="1"/>
                <w:szCs w:val="1"/>
                <w:color w:val="auto"/>
              </w:rPr>
            </w:pPr>
          </w:p>
        </w:tc>
      </w:tr>
      <w:tr>
        <w:trPr>
          <w:trHeight w:val="162"/>
        </w:trPr>
        <w:tc>
          <w:tcPr>
            <w:tcW w:w="7400" w:type="dxa"/>
            <w:vAlign w:val="bottom"/>
            <w:gridSpan w:val="51"/>
          </w:tcPr>
          <w:p>
            <w:pPr>
              <w:jc w:val="right"/>
              <w:ind w:right="7400"/>
              <w:spacing w:after="0"/>
              <w:rPr>
                <w:sz w:val="20"/>
                <w:szCs w:val="20"/>
                <w:color w:val="auto"/>
              </w:rPr>
            </w:pPr>
            <w:r>
              <w:rPr>
                <w:rFonts w:ascii="Arial" w:cs="Arial" w:eastAsia="Arial" w:hAnsi="Arial"/>
                <w:sz w:val="11"/>
                <w:szCs w:val="11"/>
                <w:color w:val="auto"/>
              </w:rPr>
              <w:t>2024</w:t>
            </w:r>
          </w:p>
        </w:tc>
        <w:tc>
          <w:tcPr>
            <w:tcW w:w="820" w:type="dxa"/>
            <w:vAlign w:val="bottom"/>
            <w:gridSpan w:val="6"/>
            <w:shd w:val="clear" w:color="auto" w:fill="CCEEFF"/>
          </w:tcPr>
          <w:p>
            <w:pPr>
              <w:jc w:val="right"/>
              <w:ind w:right="343"/>
              <w:spacing w:after="0"/>
              <w:rPr>
                <w:sz w:val="20"/>
                <w:szCs w:val="20"/>
                <w:color w:val="auto"/>
              </w:rPr>
            </w:pPr>
            <w:r>
              <w:rPr>
                <w:rFonts w:ascii="Arial" w:cs="Arial" w:eastAsia="Arial" w:hAnsi="Arial"/>
                <w:sz w:val="11"/>
                <w:szCs w:val="11"/>
                <w:color w:val="auto"/>
              </w:rPr>
              <w:t>681</w:t>
            </w:r>
          </w:p>
        </w:tc>
        <w:tc>
          <w:tcPr>
            <w:tcW w:w="680" w:type="dxa"/>
            <w:vAlign w:val="bottom"/>
            <w:gridSpan w:val="6"/>
            <w:shd w:val="clear" w:color="auto" w:fill="CCEEFF"/>
          </w:tcPr>
          <w:p>
            <w:pPr>
              <w:jc w:val="right"/>
              <w:ind w:right="187"/>
              <w:spacing w:after="0"/>
              <w:rPr>
                <w:sz w:val="20"/>
                <w:szCs w:val="20"/>
                <w:color w:val="auto"/>
              </w:rPr>
            </w:pPr>
            <w:r>
              <w:rPr>
                <w:rFonts w:ascii="Arial" w:cs="Arial" w:eastAsia="Arial" w:hAnsi="Arial"/>
                <w:sz w:val="11"/>
                <w:szCs w:val="11"/>
                <w:color w:val="auto"/>
              </w:rPr>
              <w:t>1,173</w:t>
            </w:r>
          </w:p>
        </w:tc>
        <w:tc>
          <w:tcPr>
            <w:tcW w:w="2380" w:type="dxa"/>
            <w:vAlign w:val="bottom"/>
            <w:gridSpan w:val="5"/>
            <w:shd w:val="clear" w:color="auto" w:fill="CCEEFF"/>
          </w:tcPr>
          <w:p>
            <w:pPr>
              <w:jc w:val="center"/>
              <w:ind w:right="4"/>
              <w:spacing w:after="0"/>
              <w:rPr>
                <w:sz w:val="20"/>
                <w:szCs w:val="20"/>
                <w:color w:val="auto"/>
              </w:rPr>
            </w:pPr>
            <w:r>
              <w:rPr>
                <w:rFonts w:ascii="Arial" w:cs="Arial" w:eastAsia="Arial" w:hAnsi="Arial"/>
                <w:sz w:val="11"/>
                <w:szCs w:val="11"/>
                <w:color w:val="auto"/>
              </w:rPr>
              <w:t>75.3%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40" w:type="dxa"/>
            <w:vAlign w:val="bottom"/>
            <w:tcBorders>
              <w:bottom w:val="single" w:sz="8" w:color="CCEEFF"/>
            </w:tcBorders>
            <w:gridSpan w:val="54"/>
          </w:tcPr>
          <w:p>
            <w:pPr>
              <w:jc w:val="center"/>
              <w:ind w:right="7003"/>
              <w:spacing w:after="0"/>
              <w:rPr>
                <w:sz w:val="20"/>
                <w:szCs w:val="20"/>
                <w:color w:val="auto"/>
              </w:rPr>
            </w:pPr>
            <w:r>
              <w:rPr>
                <w:rFonts w:ascii="Arial" w:cs="Arial" w:eastAsia="Arial" w:hAnsi="Arial"/>
                <w:sz w:val="11"/>
                <w:szCs w:val="11"/>
                <w:color w:val="auto"/>
                <w:w w:val="97"/>
              </w:rPr>
              <w:t>2025</w:t>
            </w:r>
          </w:p>
        </w:tc>
        <w:tc>
          <w:tcPr>
            <w:tcW w:w="7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color w:val="auto"/>
              </w:rPr>
              <w:t>528</w:t>
            </w:r>
          </w:p>
        </w:tc>
        <w:tc>
          <w:tcPr>
            <w:tcW w:w="2580" w:type="dxa"/>
            <w:vAlign w:val="bottom"/>
            <w:tcBorders>
              <w:bottom w:val="single" w:sz="8" w:color="CCEEFF"/>
            </w:tcBorders>
            <w:gridSpan w:val="9"/>
          </w:tcPr>
          <w:p>
            <w:pPr>
              <w:jc w:val="right"/>
              <w:ind w:right="2524"/>
              <w:spacing w:after="0"/>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53"/>
        </w:trPr>
        <w:tc>
          <w:tcPr>
            <w:tcW w:w="7920" w:type="dxa"/>
            <w:vAlign w:val="bottom"/>
            <w:gridSpan w:val="54"/>
          </w:tcPr>
          <w:p>
            <w:pPr>
              <w:spacing w:after="0"/>
              <w:rPr>
                <w:sz w:val="20"/>
                <w:szCs w:val="20"/>
                <w:color w:val="auto"/>
              </w:rPr>
            </w:pPr>
            <w:r>
              <w:rPr>
                <w:rFonts w:ascii="Arial" w:cs="Arial" w:eastAsia="Arial" w:hAnsi="Arial"/>
                <w:sz w:val="11"/>
                <w:szCs w:val="11"/>
                <w:color w:val="auto"/>
              </w:rPr>
              <w:t>Total</w:t>
            </w:r>
          </w:p>
        </w:tc>
        <w:tc>
          <w:tcPr>
            <w:tcW w:w="30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3060" w:type="dxa"/>
            <w:vAlign w:val="bottom"/>
            <w:gridSpan w:val="11"/>
            <w:shd w:val="clear" w:color="auto" w:fill="CCEEFF"/>
          </w:tcPr>
          <w:p>
            <w:pPr>
              <w:jc w:val="right"/>
              <w:ind w:right="2564"/>
              <w:spacing w:after="0"/>
              <w:rPr>
                <w:sz w:val="20"/>
                <w:szCs w:val="20"/>
                <w:color w:val="auto"/>
              </w:rPr>
            </w:pPr>
            <w:r>
              <w:rPr>
                <w:rFonts w:ascii="Arial" w:cs="Arial" w:eastAsia="Arial" w:hAnsi="Arial"/>
                <w:sz w:val="11"/>
                <w:szCs w:val="11"/>
                <w:color w:val="auto"/>
              </w:rPr>
              <w:t>9,373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21"/>
          </w:tcPr>
          <w:p>
            <w:pPr>
              <w:jc w:val="right"/>
              <w:ind w:right="60"/>
              <w:spacing w:after="0"/>
              <w:rPr>
                <w:sz w:val="20"/>
                <w:szCs w:val="20"/>
                <w:color w:val="auto"/>
              </w:rPr>
            </w:pPr>
            <w:r>
              <w:rPr>
                <w:rFonts w:ascii="Arial" w:cs="Arial" w:eastAsia="Arial" w:hAnsi="Arial"/>
                <w:sz w:val="11"/>
                <w:szCs w:val="11"/>
                <w:color w:val="auto"/>
              </w:rPr>
              <w:t>Unpaid losses and LAE — years 2016 through 2025</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1,825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0" w:type="dxa"/>
            <w:vAlign w:val="bottom"/>
            <w:gridSpan w:val="28"/>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27"/>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300" w:type="dxa"/>
            <w:vAlign w:val="bottom"/>
            <w:gridSpan w:val="3"/>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1,847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31"/>
            <w:vMerge w:val="restart"/>
          </w:tcPr>
          <w:p>
            <w:pPr>
              <w:ind w:left="260"/>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31"/>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9"/>
          </w:tcPr>
          <w:p>
            <w:pPr>
              <w:jc w:val="right"/>
              <w:ind w:right="123"/>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color w:val="auto"/>
                <w:w w:val="98"/>
              </w:rPr>
              <w:t>Year 1</w:t>
            </w: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2</w:t>
            </w:r>
          </w:p>
        </w:tc>
        <w:tc>
          <w:tcPr>
            <w:tcW w:w="6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color w:val="auto"/>
              </w:rPr>
              <w:t>Year 3</w:t>
            </w: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color w:val="auto"/>
              </w:rPr>
              <w:t>Year 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color w:val="auto"/>
              </w:rPr>
              <w:t>Year 5</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8"/>
              </w:rPr>
              <w:t>Year 6</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1"/>
                <w:szCs w:val="11"/>
                <w:color w:val="auto"/>
              </w:rPr>
              <w:t>Year 7</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1"/>
                <w:szCs w:val="11"/>
                <w:color w:val="auto"/>
              </w:rPr>
              <w:t>Year 8</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1"/>
                <w:szCs w:val="11"/>
                <w:color w:val="auto"/>
              </w:rPr>
              <w:t>Year 9</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Year 10</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center"/>
              <w:ind w:left="163"/>
              <w:spacing w:after="0"/>
              <w:rPr>
                <w:sz w:val="20"/>
                <w:szCs w:val="20"/>
                <w:color w:val="auto"/>
              </w:rPr>
            </w:pPr>
            <w:r>
              <w:rPr>
                <w:rFonts w:ascii="Arial" w:cs="Arial" w:eastAsia="Arial" w:hAnsi="Arial"/>
                <w:sz w:val="11"/>
                <w:szCs w:val="11"/>
                <w:color w:val="auto"/>
              </w:rPr>
              <w:t>44.0%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center"/>
              <w:ind w:left="203"/>
              <w:spacing w:after="0"/>
              <w:rPr>
                <w:sz w:val="20"/>
                <w:szCs w:val="20"/>
                <w:color w:val="auto"/>
              </w:rPr>
            </w:pPr>
            <w:r>
              <w:rPr>
                <w:rFonts w:ascii="Arial" w:cs="Arial" w:eastAsia="Arial" w:hAnsi="Arial"/>
                <w:sz w:val="11"/>
                <w:szCs w:val="11"/>
                <w:color w:val="auto"/>
              </w:rPr>
              <w:t>31.6%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1"/>
                <w:szCs w:val="11"/>
                <w:color w:val="auto"/>
                <w:w w:val="95"/>
              </w:rPr>
              <w:t>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w w:val="95"/>
              </w:rPr>
              <w:t>1.4%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w w:val="95"/>
              </w:rPr>
              <w:t>1.2%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80" w:type="dxa"/>
            <w:vAlign w:val="bottom"/>
            <w:gridSpan w:val="2"/>
          </w:tcPr>
          <w:p>
            <w:pPr>
              <w:jc w:val="center"/>
              <w:ind w:left="163"/>
              <w:spacing w:after="0"/>
              <w:rPr>
                <w:sz w:val="20"/>
                <w:szCs w:val="20"/>
                <w:color w:val="auto"/>
              </w:rPr>
            </w:pPr>
            <w:r>
              <w:rPr>
                <w:rFonts w:ascii="Arial" w:cs="Arial" w:eastAsia="Arial" w:hAnsi="Arial"/>
                <w:sz w:val="11"/>
                <w:szCs w:val="11"/>
                <w:color w:val="auto"/>
              </w:rPr>
              <w:t>44.0%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center"/>
              <w:ind w:left="203"/>
              <w:spacing w:after="0"/>
              <w:rPr>
                <w:sz w:val="20"/>
                <w:szCs w:val="20"/>
                <w:color w:val="auto"/>
              </w:rPr>
            </w:pPr>
            <w:r>
              <w:rPr>
                <w:rFonts w:ascii="Arial" w:cs="Arial" w:eastAsia="Arial" w:hAnsi="Arial"/>
                <w:sz w:val="11"/>
                <w:szCs w:val="11"/>
                <w:color w:val="auto"/>
              </w:rPr>
              <w:t>75.6%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ind w:left="280"/>
              <w:spacing w:after="0"/>
              <w:rPr>
                <w:sz w:val="20"/>
                <w:szCs w:val="20"/>
                <w:color w:val="auto"/>
              </w:rPr>
            </w:pPr>
            <w:r>
              <w:rPr>
                <w:rFonts w:ascii="Arial" w:cs="Arial" w:eastAsia="Arial" w:hAnsi="Arial"/>
                <w:sz w:val="11"/>
                <w:szCs w:val="11"/>
                <w:color w:val="auto"/>
              </w:rPr>
              <w:t>83.5%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5"/>
          </w:tcPr>
          <w:p>
            <w:pPr>
              <w:jc w:val="right"/>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92.5%</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94.9%</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96.3%</w:t>
            </w:r>
          </w:p>
        </w:tc>
        <w:tc>
          <w:tcPr>
            <w:tcW w:w="820" w:type="dxa"/>
            <w:vAlign w:val="bottom"/>
            <w:gridSpan w:val="7"/>
          </w:tcPr>
          <w:p>
            <w:pPr>
              <w:jc w:val="right"/>
              <w:ind w:right="20"/>
              <w:spacing w:after="0"/>
              <w:rPr>
                <w:sz w:val="20"/>
                <w:szCs w:val="20"/>
                <w:color w:val="auto"/>
              </w:rPr>
            </w:pPr>
            <w:r>
              <w:rPr>
                <w:rFonts w:ascii="Arial" w:cs="Arial" w:eastAsia="Arial" w:hAnsi="Arial"/>
                <w:sz w:val="11"/>
                <w:szCs w:val="11"/>
                <w:color w:val="auto"/>
              </w:rPr>
              <w:t>97.5%</w:t>
            </w:r>
          </w:p>
        </w:tc>
        <w:tc>
          <w:tcPr>
            <w:tcW w:w="820" w:type="dxa"/>
            <w:vAlign w:val="bottom"/>
            <w:gridSpan w:val="6"/>
          </w:tcPr>
          <w:p>
            <w:pPr>
              <w:jc w:val="center"/>
              <w:ind w:left="443"/>
              <w:spacing w:after="0"/>
              <w:rPr>
                <w:sz w:val="20"/>
                <w:szCs w:val="20"/>
                <w:color w:val="auto"/>
              </w:rPr>
            </w:pPr>
            <w:r>
              <w:rPr>
                <w:rFonts w:ascii="Arial" w:cs="Arial" w:eastAsia="Arial" w:hAnsi="Arial"/>
                <w:sz w:val="11"/>
                <w:szCs w:val="11"/>
                <w:color w:val="auto"/>
              </w:rPr>
              <w:t>97.8%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gridSpan w:val="5"/>
          </w:tcPr>
          <w:p>
            <w:pPr>
              <w:jc w:val="right"/>
              <w:spacing w:after="0"/>
              <w:rPr>
                <w:sz w:val="20"/>
                <w:szCs w:val="20"/>
                <w:color w:val="auto"/>
              </w:rPr>
            </w:pPr>
            <w:r>
              <w:rPr>
                <w:rFonts w:ascii="Arial" w:cs="Arial" w:eastAsia="Arial" w:hAnsi="Arial"/>
                <w:sz w:val="11"/>
                <w:szCs w:val="11"/>
                <w:color w:val="auto"/>
              </w:rPr>
              <w:t>98.1%</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2025).</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Specialty casualty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18"/>
          </w:tcPr>
          <w:p>
            <w:pPr>
              <w:jc w:val="center"/>
              <w:ind w:righ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1"/>
                <w:szCs w:val="11"/>
                <w:color w:val="auto"/>
              </w:rPr>
              <w:t>As of December 31, 2025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8"/>
          </w:tcPr>
          <w:p>
            <w:pPr>
              <w:jc w:val="center"/>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880" w:type="dxa"/>
            <w:vAlign w:val="bottom"/>
            <w:gridSpan w:val="57"/>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63"/>
              <w:spacing w:after="0"/>
              <w:rPr>
                <w:sz w:val="20"/>
                <w:szCs w:val="20"/>
                <w:color w:val="auto"/>
              </w:rPr>
            </w:pPr>
            <w:r>
              <w:rPr>
                <w:rFonts w:ascii="Arial" w:cs="Arial" w:eastAsia="Arial" w:hAnsi="Arial"/>
                <w:sz w:val="11"/>
                <w:szCs w:val="11"/>
                <w:color w:val="auto"/>
              </w:rPr>
              <w:t>2017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63"/>
              <w:spacing w:after="0"/>
              <w:rPr>
                <w:sz w:val="20"/>
                <w:szCs w:val="20"/>
                <w:color w:val="auto"/>
              </w:rPr>
            </w:pPr>
            <w:r>
              <w:rPr>
                <w:rFonts w:ascii="Arial" w:cs="Arial" w:eastAsia="Arial" w:hAnsi="Arial"/>
                <w:sz w:val="11"/>
                <w:szCs w:val="11"/>
                <w:color w:val="auto"/>
              </w:rPr>
              <w:t>2018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16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23"/>
              <w:spacing w:after="0"/>
              <w:rPr>
                <w:sz w:val="20"/>
                <w:szCs w:val="20"/>
                <w:color w:val="auto"/>
              </w:rPr>
            </w:pPr>
            <w:r>
              <w:rPr>
                <w:rFonts w:ascii="Arial" w:cs="Arial" w:eastAsia="Arial" w:hAnsi="Arial"/>
                <w:sz w:val="11"/>
                <w:szCs w:val="11"/>
                <w:color w:val="auto"/>
              </w:rPr>
              <w:t>2021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40" w:type="dxa"/>
            <w:vAlign w:val="bottom"/>
            <w:gridSpan w:val="4"/>
          </w:tcPr>
          <w:p>
            <w:pPr>
              <w:jc w:val="center"/>
              <w:ind w:right="80"/>
              <w:spacing w:after="0" w:line="106" w:lineRule="exact"/>
              <w:rPr>
                <w:sz w:val="20"/>
                <w:szCs w:val="20"/>
                <w:color w:val="auto"/>
              </w:rPr>
            </w:pPr>
            <w:r>
              <w:rPr>
                <w:rFonts w:ascii="Arial" w:cs="Arial" w:eastAsia="Arial" w:hAnsi="Arial"/>
                <w:sz w:val="11"/>
                <w:szCs w:val="11"/>
                <w:color w:val="auto"/>
                <w:w w:val="96"/>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w:t>
            </w:r>
          </w:p>
        </w:tc>
        <w:tc>
          <w:tcPr>
            <w:tcW w:w="40" w:type="dxa"/>
            <w:vAlign w:val="bottom"/>
            <w:shd w:val="clear" w:color="auto" w:fill="CCEEFF"/>
          </w:tcPr>
          <w:p>
            <w:pPr>
              <w:spacing w:after="0"/>
              <w:rPr>
                <w:sz w:val="13"/>
                <w:szCs w:val="13"/>
                <w:color w:val="auto"/>
              </w:rPr>
            </w:pPr>
          </w:p>
        </w:tc>
        <w:tc>
          <w:tcPr>
            <w:tcW w:w="20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center"/>
              <w:ind w:left="163"/>
              <w:spacing w:after="0"/>
              <w:rPr>
                <w:sz w:val="20"/>
                <w:szCs w:val="20"/>
                <w:color w:val="auto"/>
              </w:rPr>
            </w:pPr>
            <w:r>
              <w:rPr>
                <w:rFonts w:ascii="Arial" w:cs="Arial" w:eastAsia="Arial" w:hAnsi="Arial"/>
                <w:sz w:val="11"/>
                <w:szCs w:val="11"/>
                <w:color w:val="auto"/>
              </w:rPr>
              <w:t>1,140</w:t>
            </w:r>
          </w:p>
        </w:tc>
        <w:tc>
          <w:tcPr>
            <w:tcW w:w="40" w:type="dxa"/>
            <w:vAlign w:val="bottom"/>
            <w:shd w:val="clear" w:color="auto" w:fill="CCEEFF"/>
          </w:tcPr>
          <w:p>
            <w:pPr>
              <w:spacing w:after="0"/>
              <w:rPr>
                <w:sz w:val="13"/>
                <w:szCs w:val="13"/>
                <w:color w:val="auto"/>
              </w:rPr>
            </w:pPr>
          </w:p>
        </w:tc>
        <w:tc>
          <w:tcPr>
            <w:tcW w:w="24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w w:val="94"/>
              </w:rPr>
              <w:t>1,118</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1,107</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1,106</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1,115</w:t>
            </w:r>
          </w:p>
        </w:tc>
        <w:tc>
          <w:tcPr>
            <w:tcW w:w="280" w:type="dxa"/>
            <w:vAlign w:val="bottom"/>
            <w:gridSpan w:val="3"/>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56,921</w:t>
            </w:r>
          </w:p>
        </w:tc>
        <w:tc>
          <w:tcPr>
            <w:tcW w:w="0" w:type="dxa"/>
            <w:vAlign w:val="bottom"/>
          </w:tcPr>
          <w:p>
            <w:pPr>
              <w:spacing w:after="0"/>
              <w:rPr>
                <w:sz w:val="1"/>
                <w:szCs w:val="1"/>
                <w:color w:val="auto"/>
              </w:rPr>
            </w:pPr>
          </w:p>
        </w:tc>
      </w:tr>
      <w:tr>
        <w:trPr>
          <w:trHeight w:val="156"/>
        </w:trPr>
        <w:tc>
          <w:tcPr>
            <w:tcW w:w="1900" w:type="dxa"/>
            <w:vAlign w:val="bottom"/>
            <w:gridSpan w:val="9"/>
          </w:tcPr>
          <w:p>
            <w:pPr>
              <w:jc w:val="center"/>
              <w:ind w:right="923"/>
              <w:spacing w:after="0"/>
              <w:rPr>
                <w:sz w:val="20"/>
                <w:szCs w:val="20"/>
                <w:color w:val="auto"/>
              </w:rPr>
            </w:pPr>
            <w:r>
              <w:rPr>
                <w:rFonts w:ascii="Arial" w:cs="Arial" w:eastAsia="Arial" w:hAnsi="Arial"/>
                <w:sz w:val="11"/>
                <w:szCs w:val="11"/>
                <w:color w:val="auto"/>
                <w:w w:val="97"/>
              </w:rPr>
              <w:t>2017</w:t>
            </w:r>
          </w:p>
        </w:tc>
        <w:tc>
          <w:tcPr>
            <w:tcW w:w="800" w:type="dxa"/>
            <w:vAlign w:val="bottom"/>
            <w:gridSpan w:val="5"/>
          </w:tcPr>
          <w:p>
            <w:pPr>
              <w:jc w:val="right"/>
              <w:ind w:right="280"/>
              <w:spacing w:after="0"/>
              <w:rPr>
                <w:sz w:val="20"/>
                <w:szCs w:val="20"/>
                <w:color w:val="auto"/>
              </w:rPr>
            </w:pPr>
            <w:r>
              <w:rPr>
                <w:rFonts w:ascii="Arial" w:cs="Arial" w:eastAsia="Arial" w:hAnsi="Arial"/>
                <w:sz w:val="11"/>
                <w:szCs w:val="11"/>
                <w:color w:val="auto"/>
              </w:rPr>
              <w:t>1,264</w:t>
            </w:r>
          </w:p>
        </w:tc>
        <w:tc>
          <w:tcPr>
            <w:tcW w:w="760" w:type="dxa"/>
            <w:vAlign w:val="bottom"/>
            <w:gridSpan w:val="5"/>
          </w:tcPr>
          <w:p>
            <w:pPr>
              <w:jc w:val="right"/>
              <w:ind w:right="280"/>
              <w:spacing w:after="0"/>
              <w:rPr>
                <w:sz w:val="20"/>
                <w:szCs w:val="20"/>
                <w:color w:val="auto"/>
              </w:rPr>
            </w:pPr>
            <w:r>
              <w:rPr>
                <w:rFonts w:ascii="Arial" w:cs="Arial" w:eastAsia="Arial" w:hAnsi="Arial"/>
                <w:sz w:val="11"/>
                <w:szCs w:val="11"/>
                <w:color w:val="auto"/>
              </w:rPr>
              <w:t>1,277</w:t>
            </w:r>
          </w:p>
        </w:tc>
        <w:tc>
          <w:tcPr>
            <w:tcW w:w="740" w:type="dxa"/>
            <w:vAlign w:val="bottom"/>
            <w:gridSpan w:val="4"/>
          </w:tcPr>
          <w:p>
            <w:pPr>
              <w:jc w:val="right"/>
              <w:ind w:right="163"/>
              <w:spacing w:after="0"/>
              <w:rPr>
                <w:sz w:val="20"/>
                <w:szCs w:val="20"/>
                <w:color w:val="auto"/>
              </w:rPr>
            </w:pPr>
            <w:r>
              <w:rPr>
                <w:rFonts w:ascii="Arial" w:cs="Arial" w:eastAsia="Arial" w:hAnsi="Arial"/>
                <w:sz w:val="11"/>
                <w:szCs w:val="11"/>
                <w:color w:val="auto"/>
              </w:rPr>
              <w:t>1,267</w:t>
            </w:r>
          </w:p>
        </w:tc>
        <w:tc>
          <w:tcPr>
            <w:tcW w:w="820" w:type="dxa"/>
            <w:vAlign w:val="bottom"/>
            <w:gridSpan w:val="6"/>
          </w:tcPr>
          <w:p>
            <w:pPr>
              <w:jc w:val="right"/>
              <w:ind w:right="260"/>
              <w:spacing w:after="0"/>
              <w:rPr>
                <w:sz w:val="20"/>
                <w:szCs w:val="20"/>
                <w:color w:val="auto"/>
              </w:rPr>
            </w:pPr>
            <w:r>
              <w:rPr>
                <w:rFonts w:ascii="Arial" w:cs="Arial" w:eastAsia="Arial" w:hAnsi="Arial"/>
                <w:sz w:val="11"/>
                <w:szCs w:val="11"/>
                <w:color w:val="auto"/>
              </w:rPr>
              <w:t>1,263</w:t>
            </w:r>
          </w:p>
        </w:tc>
        <w:tc>
          <w:tcPr>
            <w:tcW w:w="820" w:type="dxa"/>
            <w:vAlign w:val="bottom"/>
            <w:gridSpan w:val="6"/>
          </w:tcPr>
          <w:p>
            <w:pPr>
              <w:jc w:val="center"/>
              <w:ind w:right="60"/>
              <w:spacing w:after="0"/>
              <w:rPr>
                <w:sz w:val="20"/>
                <w:szCs w:val="20"/>
                <w:color w:val="auto"/>
              </w:rPr>
            </w:pPr>
            <w:r>
              <w:rPr>
                <w:rFonts w:ascii="Arial" w:cs="Arial" w:eastAsia="Arial" w:hAnsi="Arial"/>
                <w:sz w:val="11"/>
                <w:szCs w:val="11"/>
                <w:color w:val="auto"/>
              </w:rPr>
              <w:t>1,243</w:t>
            </w:r>
          </w:p>
        </w:tc>
        <w:tc>
          <w:tcPr>
            <w:tcW w:w="740" w:type="dxa"/>
            <w:vAlign w:val="bottom"/>
            <w:gridSpan w:val="5"/>
          </w:tcPr>
          <w:p>
            <w:pPr>
              <w:jc w:val="center"/>
              <w:ind w:right="60"/>
              <w:spacing w:after="0"/>
              <w:rPr>
                <w:sz w:val="20"/>
                <w:szCs w:val="20"/>
                <w:color w:val="auto"/>
              </w:rPr>
            </w:pPr>
            <w:r>
              <w:rPr>
                <w:rFonts w:ascii="Arial" w:cs="Arial" w:eastAsia="Arial" w:hAnsi="Arial"/>
                <w:sz w:val="11"/>
                <w:szCs w:val="11"/>
                <w:color w:val="auto"/>
              </w:rPr>
              <w:t>1,227</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1,231</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1,250</w:t>
            </w:r>
          </w:p>
        </w:tc>
        <w:tc>
          <w:tcPr>
            <w:tcW w:w="860" w:type="dxa"/>
            <w:vAlign w:val="bottom"/>
            <w:gridSpan w:val="6"/>
          </w:tcPr>
          <w:p>
            <w:pPr>
              <w:jc w:val="right"/>
              <w:ind w:right="287"/>
              <w:spacing w:after="0"/>
              <w:rPr>
                <w:sz w:val="20"/>
                <w:szCs w:val="20"/>
                <w:color w:val="auto"/>
              </w:rPr>
            </w:pPr>
            <w:r>
              <w:rPr>
                <w:rFonts w:ascii="Arial" w:cs="Arial" w:eastAsia="Arial" w:hAnsi="Arial"/>
                <w:sz w:val="11"/>
                <w:szCs w:val="11"/>
                <w:color w:val="auto"/>
              </w:rPr>
              <w:t>1,260</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81</w:t>
            </w:r>
          </w:p>
        </w:tc>
        <w:tc>
          <w:tcPr>
            <w:tcW w:w="960" w:type="dxa"/>
            <w:vAlign w:val="bottom"/>
          </w:tcPr>
          <w:p>
            <w:pPr>
              <w:jc w:val="right"/>
              <w:spacing w:after="0"/>
              <w:rPr>
                <w:sz w:val="20"/>
                <w:szCs w:val="20"/>
                <w:color w:val="auto"/>
              </w:rPr>
            </w:pPr>
            <w:r>
              <w:rPr>
                <w:rFonts w:ascii="Arial" w:cs="Arial" w:eastAsia="Arial" w:hAnsi="Arial"/>
                <w:sz w:val="11"/>
                <w:szCs w:val="11"/>
                <w:color w:val="auto"/>
              </w:rPr>
              <w:t>57,594</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2018</w:t>
            </w:r>
          </w:p>
        </w:tc>
        <w:tc>
          <w:tcPr>
            <w:tcW w:w="76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1,352</w:t>
            </w:r>
          </w:p>
        </w:tc>
        <w:tc>
          <w:tcPr>
            <w:tcW w:w="740" w:type="dxa"/>
            <w:vAlign w:val="bottom"/>
            <w:gridSpan w:val="4"/>
            <w:shd w:val="clear" w:color="auto" w:fill="CCEEFF"/>
          </w:tcPr>
          <w:p>
            <w:pPr>
              <w:jc w:val="right"/>
              <w:ind w:right="163"/>
              <w:spacing w:after="0"/>
              <w:rPr>
                <w:sz w:val="20"/>
                <w:szCs w:val="20"/>
                <w:color w:val="auto"/>
              </w:rPr>
            </w:pPr>
            <w:r>
              <w:rPr>
                <w:rFonts w:ascii="Arial" w:cs="Arial" w:eastAsia="Arial" w:hAnsi="Arial"/>
                <w:sz w:val="11"/>
                <w:szCs w:val="11"/>
                <w:color w:val="auto"/>
              </w:rPr>
              <w:t>1,386</w:t>
            </w:r>
          </w:p>
        </w:tc>
        <w:tc>
          <w:tcPr>
            <w:tcW w:w="82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1,382</w:t>
            </w:r>
          </w:p>
        </w:tc>
        <w:tc>
          <w:tcPr>
            <w:tcW w:w="820" w:type="dxa"/>
            <w:vAlign w:val="bottom"/>
            <w:gridSpan w:val="6"/>
            <w:shd w:val="clear" w:color="auto" w:fill="CCEEFF"/>
          </w:tcPr>
          <w:p>
            <w:pPr>
              <w:jc w:val="center"/>
              <w:ind w:right="60"/>
              <w:spacing w:after="0"/>
              <w:rPr>
                <w:sz w:val="20"/>
                <w:szCs w:val="20"/>
                <w:color w:val="auto"/>
              </w:rPr>
            </w:pPr>
            <w:r>
              <w:rPr>
                <w:rFonts w:ascii="Arial" w:cs="Arial" w:eastAsia="Arial" w:hAnsi="Arial"/>
                <w:sz w:val="11"/>
                <w:szCs w:val="11"/>
                <w:color w:val="auto"/>
              </w:rPr>
              <w:t>1,345</w:t>
            </w:r>
          </w:p>
        </w:tc>
        <w:tc>
          <w:tcPr>
            <w:tcW w:w="74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rPr>
              <w:t>1,359</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1,364</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1,365</w:t>
            </w:r>
          </w:p>
        </w:tc>
        <w:tc>
          <w:tcPr>
            <w:tcW w:w="860" w:type="dxa"/>
            <w:vAlign w:val="bottom"/>
            <w:gridSpan w:val="6"/>
            <w:shd w:val="clear" w:color="auto" w:fill="CCEEFF"/>
          </w:tcPr>
          <w:p>
            <w:pPr>
              <w:jc w:val="right"/>
              <w:ind w:right="287"/>
              <w:spacing w:after="0"/>
              <w:rPr>
                <w:sz w:val="20"/>
                <w:szCs w:val="20"/>
                <w:color w:val="auto"/>
              </w:rPr>
            </w:pPr>
            <w:r>
              <w:rPr>
                <w:rFonts w:ascii="Arial" w:cs="Arial" w:eastAsia="Arial" w:hAnsi="Arial"/>
                <w:sz w:val="11"/>
                <w:szCs w:val="11"/>
                <w:color w:val="auto"/>
              </w:rPr>
              <w:t>1,365</w:t>
            </w:r>
          </w:p>
        </w:tc>
        <w:tc>
          <w:tcPr>
            <w:tcW w:w="1240" w:type="dxa"/>
            <w:vAlign w:val="bottom"/>
            <w:gridSpan w:val="3"/>
            <w:shd w:val="clear" w:color="auto" w:fill="CCEEFF"/>
          </w:tcPr>
          <w:p>
            <w:pPr>
              <w:jc w:val="center"/>
              <w:ind w:left="723"/>
              <w:spacing w:after="0"/>
              <w:rPr>
                <w:sz w:val="20"/>
                <w:szCs w:val="20"/>
                <w:color w:val="auto"/>
              </w:rPr>
            </w:pPr>
            <w:r>
              <w:rPr>
                <w:rFonts w:ascii="Arial" w:cs="Arial" w:eastAsia="Arial" w:hAnsi="Arial"/>
                <w:sz w:val="11"/>
                <w:szCs w:val="11"/>
                <w:color w:val="auto"/>
                <w:w w:val="97"/>
              </w:rPr>
              <w:t>120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59,771</w:t>
            </w:r>
          </w:p>
        </w:tc>
        <w:tc>
          <w:tcPr>
            <w:tcW w:w="0" w:type="dxa"/>
            <w:vAlign w:val="bottom"/>
          </w:tcPr>
          <w:p>
            <w:pPr>
              <w:spacing w:after="0"/>
              <w:rPr>
                <w:sz w:val="1"/>
                <w:szCs w:val="1"/>
                <w:color w:val="auto"/>
              </w:rPr>
            </w:pPr>
          </w:p>
        </w:tc>
      </w:tr>
      <w:tr>
        <w:trPr>
          <w:trHeight w:val="156"/>
        </w:trPr>
        <w:tc>
          <w:tcPr>
            <w:tcW w:w="3460" w:type="dxa"/>
            <w:vAlign w:val="bottom"/>
            <w:gridSpan w:val="19"/>
          </w:tcPr>
          <w:p>
            <w:pPr>
              <w:jc w:val="center"/>
              <w:ind w:right="2540"/>
              <w:spacing w:after="0"/>
              <w:rPr>
                <w:sz w:val="20"/>
                <w:szCs w:val="20"/>
                <w:color w:val="auto"/>
              </w:rPr>
            </w:pPr>
            <w:r>
              <w:rPr>
                <w:rFonts w:ascii="Arial" w:cs="Arial" w:eastAsia="Arial" w:hAnsi="Arial"/>
                <w:sz w:val="11"/>
                <w:szCs w:val="11"/>
                <w:color w:val="auto"/>
                <w:w w:val="97"/>
              </w:rPr>
              <w:t>2019</w:t>
            </w:r>
          </w:p>
        </w:tc>
        <w:tc>
          <w:tcPr>
            <w:tcW w:w="740" w:type="dxa"/>
            <w:vAlign w:val="bottom"/>
            <w:gridSpan w:val="4"/>
          </w:tcPr>
          <w:p>
            <w:pPr>
              <w:jc w:val="right"/>
              <w:ind w:right="163"/>
              <w:spacing w:after="0"/>
              <w:rPr>
                <w:sz w:val="20"/>
                <w:szCs w:val="20"/>
                <w:color w:val="auto"/>
              </w:rPr>
            </w:pPr>
            <w:r>
              <w:rPr>
                <w:rFonts w:ascii="Arial" w:cs="Arial" w:eastAsia="Arial" w:hAnsi="Arial"/>
                <w:sz w:val="11"/>
                <w:szCs w:val="11"/>
                <w:color w:val="auto"/>
              </w:rPr>
              <w:t>1,401</w:t>
            </w:r>
          </w:p>
        </w:tc>
        <w:tc>
          <w:tcPr>
            <w:tcW w:w="820" w:type="dxa"/>
            <w:vAlign w:val="bottom"/>
            <w:gridSpan w:val="6"/>
          </w:tcPr>
          <w:p>
            <w:pPr>
              <w:jc w:val="right"/>
              <w:ind w:right="260"/>
              <w:spacing w:after="0"/>
              <w:rPr>
                <w:sz w:val="20"/>
                <w:szCs w:val="20"/>
                <w:color w:val="auto"/>
              </w:rPr>
            </w:pPr>
            <w:r>
              <w:rPr>
                <w:rFonts w:ascii="Arial" w:cs="Arial" w:eastAsia="Arial" w:hAnsi="Arial"/>
                <w:sz w:val="11"/>
                <w:szCs w:val="11"/>
                <w:color w:val="auto"/>
              </w:rPr>
              <w:t>1,404</w:t>
            </w:r>
          </w:p>
        </w:tc>
        <w:tc>
          <w:tcPr>
            <w:tcW w:w="820" w:type="dxa"/>
            <w:vAlign w:val="bottom"/>
            <w:gridSpan w:val="6"/>
          </w:tcPr>
          <w:p>
            <w:pPr>
              <w:jc w:val="center"/>
              <w:ind w:right="60"/>
              <w:spacing w:after="0"/>
              <w:rPr>
                <w:sz w:val="20"/>
                <w:szCs w:val="20"/>
                <w:color w:val="auto"/>
              </w:rPr>
            </w:pPr>
            <w:r>
              <w:rPr>
                <w:rFonts w:ascii="Arial" w:cs="Arial" w:eastAsia="Arial" w:hAnsi="Arial"/>
                <w:sz w:val="11"/>
                <w:szCs w:val="11"/>
                <w:color w:val="auto"/>
              </w:rPr>
              <w:t>1,419</w:t>
            </w:r>
          </w:p>
        </w:tc>
        <w:tc>
          <w:tcPr>
            <w:tcW w:w="740" w:type="dxa"/>
            <w:vAlign w:val="bottom"/>
            <w:gridSpan w:val="5"/>
          </w:tcPr>
          <w:p>
            <w:pPr>
              <w:jc w:val="center"/>
              <w:ind w:right="60"/>
              <w:spacing w:after="0"/>
              <w:rPr>
                <w:sz w:val="20"/>
                <w:szCs w:val="20"/>
                <w:color w:val="auto"/>
              </w:rPr>
            </w:pPr>
            <w:r>
              <w:rPr>
                <w:rFonts w:ascii="Arial" w:cs="Arial" w:eastAsia="Arial" w:hAnsi="Arial"/>
                <w:sz w:val="11"/>
                <w:szCs w:val="11"/>
                <w:color w:val="auto"/>
              </w:rPr>
              <w:t>1,380</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1,391</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1,408</w:t>
            </w:r>
          </w:p>
        </w:tc>
        <w:tc>
          <w:tcPr>
            <w:tcW w:w="860" w:type="dxa"/>
            <w:vAlign w:val="bottom"/>
            <w:gridSpan w:val="6"/>
          </w:tcPr>
          <w:p>
            <w:pPr>
              <w:jc w:val="right"/>
              <w:ind w:right="287"/>
              <w:spacing w:after="0"/>
              <w:rPr>
                <w:sz w:val="20"/>
                <w:szCs w:val="20"/>
                <w:color w:val="auto"/>
              </w:rPr>
            </w:pPr>
            <w:r>
              <w:rPr>
                <w:rFonts w:ascii="Arial" w:cs="Arial" w:eastAsia="Arial" w:hAnsi="Arial"/>
                <w:sz w:val="11"/>
                <w:szCs w:val="11"/>
                <w:color w:val="auto"/>
              </w:rPr>
              <w:t>1,397</w:t>
            </w:r>
          </w:p>
        </w:tc>
        <w:tc>
          <w:tcPr>
            <w:tcW w:w="1240" w:type="dxa"/>
            <w:vAlign w:val="bottom"/>
            <w:gridSpan w:val="3"/>
          </w:tcPr>
          <w:p>
            <w:pPr>
              <w:jc w:val="center"/>
              <w:ind w:left="723"/>
              <w:spacing w:after="0"/>
              <w:rPr>
                <w:sz w:val="20"/>
                <w:szCs w:val="20"/>
                <w:color w:val="auto"/>
              </w:rPr>
            </w:pPr>
            <w:r>
              <w:rPr>
                <w:rFonts w:ascii="Arial" w:cs="Arial" w:eastAsia="Arial" w:hAnsi="Arial"/>
                <w:sz w:val="11"/>
                <w:szCs w:val="11"/>
                <w:color w:val="auto"/>
                <w:w w:val="97"/>
              </w:rPr>
              <w:t>137</w:t>
            </w:r>
          </w:p>
        </w:tc>
        <w:tc>
          <w:tcPr>
            <w:tcW w:w="960" w:type="dxa"/>
            <w:vAlign w:val="bottom"/>
          </w:tcPr>
          <w:p>
            <w:pPr>
              <w:jc w:val="right"/>
              <w:spacing w:after="0"/>
              <w:rPr>
                <w:sz w:val="20"/>
                <w:szCs w:val="20"/>
                <w:color w:val="auto"/>
              </w:rPr>
            </w:pPr>
            <w:r>
              <w:rPr>
                <w:rFonts w:ascii="Arial" w:cs="Arial" w:eastAsia="Arial" w:hAnsi="Arial"/>
                <w:sz w:val="11"/>
                <w:szCs w:val="11"/>
                <w:color w:val="auto"/>
              </w:rPr>
              <w:t>60,242</w:t>
            </w:r>
          </w:p>
        </w:tc>
        <w:tc>
          <w:tcPr>
            <w:tcW w:w="0" w:type="dxa"/>
            <w:vAlign w:val="bottom"/>
          </w:tcPr>
          <w:p>
            <w:pPr>
              <w:spacing w:after="0"/>
              <w:rPr>
                <w:sz w:val="1"/>
                <w:szCs w:val="1"/>
                <w:color w:val="auto"/>
              </w:rPr>
            </w:pPr>
          </w:p>
        </w:tc>
      </w:tr>
      <w:tr>
        <w:trPr>
          <w:trHeight w:val="162"/>
        </w:trPr>
        <w:tc>
          <w:tcPr>
            <w:tcW w:w="4200" w:type="dxa"/>
            <w:vAlign w:val="bottom"/>
            <w:gridSpan w:val="23"/>
            <w:shd w:val="clear" w:color="auto" w:fill="CCEEFF"/>
          </w:tcPr>
          <w:p>
            <w:pPr>
              <w:jc w:val="center"/>
              <w:ind w:right="3223"/>
              <w:spacing w:after="0"/>
              <w:rPr>
                <w:sz w:val="20"/>
                <w:szCs w:val="20"/>
                <w:color w:val="auto"/>
              </w:rPr>
            </w:pPr>
            <w:r>
              <w:rPr>
                <w:rFonts w:ascii="Arial" w:cs="Arial" w:eastAsia="Arial" w:hAnsi="Arial"/>
                <w:sz w:val="11"/>
                <w:szCs w:val="11"/>
                <w:color w:val="auto"/>
                <w:w w:val="97"/>
              </w:rPr>
              <w:t>2020</w:t>
            </w:r>
          </w:p>
        </w:tc>
        <w:tc>
          <w:tcPr>
            <w:tcW w:w="82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1,463</w:t>
            </w:r>
          </w:p>
        </w:tc>
        <w:tc>
          <w:tcPr>
            <w:tcW w:w="820" w:type="dxa"/>
            <w:vAlign w:val="bottom"/>
            <w:gridSpan w:val="6"/>
            <w:shd w:val="clear" w:color="auto" w:fill="CCEEFF"/>
          </w:tcPr>
          <w:p>
            <w:pPr>
              <w:jc w:val="center"/>
              <w:ind w:right="60"/>
              <w:spacing w:after="0"/>
              <w:rPr>
                <w:sz w:val="20"/>
                <w:szCs w:val="20"/>
                <w:color w:val="auto"/>
              </w:rPr>
            </w:pPr>
            <w:r>
              <w:rPr>
                <w:rFonts w:ascii="Arial" w:cs="Arial" w:eastAsia="Arial" w:hAnsi="Arial"/>
                <w:sz w:val="11"/>
                <w:szCs w:val="11"/>
                <w:color w:val="auto"/>
              </w:rPr>
              <w:t>1,436</w:t>
            </w:r>
          </w:p>
        </w:tc>
        <w:tc>
          <w:tcPr>
            <w:tcW w:w="74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rPr>
              <w:t>1,374</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1,344</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1,357</w:t>
            </w:r>
          </w:p>
        </w:tc>
        <w:tc>
          <w:tcPr>
            <w:tcW w:w="860" w:type="dxa"/>
            <w:vAlign w:val="bottom"/>
            <w:gridSpan w:val="6"/>
            <w:shd w:val="clear" w:color="auto" w:fill="CCEEFF"/>
          </w:tcPr>
          <w:p>
            <w:pPr>
              <w:jc w:val="right"/>
              <w:ind w:right="287"/>
              <w:spacing w:after="0"/>
              <w:rPr>
                <w:sz w:val="20"/>
                <w:szCs w:val="20"/>
                <w:color w:val="auto"/>
              </w:rPr>
            </w:pPr>
            <w:r>
              <w:rPr>
                <w:rFonts w:ascii="Arial" w:cs="Arial" w:eastAsia="Arial" w:hAnsi="Arial"/>
                <w:sz w:val="11"/>
                <w:szCs w:val="11"/>
                <w:color w:val="auto"/>
              </w:rPr>
              <w:t>1,368</w:t>
            </w:r>
          </w:p>
        </w:tc>
        <w:tc>
          <w:tcPr>
            <w:tcW w:w="1240" w:type="dxa"/>
            <w:vAlign w:val="bottom"/>
            <w:gridSpan w:val="3"/>
            <w:shd w:val="clear" w:color="auto" w:fill="CCEEFF"/>
          </w:tcPr>
          <w:p>
            <w:pPr>
              <w:jc w:val="center"/>
              <w:ind w:left="723"/>
              <w:spacing w:after="0"/>
              <w:rPr>
                <w:sz w:val="20"/>
                <w:szCs w:val="20"/>
                <w:color w:val="auto"/>
              </w:rPr>
            </w:pPr>
            <w:r>
              <w:rPr>
                <w:rFonts w:ascii="Arial" w:cs="Arial" w:eastAsia="Arial" w:hAnsi="Arial"/>
                <w:sz w:val="11"/>
                <w:szCs w:val="11"/>
                <w:color w:val="auto"/>
                <w:w w:val="97"/>
              </w:rPr>
              <w:t>194</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54,981</w:t>
            </w:r>
          </w:p>
        </w:tc>
        <w:tc>
          <w:tcPr>
            <w:tcW w:w="0" w:type="dxa"/>
            <w:vAlign w:val="bottom"/>
          </w:tcPr>
          <w:p>
            <w:pPr>
              <w:spacing w:after="0"/>
              <w:rPr>
                <w:sz w:val="1"/>
                <w:szCs w:val="1"/>
                <w:color w:val="auto"/>
              </w:rPr>
            </w:pPr>
          </w:p>
        </w:tc>
      </w:tr>
      <w:tr>
        <w:trPr>
          <w:trHeight w:val="156"/>
        </w:trPr>
        <w:tc>
          <w:tcPr>
            <w:tcW w:w="5020" w:type="dxa"/>
            <w:vAlign w:val="bottom"/>
            <w:gridSpan w:val="29"/>
          </w:tcPr>
          <w:p>
            <w:pPr>
              <w:jc w:val="center"/>
              <w:ind w:right="4100"/>
              <w:spacing w:after="0"/>
              <w:rPr>
                <w:sz w:val="20"/>
                <w:szCs w:val="20"/>
                <w:color w:val="auto"/>
              </w:rPr>
            </w:pPr>
            <w:r>
              <w:rPr>
                <w:rFonts w:ascii="Arial" w:cs="Arial" w:eastAsia="Arial" w:hAnsi="Arial"/>
                <w:sz w:val="11"/>
                <w:szCs w:val="11"/>
                <w:color w:val="auto"/>
                <w:w w:val="97"/>
              </w:rPr>
              <w:t>2021</w:t>
            </w:r>
          </w:p>
        </w:tc>
        <w:tc>
          <w:tcPr>
            <w:tcW w:w="820" w:type="dxa"/>
            <w:vAlign w:val="bottom"/>
            <w:gridSpan w:val="6"/>
          </w:tcPr>
          <w:p>
            <w:pPr>
              <w:jc w:val="center"/>
              <w:ind w:right="60"/>
              <w:spacing w:after="0"/>
              <w:rPr>
                <w:sz w:val="20"/>
                <w:szCs w:val="20"/>
                <w:color w:val="auto"/>
              </w:rPr>
            </w:pPr>
            <w:r>
              <w:rPr>
                <w:rFonts w:ascii="Arial" w:cs="Arial" w:eastAsia="Arial" w:hAnsi="Arial"/>
                <w:sz w:val="11"/>
                <w:szCs w:val="11"/>
                <w:color w:val="auto"/>
              </w:rPr>
              <w:t>1,507</w:t>
            </w:r>
          </w:p>
        </w:tc>
        <w:tc>
          <w:tcPr>
            <w:tcW w:w="740" w:type="dxa"/>
            <w:vAlign w:val="bottom"/>
            <w:gridSpan w:val="5"/>
          </w:tcPr>
          <w:p>
            <w:pPr>
              <w:jc w:val="center"/>
              <w:ind w:right="60"/>
              <w:spacing w:after="0"/>
              <w:rPr>
                <w:sz w:val="20"/>
                <w:szCs w:val="20"/>
                <w:color w:val="auto"/>
              </w:rPr>
            </w:pPr>
            <w:r>
              <w:rPr>
                <w:rFonts w:ascii="Arial" w:cs="Arial" w:eastAsia="Arial" w:hAnsi="Arial"/>
                <w:sz w:val="11"/>
                <w:szCs w:val="11"/>
                <w:color w:val="auto"/>
              </w:rPr>
              <w:t>1,518</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1,469</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1,451</w:t>
            </w:r>
          </w:p>
        </w:tc>
        <w:tc>
          <w:tcPr>
            <w:tcW w:w="860" w:type="dxa"/>
            <w:vAlign w:val="bottom"/>
            <w:gridSpan w:val="6"/>
          </w:tcPr>
          <w:p>
            <w:pPr>
              <w:jc w:val="right"/>
              <w:ind w:right="287"/>
              <w:spacing w:after="0"/>
              <w:rPr>
                <w:sz w:val="20"/>
                <w:szCs w:val="20"/>
                <w:color w:val="auto"/>
              </w:rPr>
            </w:pPr>
            <w:r>
              <w:rPr>
                <w:rFonts w:ascii="Arial" w:cs="Arial" w:eastAsia="Arial" w:hAnsi="Arial"/>
                <w:sz w:val="11"/>
                <w:szCs w:val="11"/>
                <w:color w:val="auto"/>
              </w:rPr>
              <w:t>1,426</w:t>
            </w:r>
          </w:p>
        </w:tc>
        <w:tc>
          <w:tcPr>
            <w:tcW w:w="1240" w:type="dxa"/>
            <w:vAlign w:val="bottom"/>
            <w:gridSpan w:val="3"/>
          </w:tcPr>
          <w:p>
            <w:pPr>
              <w:jc w:val="center"/>
              <w:ind w:left="723"/>
              <w:spacing w:after="0"/>
              <w:rPr>
                <w:sz w:val="20"/>
                <w:szCs w:val="20"/>
                <w:color w:val="auto"/>
              </w:rPr>
            </w:pPr>
            <w:r>
              <w:rPr>
                <w:rFonts w:ascii="Arial" w:cs="Arial" w:eastAsia="Arial" w:hAnsi="Arial"/>
                <w:sz w:val="11"/>
                <w:szCs w:val="11"/>
                <w:color w:val="auto"/>
                <w:w w:val="97"/>
              </w:rPr>
              <w:t>274</w:t>
            </w:r>
          </w:p>
        </w:tc>
        <w:tc>
          <w:tcPr>
            <w:tcW w:w="960" w:type="dxa"/>
            <w:vAlign w:val="bottom"/>
          </w:tcPr>
          <w:p>
            <w:pPr>
              <w:jc w:val="right"/>
              <w:spacing w:after="0"/>
              <w:rPr>
                <w:sz w:val="20"/>
                <w:szCs w:val="20"/>
                <w:color w:val="auto"/>
              </w:rPr>
            </w:pPr>
            <w:r>
              <w:rPr>
                <w:rFonts w:ascii="Arial" w:cs="Arial" w:eastAsia="Arial" w:hAnsi="Arial"/>
                <w:sz w:val="11"/>
                <w:szCs w:val="11"/>
                <w:color w:val="auto"/>
              </w:rPr>
              <w:t>57,465</w:t>
            </w:r>
          </w:p>
        </w:tc>
        <w:tc>
          <w:tcPr>
            <w:tcW w:w="0" w:type="dxa"/>
            <w:vAlign w:val="bottom"/>
          </w:tcPr>
          <w:p>
            <w:pPr>
              <w:spacing w:after="0"/>
              <w:rPr>
                <w:sz w:val="1"/>
                <w:szCs w:val="1"/>
                <w:color w:val="auto"/>
              </w:rPr>
            </w:pPr>
          </w:p>
        </w:tc>
      </w:tr>
      <w:tr>
        <w:trPr>
          <w:trHeight w:val="162"/>
        </w:trPr>
        <w:tc>
          <w:tcPr>
            <w:tcW w:w="5840" w:type="dxa"/>
            <w:vAlign w:val="bottom"/>
            <w:gridSpan w:val="35"/>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2022</w:t>
            </w:r>
          </w:p>
        </w:tc>
        <w:tc>
          <w:tcPr>
            <w:tcW w:w="740" w:type="dxa"/>
            <w:vAlign w:val="bottom"/>
            <w:gridSpan w:val="5"/>
            <w:shd w:val="clear" w:color="auto" w:fill="CCEEFF"/>
          </w:tcPr>
          <w:p>
            <w:pPr>
              <w:jc w:val="center"/>
              <w:ind w:right="60"/>
              <w:spacing w:after="0"/>
              <w:rPr>
                <w:sz w:val="20"/>
                <w:szCs w:val="20"/>
                <w:color w:val="auto"/>
              </w:rPr>
            </w:pPr>
            <w:r>
              <w:rPr>
                <w:rFonts w:ascii="Arial" w:cs="Arial" w:eastAsia="Arial" w:hAnsi="Arial"/>
                <w:sz w:val="11"/>
                <w:szCs w:val="11"/>
                <w:color w:val="auto"/>
              </w:rPr>
              <w:t>1,617</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1,635</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1,652</w:t>
            </w:r>
          </w:p>
        </w:tc>
        <w:tc>
          <w:tcPr>
            <w:tcW w:w="860" w:type="dxa"/>
            <w:vAlign w:val="bottom"/>
            <w:gridSpan w:val="6"/>
            <w:shd w:val="clear" w:color="auto" w:fill="CCEEFF"/>
          </w:tcPr>
          <w:p>
            <w:pPr>
              <w:jc w:val="right"/>
              <w:ind w:right="287"/>
              <w:spacing w:after="0"/>
              <w:rPr>
                <w:sz w:val="20"/>
                <w:szCs w:val="20"/>
                <w:color w:val="auto"/>
              </w:rPr>
            </w:pPr>
            <w:r>
              <w:rPr>
                <w:rFonts w:ascii="Arial" w:cs="Arial" w:eastAsia="Arial" w:hAnsi="Arial"/>
                <w:sz w:val="11"/>
                <w:szCs w:val="11"/>
                <w:color w:val="auto"/>
              </w:rPr>
              <w:t>1,678</w:t>
            </w:r>
          </w:p>
        </w:tc>
        <w:tc>
          <w:tcPr>
            <w:tcW w:w="1240" w:type="dxa"/>
            <w:vAlign w:val="bottom"/>
            <w:gridSpan w:val="3"/>
            <w:shd w:val="clear" w:color="auto" w:fill="CCEEFF"/>
          </w:tcPr>
          <w:p>
            <w:pPr>
              <w:jc w:val="center"/>
              <w:ind w:left="723"/>
              <w:spacing w:after="0"/>
              <w:rPr>
                <w:sz w:val="20"/>
                <w:szCs w:val="20"/>
                <w:color w:val="auto"/>
              </w:rPr>
            </w:pPr>
            <w:r>
              <w:rPr>
                <w:rFonts w:ascii="Arial" w:cs="Arial" w:eastAsia="Arial" w:hAnsi="Arial"/>
                <w:sz w:val="11"/>
                <w:szCs w:val="11"/>
                <w:color w:val="auto"/>
                <w:w w:val="97"/>
              </w:rPr>
              <w:t>413</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60,252</w:t>
            </w:r>
          </w:p>
        </w:tc>
        <w:tc>
          <w:tcPr>
            <w:tcW w:w="0" w:type="dxa"/>
            <w:vAlign w:val="bottom"/>
          </w:tcPr>
          <w:p>
            <w:pPr>
              <w:spacing w:after="0"/>
              <w:rPr>
                <w:sz w:val="1"/>
                <w:szCs w:val="1"/>
                <w:color w:val="auto"/>
              </w:rPr>
            </w:pPr>
          </w:p>
        </w:tc>
      </w:tr>
      <w:tr>
        <w:trPr>
          <w:trHeight w:val="156"/>
        </w:trPr>
        <w:tc>
          <w:tcPr>
            <w:tcW w:w="6580" w:type="dxa"/>
            <w:vAlign w:val="bottom"/>
            <w:gridSpan w:val="40"/>
          </w:tcPr>
          <w:p>
            <w:pPr>
              <w:jc w:val="center"/>
              <w:ind w:right="5660"/>
              <w:spacing w:after="0"/>
              <w:rPr>
                <w:sz w:val="20"/>
                <w:szCs w:val="20"/>
                <w:color w:val="auto"/>
              </w:rPr>
            </w:pPr>
            <w:r>
              <w:rPr>
                <w:rFonts w:ascii="Arial" w:cs="Arial" w:eastAsia="Arial" w:hAnsi="Arial"/>
                <w:sz w:val="11"/>
                <w:szCs w:val="11"/>
                <w:color w:val="auto"/>
                <w:w w:val="97"/>
              </w:rPr>
              <w:t>2023</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1,818</w:t>
            </w:r>
          </w:p>
        </w:tc>
        <w:tc>
          <w:tcPr>
            <w:tcW w:w="820" w:type="dxa"/>
            <w:vAlign w:val="bottom"/>
            <w:gridSpan w:val="6"/>
          </w:tcPr>
          <w:p>
            <w:pPr>
              <w:jc w:val="right"/>
              <w:ind w:right="263"/>
              <w:spacing w:after="0"/>
              <w:rPr>
                <w:sz w:val="20"/>
                <w:szCs w:val="20"/>
                <w:color w:val="auto"/>
              </w:rPr>
            </w:pPr>
            <w:r>
              <w:rPr>
                <w:rFonts w:ascii="Arial" w:cs="Arial" w:eastAsia="Arial" w:hAnsi="Arial"/>
                <w:sz w:val="11"/>
                <w:szCs w:val="11"/>
                <w:color w:val="auto"/>
              </w:rPr>
              <w:t>1,841</w:t>
            </w:r>
          </w:p>
        </w:tc>
        <w:tc>
          <w:tcPr>
            <w:tcW w:w="860" w:type="dxa"/>
            <w:vAlign w:val="bottom"/>
            <w:gridSpan w:val="6"/>
          </w:tcPr>
          <w:p>
            <w:pPr>
              <w:jc w:val="right"/>
              <w:ind w:right="287"/>
              <w:spacing w:after="0"/>
              <w:rPr>
                <w:sz w:val="20"/>
                <w:szCs w:val="20"/>
                <w:color w:val="auto"/>
              </w:rPr>
            </w:pPr>
            <w:r>
              <w:rPr>
                <w:rFonts w:ascii="Arial" w:cs="Arial" w:eastAsia="Arial" w:hAnsi="Arial"/>
                <w:sz w:val="11"/>
                <w:szCs w:val="11"/>
                <w:color w:val="auto"/>
              </w:rPr>
              <w:t>1,853</w:t>
            </w:r>
          </w:p>
        </w:tc>
        <w:tc>
          <w:tcPr>
            <w:tcW w:w="1240" w:type="dxa"/>
            <w:vAlign w:val="bottom"/>
            <w:gridSpan w:val="3"/>
          </w:tcPr>
          <w:p>
            <w:pPr>
              <w:jc w:val="center"/>
              <w:ind w:left="723"/>
              <w:spacing w:after="0"/>
              <w:rPr>
                <w:sz w:val="20"/>
                <w:szCs w:val="20"/>
                <w:color w:val="auto"/>
              </w:rPr>
            </w:pPr>
            <w:r>
              <w:rPr>
                <w:rFonts w:ascii="Arial" w:cs="Arial" w:eastAsia="Arial" w:hAnsi="Arial"/>
                <w:sz w:val="11"/>
                <w:szCs w:val="11"/>
                <w:color w:val="auto"/>
                <w:w w:val="97"/>
              </w:rPr>
              <w:t>639</w:t>
            </w:r>
          </w:p>
        </w:tc>
        <w:tc>
          <w:tcPr>
            <w:tcW w:w="960" w:type="dxa"/>
            <w:vAlign w:val="bottom"/>
          </w:tcPr>
          <w:p>
            <w:pPr>
              <w:jc w:val="right"/>
              <w:spacing w:after="0"/>
              <w:rPr>
                <w:sz w:val="20"/>
                <w:szCs w:val="20"/>
                <w:color w:val="auto"/>
              </w:rPr>
            </w:pPr>
            <w:r>
              <w:rPr>
                <w:rFonts w:ascii="Arial" w:cs="Arial" w:eastAsia="Arial" w:hAnsi="Arial"/>
                <w:sz w:val="11"/>
                <w:szCs w:val="11"/>
                <w:color w:val="auto"/>
              </w:rPr>
              <w:t>64,764</w:t>
            </w:r>
          </w:p>
        </w:tc>
        <w:tc>
          <w:tcPr>
            <w:tcW w:w="0" w:type="dxa"/>
            <w:vAlign w:val="bottom"/>
          </w:tcPr>
          <w:p>
            <w:pPr>
              <w:spacing w:after="0"/>
              <w:rPr>
                <w:sz w:val="1"/>
                <w:szCs w:val="1"/>
                <w:color w:val="auto"/>
              </w:rPr>
            </w:pPr>
          </w:p>
        </w:tc>
      </w:tr>
      <w:tr>
        <w:trPr>
          <w:trHeight w:val="162"/>
        </w:trPr>
        <w:tc>
          <w:tcPr>
            <w:tcW w:w="7400" w:type="dxa"/>
            <w:vAlign w:val="bottom"/>
            <w:gridSpan w:val="46"/>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2024</w:t>
            </w:r>
          </w:p>
        </w:tc>
        <w:tc>
          <w:tcPr>
            <w:tcW w:w="820" w:type="dxa"/>
            <w:vAlign w:val="bottom"/>
            <w:gridSpan w:val="6"/>
            <w:shd w:val="clear" w:color="auto" w:fill="CCEEFF"/>
          </w:tcPr>
          <w:p>
            <w:pPr>
              <w:jc w:val="right"/>
              <w:ind w:right="263"/>
              <w:spacing w:after="0"/>
              <w:rPr>
                <w:sz w:val="20"/>
                <w:szCs w:val="20"/>
                <w:color w:val="auto"/>
              </w:rPr>
            </w:pPr>
            <w:r>
              <w:rPr>
                <w:rFonts w:ascii="Arial" w:cs="Arial" w:eastAsia="Arial" w:hAnsi="Arial"/>
                <w:sz w:val="11"/>
                <w:szCs w:val="11"/>
                <w:color w:val="auto"/>
              </w:rPr>
              <w:t>1,826</w:t>
            </w:r>
          </w:p>
        </w:tc>
        <w:tc>
          <w:tcPr>
            <w:tcW w:w="860" w:type="dxa"/>
            <w:vAlign w:val="bottom"/>
            <w:gridSpan w:val="6"/>
            <w:shd w:val="clear" w:color="auto" w:fill="CCEEFF"/>
          </w:tcPr>
          <w:p>
            <w:pPr>
              <w:jc w:val="right"/>
              <w:ind w:right="287"/>
              <w:spacing w:after="0"/>
              <w:rPr>
                <w:sz w:val="20"/>
                <w:szCs w:val="20"/>
                <w:color w:val="auto"/>
              </w:rPr>
            </w:pPr>
            <w:r>
              <w:rPr>
                <w:rFonts w:ascii="Arial" w:cs="Arial" w:eastAsia="Arial" w:hAnsi="Arial"/>
                <w:sz w:val="11"/>
                <w:szCs w:val="11"/>
                <w:color w:val="auto"/>
              </w:rPr>
              <w:t>1,828</w:t>
            </w:r>
          </w:p>
        </w:tc>
        <w:tc>
          <w:tcPr>
            <w:tcW w:w="1240" w:type="dxa"/>
            <w:vAlign w:val="bottom"/>
            <w:gridSpan w:val="3"/>
            <w:shd w:val="clear" w:color="auto" w:fill="CCEEFF"/>
          </w:tcPr>
          <w:p>
            <w:pPr>
              <w:jc w:val="center"/>
              <w:ind w:left="723"/>
              <w:spacing w:after="0"/>
              <w:rPr>
                <w:sz w:val="20"/>
                <w:szCs w:val="20"/>
                <w:color w:val="auto"/>
              </w:rPr>
            </w:pPr>
            <w:r>
              <w:rPr>
                <w:rFonts w:ascii="Arial" w:cs="Arial" w:eastAsia="Arial" w:hAnsi="Arial"/>
                <w:sz w:val="11"/>
                <w:szCs w:val="11"/>
                <w:color w:val="auto"/>
                <w:w w:val="97"/>
              </w:rPr>
              <w:t>850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64,130</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CEEFF"/>
            </w:tcBorders>
            <w:gridSpan w:val="51"/>
          </w:tcPr>
          <w:p>
            <w:pPr>
              <w:jc w:val="center"/>
              <w:ind w:right="7063"/>
              <w:spacing w:after="0"/>
              <w:rPr>
                <w:sz w:val="20"/>
                <w:szCs w:val="20"/>
                <w:color w:val="auto"/>
              </w:rPr>
            </w:pPr>
            <w:r>
              <w:rPr>
                <w:rFonts w:ascii="Arial" w:cs="Arial" w:eastAsia="Arial" w:hAnsi="Arial"/>
                <w:sz w:val="11"/>
                <w:szCs w:val="11"/>
                <w:color w:val="auto"/>
                <w:w w:val="97"/>
              </w:rPr>
              <w:t>2025</w:t>
            </w:r>
          </w:p>
        </w:tc>
        <w:tc>
          <w:tcPr>
            <w:tcW w:w="7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color w:val="auto"/>
              </w:rPr>
              <w:t>1,924</w:t>
            </w:r>
          </w:p>
        </w:tc>
        <w:tc>
          <w:tcPr>
            <w:tcW w:w="1520" w:type="dxa"/>
            <w:vAlign w:val="bottom"/>
            <w:tcBorders>
              <w:bottom w:val="single" w:sz="8" w:color="CCEEFF"/>
            </w:tcBorders>
            <w:gridSpan w:val="6"/>
          </w:tcPr>
          <w:p>
            <w:pPr>
              <w:jc w:val="right"/>
              <w:ind w:right="1520"/>
              <w:spacing w:after="0"/>
              <w:rPr>
                <w:sz w:val="20"/>
                <w:szCs w:val="20"/>
                <w:color w:val="auto"/>
              </w:rPr>
            </w:pPr>
            <w:r>
              <w:rPr>
                <w:rFonts w:ascii="Arial" w:cs="Arial" w:eastAsia="Arial" w:hAnsi="Arial"/>
                <w:sz w:val="11"/>
                <w:szCs w:val="11"/>
                <w:color w:val="auto"/>
              </w:rPr>
              <w:t>1,291</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57,463</w:t>
            </w:r>
          </w:p>
        </w:tc>
        <w:tc>
          <w:tcPr>
            <w:tcW w:w="0" w:type="dxa"/>
            <w:vAlign w:val="bottom"/>
          </w:tcPr>
          <w:p>
            <w:pPr>
              <w:spacing w:after="0"/>
              <w:rPr>
                <w:sz w:val="1"/>
                <w:szCs w:val="1"/>
                <w:color w:val="auto"/>
              </w:rPr>
            </w:pPr>
          </w:p>
        </w:tc>
      </w:tr>
      <w:tr>
        <w:trPr>
          <w:trHeight w:val="153"/>
        </w:trPr>
        <w:tc>
          <w:tcPr>
            <w:tcW w:w="7960" w:type="dxa"/>
            <w:vAlign w:val="bottom"/>
            <w:gridSpan w:val="49"/>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60" w:type="dxa"/>
            <w:vAlign w:val="bottom"/>
            <w:gridSpan w:val="10"/>
            <w:shd w:val="clear" w:color="auto" w:fill="CCEEFF"/>
          </w:tcPr>
          <w:p>
            <w:pPr>
              <w:jc w:val="right"/>
              <w:ind w:right="2484"/>
              <w:spacing w:after="0"/>
              <w:rPr>
                <w:sz w:val="20"/>
                <w:szCs w:val="20"/>
                <w:color w:val="auto"/>
              </w:rPr>
            </w:pPr>
            <w:r>
              <w:rPr>
                <w:rFonts w:ascii="Arial" w:cs="Arial" w:eastAsia="Arial" w:hAnsi="Arial"/>
                <w:sz w:val="11"/>
                <w:szCs w:val="11"/>
                <w:color w:val="auto"/>
              </w:rPr>
              <w:t>15,214</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40" w:type="dxa"/>
            <w:vAlign w:val="bottom"/>
            <w:gridSpan w:val="25"/>
          </w:tcPr>
          <w:p>
            <w:pPr>
              <w:jc w:val="right"/>
              <w:ind w:right="12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28"/>
          </w:tcPr>
          <w:p>
            <w:pPr>
              <w:jc w:val="right"/>
              <w:ind w:right="203"/>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1"/>
                <w:szCs w:val="11"/>
                <w:color w:val="auto"/>
              </w:rPr>
              <w:t>2016</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2020</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gridSpan w:val="2"/>
          </w:tcPr>
          <w:p>
            <w:pPr>
              <w:spacing w:after="0"/>
              <w:rPr>
                <w:sz w:val="13"/>
                <w:szCs w:val="13"/>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854</w:t>
            </w:r>
          </w:p>
        </w:tc>
        <w:tc>
          <w:tcPr>
            <w:tcW w:w="40" w:type="dxa"/>
            <w:vAlign w:val="bottom"/>
            <w:shd w:val="clear" w:color="auto" w:fill="CCEEFF"/>
          </w:tcPr>
          <w:p>
            <w:pPr>
              <w:spacing w:after="0"/>
              <w:rPr>
                <w:sz w:val="13"/>
                <w:szCs w:val="13"/>
                <w:color w:val="auto"/>
              </w:rPr>
            </w:pPr>
          </w:p>
        </w:tc>
        <w:tc>
          <w:tcPr>
            <w:tcW w:w="20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rPr>
              <w:t>925</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w w:val="97"/>
              </w:rPr>
              <w:t>965</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1,014</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1,031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left="763"/>
              <w:spacing w:after="0"/>
              <w:rPr>
                <w:sz w:val="20"/>
                <w:szCs w:val="20"/>
                <w:color w:val="auto"/>
              </w:rPr>
            </w:pPr>
            <w:r>
              <w:rPr>
                <w:rFonts w:ascii="Arial" w:cs="Arial" w:eastAsia="Arial" w:hAnsi="Arial"/>
                <w:sz w:val="11"/>
                <w:szCs w:val="11"/>
                <w:color w:val="auto"/>
              </w:rPr>
              <w:t>92.5%</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gridSpan w:val="9"/>
          </w:tcPr>
          <w:p>
            <w:pPr>
              <w:jc w:val="center"/>
              <w:ind w:right="923"/>
              <w:spacing w:after="0"/>
              <w:rPr>
                <w:sz w:val="20"/>
                <w:szCs w:val="20"/>
                <w:color w:val="auto"/>
              </w:rPr>
            </w:pPr>
            <w:r>
              <w:rPr>
                <w:rFonts w:ascii="Arial" w:cs="Arial" w:eastAsia="Arial" w:hAnsi="Arial"/>
                <w:sz w:val="11"/>
                <w:szCs w:val="11"/>
                <w:color w:val="auto"/>
                <w:w w:val="97"/>
              </w:rPr>
              <w:t>2017</w:t>
            </w:r>
          </w:p>
        </w:tc>
        <w:tc>
          <w:tcPr>
            <w:tcW w:w="800" w:type="dxa"/>
            <w:vAlign w:val="bottom"/>
            <w:gridSpan w:val="5"/>
          </w:tcPr>
          <w:p>
            <w:pPr>
              <w:jc w:val="right"/>
              <w:ind w:right="280"/>
              <w:spacing w:after="0"/>
              <w:rPr>
                <w:sz w:val="20"/>
                <w:szCs w:val="20"/>
                <w:color w:val="auto"/>
              </w:rPr>
            </w:pPr>
            <w:r>
              <w:rPr>
                <w:rFonts w:ascii="Arial" w:cs="Arial" w:eastAsia="Arial" w:hAnsi="Arial"/>
                <w:sz w:val="11"/>
                <w:szCs w:val="11"/>
                <w:color w:val="auto"/>
              </w:rPr>
              <w:t>208</w:t>
            </w:r>
          </w:p>
        </w:tc>
        <w:tc>
          <w:tcPr>
            <w:tcW w:w="760" w:type="dxa"/>
            <w:vAlign w:val="bottom"/>
            <w:gridSpan w:val="5"/>
          </w:tcPr>
          <w:p>
            <w:pPr>
              <w:jc w:val="right"/>
              <w:ind w:right="280"/>
              <w:spacing w:after="0"/>
              <w:rPr>
                <w:sz w:val="20"/>
                <w:szCs w:val="20"/>
                <w:color w:val="auto"/>
              </w:rPr>
            </w:pPr>
            <w:r>
              <w:rPr>
                <w:rFonts w:ascii="Arial" w:cs="Arial" w:eastAsia="Arial" w:hAnsi="Arial"/>
                <w:sz w:val="11"/>
                <w:szCs w:val="11"/>
                <w:color w:val="auto"/>
              </w:rPr>
              <w:t>438</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638</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803</w:t>
            </w:r>
          </w:p>
        </w:tc>
        <w:tc>
          <w:tcPr>
            <w:tcW w:w="820" w:type="dxa"/>
            <w:vAlign w:val="bottom"/>
            <w:gridSpan w:val="6"/>
          </w:tcPr>
          <w:p>
            <w:pPr>
              <w:jc w:val="center"/>
              <w:ind w:right="20"/>
              <w:spacing w:after="0"/>
              <w:rPr>
                <w:sz w:val="20"/>
                <w:szCs w:val="20"/>
                <w:color w:val="auto"/>
              </w:rPr>
            </w:pPr>
            <w:r>
              <w:rPr>
                <w:rFonts w:ascii="Arial" w:cs="Arial" w:eastAsia="Arial" w:hAnsi="Arial"/>
                <w:sz w:val="11"/>
                <w:szCs w:val="11"/>
                <w:color w:val="auto"/>
              </w:rPr>
              <w:t>890</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972</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1,036</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1,095</w:t>
            </w:r>
          </w:p>
        </w:tc>
        <w:tc>
          <w:tcPr>
            <w:tcW w:w="860" w:type="dxa"/>
            <w:vAlign w:val="bottom"/>
            <w:gridSpan w:val="6"/>
          </w:tcPr>
          <w:p>
            <w:pPr>
              <w:jc w:val="right"/>
              <w:ind w:right="347"/>
              <w:spacing w:after="0"/>
              <w:rPr>
                <w:sz w:val="20"/>
                <w:szCs w:val="20"/>
                <w:color w:val="auto"/>
              </w:rPr>
            </w:pPr>
            <w:r>
              <w:rPr>
                <w:rFonts w:ascii="Arial" w:cs="Arial" w:eastAsia="Arial" w:hAnsi="Arial"/>
                <w:sz w:val="11"/>
                <w:szCs w:val="11"/>
                <w:color w:val="auto"/>
              </w:rPr>
              <w:t>1,128</w:t>
            </w:r>
          </w:p>
        </w:tc>
        <w:tc>
          <w:tcPr>
            <w:tcW w:w="2200" w:type="dxa"/>
            <w:vAlign w:val="bottom"/>
            <w:gridSpan w:val="4"/>
          </w:tcPr>
          <w:p>
            <w:pPr>
              <w:jc w:val="center"/>
              <w:ind w:right="144"/>
              <w:spacing w:after="0"/>
              <w:rPr>
                <w:sz w:val="20"/>
                <w:szCs w:val="20"/>
                <w:color w:val="auto"/>
              </w:rPr>
            </w:pPr>
            <w:r>
              <w:rPr>
                <w:rFonts w:ascii="Arial" w:cs="Arial" w:eastAsia="Arial" w:hAnsi="Arial"/>
                <w:sz w:val="11"/>
                <w:szCs w:val="11"/>
                <w:color w:val="auto"/>
              </w:rPr>
              <w:t>89.5%</w:t>
            </w:r>
          </w:p>
        </w:tc>
        <w:tc>
          <w:tcPr>
            <w:tcW w:w="0" w:type="dxa"/>
            <w:vAlign w:val="bottom"/>
          </w:tcPr>
          <w:p>
            <w:pPr>
              <w:spacing w:after="0"/>
              <w:rPr>
                <w:sz w:val="1"/>
                <w:szCs w:val="1"/>
                <w:color w:val="auto"/>
              </w:rPr>
            </w:pPr>
          </w:p>
        </w:tc>
      </w:tr>
      <w:tr>
        <w:trPr>
          <w:trHeight w:val="162"/>
        </w:trPr>
        <w:tc>
          <w:tcPr>
            <w:tcW w:w="2700" w:type="dxa"/>
            <w:vAlign w:val="bottom"/>
            <w:gridSpan w:val="14"/>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2018</w:t>
            </w:r>
          </w:p>
        </w:tc>
        <w:tc>
          <w:tcPr>
            <w:tcW w:w="76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218</w:t>
            </w:r>
          </w:p>
        </w:tc>
        <w:tc>
          <w:tcPr>
            <w:tcW w:w="740" w:type="dxa"/>
            <w:vAlign w:val="bottom"/>
            <w:gridSpan w:val="4"/>
            <w:shd w:val="clear" w:color="auto" w:fill="CCEEFF"/>
          </w:tcPr>
          <w:p>
            <w:pPr>
              <w:jc w:val="right"/>
              <w:ind w:right="183"/>
              <w:spacing w:after="0"/>
              <w:rPr>
                <w:sz w:val="20"/>
                <w:szCs w:val="20"/>
                <w:color w:val="auto"/>
              </w:rPr>
            </w:pPr>
            <w:r>
              <w:rPr>
                <w:rFonts w:ascii="Arial" w:cs="Arial" w:eastAsia="Arial" w:hAnsi="Arial"/>
                <w:sz w:val="11"/>
                <w:szCs w:val="11"/>
                <w:color w:val="auto"/>
              </w:rPr>
              <w:t>494</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820" w:type="dxa"/>
            <w:vAlign w:val="bottom"/>
            <w:gridSpan w:val="6"/>
            <w:shd w:val="clear" w:color="auto" w:fill="CCEEFF"/>
          </w:tcPr>
          <w:p>
            <w:pPr>
              <w:jc w:val="center"/>
              <w:ind w:right="20"/>
              <w:spacing w:after="0"/>
              <w:rPr>
                <w:sz w:val="20"/>
                <w:szCs w:val="20"/>
                <w:color w:val="auto"/>
              </w:rPr>
            </w:pPr>
            <w:r>
              <w:rPr>
                <w:rFonts w:ascii="Arial" w:cs="Arial" w:eastAsia="Arial" w:hAnsi="Arial"/>
                <w:sz w:val="11"/>
                <w:szCs w:val="11"/>
                <w:color w:val="auto"/>
              </w:rPr>
              <w:t>832</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953</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1,060</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1,125</w:t>
            </w:r>
          </w:p>
        </w:tc>
        <w:tc>
          <w:tcPr>
            <w:tcW w:w="86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1,173</w:t>
            </w:r>
          </w:p>
        </w:tc>
        <w:tc>
          <w:tcPr>
            <w:tcW w:w="2200" w:type="dxa"/>
            <w:vAlign w:val="bottom"/>
            <w:gridSpan w:val="4"/>
            <w:shd w:val="clear" w:color="auto" w:fill="CCEEFF"/>
          </w:tcPr>
          <w:p>
            <w:pPr>
              <w:jc w:val="center"/>
              <w:ind w:right="144"/>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56"/>
        </w:trPr>
        <w:tc>
          <w:tcPr>
            <w:tcW w:w="3460" w:type="dxa"/>
            <w:vAlign w:val="bottom"/>
            <w:gridSpan w:val="19"/>
          </w:tcPr>
          <w:p>
            <w:pPr>
              <w:jc w:val="center"/>
              <w:ind w:right="2540"/>
              <w:spacing w:after="0"/>
              <w:rPr>
                <w:sz w:val="20"/>
                <w:szCs w:val="20"/>
                <w:color w:val="auto"/>
              </w:rPr>
            </w:pPr>
            <w:r>
              <w:rPr>
                <w:rFonts w:ascii="Arial" w:cs="Arial" w:eastAsia="Arial" w:hAnsi="Arial"/>
                <w:sz w:val="11"/>
                <w:szCs w:val="11"/>
                <w:color w:val="auto"/>
                <w:w w:val="97"/>
              </w:rPr>
              <w:t>2019</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219</w:t>
            </w:r>
          </w:p>
        </w:tc>
        <w:tc>
          <w:tcPr>
            <w:tcW w:w="820" w:type="dxa"/>
            <w:vAlign w:val="bottom"/>
            <w:gridSpan w:val="6"/>
          </w:tcPr>
          <w:p>
            <w:pPr>
              <w:jc w:val="right"/>
              <w:ind w:right="280"/>
              <w:spacing w:after="0"/>
              <w:rPr>
                <w:sz w:val="20"/>
                <w:szCs w:val="20"/>
                <w:color w:val="auto"/>
              </w:rPr>
            </w:pPr>
            <w:r>
              <w:rPr>
                <w:rFonts w:ascii="Arial" w:cs="Arial" w:eastAsia="Arial" w:hAnsi="Arial"/>
                <w:sz w:val="11"/>
                <w:szCs w:val="11"/>
                <w:color w:val="auto"/>
              </w:rPr>
              <w:t>473</w:t>
            </w:r>
          </w:p>
        </w:tc>
        <w:tc>
          <w:tcPr>
            <w:tcW w:w="820" w:type="dxa"/>
            <w:vAlign w:val="bottom"/>
            <w:gridSpan w:val="6"/>
          </w:tcPr>
          <w:p>
            <w:pPr>
              <w:jc w:val="center"/>
              <w:ind w:right="20"/>
              <w:spacing w:after="0"/>
              <w:rPr>
                <w:sz w:val="20"/>
                <w:szCs w:val="20"/>
                <w:color w:val="auto"/>
              </w:rPr>
            </w:pPr>
            <w:r>
              <w:rPr>
                <w:rFonts w:ascii="Arial" w:cs="Arial" w:eastAsia="Arial" w:hAnsi="Arial"/>
                <w:sz w:val="11"/>
                <w:szCs w:val="11"/>
                <w:color w:val="auto"/>
              </w:rPr>
              <w:t>693</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848</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984</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1,079</w:t>
            </w:r>
          </w:p>
        </w:tc>
        <w:tc>
          <w:tcPr>
            <w:tcW w:w="860" w:type="dxa"/>
            <w:vAlign w:val="bottom"/>
            <w:gridSpan w:val="6"/>
          </w:tcPr>
          <w:p>
            <w:pPr>
              <w:jc w:val="right"/>
              <w:ind w:right="347"/>
              <w:spacing w:after="0"/>
              <w:rPr>
                <w:sz w:val="20"/>
                <w:szCs w:val="20"/>
                <w:color w:val="auto"/>
              </w:rPr>
            </w:pPr>
            <w:r>
              <w:rPr>
                <w:rFonts w:ascii="Arial" w:cs="Arial" w:eastAsia="Arial" w:hAnsi="Arial"/>
                <w:sz w:val="11"/>
                <w:szCs w:val="11"/>
                <w:color w:val="auto"/>
              </w:rPr>
              <w:t>1,166</w:t>
            </w:r>
          </w:p>
        </w:tc>
        <w:tc>
          <w:tcPr>
            <w:tcW w:w="2200" w:type="dxa"/>
            <w:vAlign w:val="bottom"/>
            <w:gridSpan w:val="4"/>
          </w:tcPr>
          <w:p>
            <w:pPr>
              <w:jc w:val="center"/>
              <w:ind w:right="144"/>
              <w:spacing w:after="0"/>
              <w:rPr>
                <w:sz w:val="20"/>
                <w:szCs w:val="20"/>
                <w:color w:val="auto"/>
              </w:rPr>
            </w:pPr>
            <w:r>
              <w:rPr>
                <w:rFonts w:ascii="Arial" w:cs="Arial" w:eastAsia="Arial" w:hAnsi="Arial"/>
                <w:sz w:val="11"/>
                <w:szCs w:val="11"/>
                <w:color w:val="auto"/>
              </w:rPr>
              <w:t>83.5%</w:t>
            </w:r>
          </w:p>
        </w:tc>
        <w:tc>
          <w:tcPr>
            <w:tcW w:w="0" w:type="dxa"/>
            <w:vAlign w:val="bottom"/>
          </w:tcPr>
          <w:p>
            <w:pPr>
              <w:spacing w:after="0"/>
              <w:rPr>
                <w:sz w:val="1"/>
                <w:szCs w:val="1"/>
                <w:color w:val="auto"/>
              </w:rPr>
            </w:pPr>
          </w:p>
        </w:tc>
      </w:tr>
      <w:tr>
        <w:trPr>
          <w:trHeight w:val="162"/>
        </w:trPr>
        <w:tc>
          <w:tcPr>
            <w:tcW w:w="4200" w:type="dxa"/>
            <w:vAlign w:val="bottom"/>
            <w:gridSpan w:val="23"/>
            <w:shd w:val="clear" w:color="auto" w:fill="CCEEFF"/>
          </w:tcPr>
          <w:p>
            <w:pPr>
              <w:jc w:val="center"/>
              <w:ind w:right="3223"/>
              <w:spacing w:after="0"/>
              <w:rPr>
                <w:sz w:val="20"/>
                <w:szCs w:val="20"/>
                <w:color w:val="auto"/>
              </w:rPr>
            </w:pPr>
            <w:r>
              <w:rPr>
                <w:rFonts w:ascii="Arial" w:cs="Arial" w:eastAsia="Arial" w:hAnsi="Arial"/>
                <w:sz w:val="11"/>
                <w:szCs w:val="11"/>
                <w:color w:val="auto"/>
                <w:w w:val="97"/>
              </w:rPr>
              <w:t>2020</w:t>
            </w:r>
          </w:p>
        </w:tc>
        <w:tc>
          <w:tcPr>
            <w:tcW w:w="82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196</w:t>
            </w:r>
          </w:p>
        </w:tc>
        <w:tc>
          <w:tcPr>
            <w:tcW w:w="820" w:type="dxa"/>
            <w:vAlign w:val="bottom"/>
            <w:gridSpan w:val="6"/>
            <w:shd w:val="clear" w:color="auto" w:fill="CCEEFF"/>
          </w:tcPr>
          <w:p>
            <w:pPr>
              <w:jc w:val="center"/>
              <w:ind w:right="20"/>
              <w:spacing w:after="0"/>
              <w:rPr>
                <w:sz w:val="20"/>
                <w:szCs w:val="20"/>
                <w:color w:val="auto"/>
              </w:rPr>
            </w:pPr>
            <w:r>
              <w:rPr>
                <w:rFonts w:ascii="Arial" w:cs="Arial" w:eastAsia="Arial" w:hAnsi="Arial"/>
                <w:sz w:val="11"/>
                <w:szCs w:val="11"/>
                <w:color w:val="auto"/>
              </w:rPr>
              <w:t>465</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652</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814</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971</w:t>
            </w:r>
          </w:p>
        </w:tc>
        <w:tc>
          <w:tcPr>
            <w:tcW w:w="86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1,064</w:t>
            </w:r>
          </w:p>
        </w:tc>
        <w:tc>
          <w:tcPr>
            <w:tcW w:w="2200" w:type="dxa"/>
            <w:vAlign w:val="bottom"/>
            <w:gridSpan w:val="4"/>
            <w:shd w:val="clear" w:color="auto" w:fill="CCEEFF"/>
          </w:tcPr>
          <w:p>
            <w:pPr>
              <w:jc w:val="center"/>
              <w:ind w:right="144"/>
              <w:spacing w:after="0"/>
              <w:rPr>
                <w:sz w:val="20"/>
                <w:szCs w:val="20"/>
                <w:color w:val="auto"/>
              </w:rPr>
            </w:pPr>
            <w:r>
              <w:rPr>
                <w:rFonts w:ascii="Arial" w:cs="Arial" w:eastAsia="Arial" w:hAnsi="Arial"/>
                <w:sz w:val="11"/>
                <w:szCs w:val="11"/>
                <w:color w:val="auto"/>
              </w:rPr>
              <w:t>77.8%</w:t>
            </w:r>
          </w:p>
        </w:tc>
        <w:tc>
          <w:tcPr>
            <w:tcW w:w="0" w:type="dxa"/>
            <w:vAlign w:val="bottom"/>
          </w:tcPr>
          <w:p>
            <w:pPr>
              <w:spacing w:after="0"/>
              <w:rPr>
                <w:sz w:val="1"/>
                <w:szCs w:val="1"/>
                <w:color w:val="auto"/>
              </w:rPr>
            </w:pPr>
          </w:p>
        </w:tc>
      </w:tr>
      <w:tr>
        <w:trPr>
          <w:trHeight w:val="156"/>
        </w:trPr>
        <w:tc>
          <w:tcPr>
            <w:tcW w:w="5020" w:type="dxa"/>
            <w:vAlign w:val="bottom"/>
            <w:gridSpan w:val="29"/>
          </w:tcPr>
          <w:p>
            <w:pPr>
              <w:jc w:val="center"/>
              <w:ind w:right="4100"/>
              <w:spacing w:after="0"/>
              <w:rPr>
                <w:sz w:val="20"/>
                <w:szCs w:val="20"/>
                <w:color w:val="auto"/>
              </w:rPr>
            </w:pPr>
            <w:r>
              <w:rPr>
                <w:rFonts w:ascii="Arial" w:cs="Arial" w:eastAsia="Arial" w:hAnsi="Arial"/>
                <w:sz w:val="11"/>
                <w:szCs w:val="11"/>
                <w:color w:val="auto"/>
                <w:w w:val="97"/>
              </w:rPr>
              <w:t>2021</w:t>
            </w:r>
          </w:p>
        </w:tc>
        <w:tc>
          <w:tcPr>
            <w:tcW w:w="820" w:type="dxa"/>
            <w:vAlign w:val="bottom"/>
            <w:gridSpan w:val="6"/>
          </w:tcPr>
          <w:p>
            <w:pPr>
              <w:jc w:val="center"/>
              <w:ind w:right="20"/>
              <w:spacing w:after="0"/>
              <w:rPr>
                <w:sz w:val="20"/>
                <w:szCs w:val="20"/>
                <w:color w:val="auto"/>
              </w:rPr>
            </w:pPr>
            <w:r>
              <w:rPr>
                <w:rFonts w:ascii="Arial" w:cs="Arial" w:eastAsia="Arial" w:hAnsi="Arial"/>
                <w:sz w:val="11"/>
                <w:szCs w:val="11"/>
                <w:color w:val="auto"/>
              </w:rPr>
              <w:t>199</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462</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668</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861</w:t>
            </w:r>
          </w:p>
        </w:tc>
        <w:tc>
          <w:tcPr>
            <w:tcW w:w="860" w:type="dxa"/>
            <w:vAlign w:val="bottom"/>
            <w:gridSpan w:val="6"/>
          </w:tcPr>
          <w:p>
            <w:pPr>
              <w:jc w:val="right"/>
              <w:ind w:right="347"/>
              <w:spacing w:after="0"/>
              <w:rPr>
                <w:sz w:val="20"/>
                <w:szCs w:val="20"/>
                <w:color w:val="auto"/>
              </w:rPr>
            </w:pPr>
            <w:r>
              <w:rPr>
                <w:rFonts w:ascii="Arial" w:cs="Arial" w:eastAsia="Arial" w:hAnsi="Arial"/>
                <w:sz w:val="11"/>
                <w:szCs w:val="11"/>
                <w:color w:val="auto"/>
              </w:rPr>
              <w:t>1,013</w:t>
            </w:r>
          </w:p>
        </w:tc>
        <w:tc>
          <w:tcPr>
            <w:tcW w:w="2200" w:type="dxa"/>
            <w:vAlign w:val="bottom"/>
            <w:gridSpan w:val="4"/>
          </w:tcPr>
          <w:p>
            <w:pPr>
              <w:jc w:val="center"/>
              <w:ind w:right="144"/>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62"/>
        </w:trPr>
        <w:tc>
          <w:tcPr>
            <w:tcW w:w="5840" w:type="dxa"/>
            <w:vAlign w:val="bottom"/>
            <w:gridSpan w:val="35"/>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2022</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208</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536</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829</w:t>
            </w:r>
          </w:p>
        </w:tc>
        <w:tc>
          <w:tcPr>
            <w:tcW w:w="86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1,038</w:t>
            </w:r>
          </w:p>
        </w:tc>
        <w:tc>
          <w:tcPr>
            <w:tcW w:w="2200" w:type="dxa"/>
            <w:vAlign w:val="bottom"/>
            <w:gridSpan w:val="4"/>
            <w:shd w:val="clear" w:color="auto" w:fill="CCEEFF"/>
          </w:tcPr>
          <w:p>
            <w:pPr>
              <w:jc w:val="center"/>
              <w:ind w:right="144"/>
              <w:spacing w:after="0"/>
              <w:rPr>
                <w:sz w:val="20"/>
                <w:szCs w:val="20"/>
                <w:color w:val="auto"/>
              </w:rPr>
            </w:pPr>
            <w:r>
              <w:rPr>
                <w:rFonts w:ascii="Arial" w:cs="Arial" w:eastAsia="Arial" w:hAnsi="Arial"/>
                <w:sz w:val="11"/>
                <w:szCs w:val="11"/>
                <w:color w:val="auto"/>
              </w:rPr>
              <w:t>61.9%</w:t>
            </w:r>
          </w:p>
        </w:tc>
        <w:tc>
          <w:tcPr>
            <w:tcW w:w="0" w:type="dxa"/>
            <w:vAlign w:val="bottom"/>
          </w:tcPr>
          <w:p>
            <w:pPr>
              <w:spacing w:after="0"/>
              <w:rPr>
                <w:sz w:val="1"/>
                <w:szCs w:val="1"/>
                <w:color w:val="auto"/>
              </w:rPr>
            </w:pPr>
          </w:p>
        </w:tc>
      </w:tr>
      <w:tr>
        <w:trPr>
          <w:trHeight w:val="156"/>
        </w:trPr>
        <w:tc>
          <w:tcPr>
            <w:tcW w:w="6580" w:type="dxa"/>
            <w:vAlign w:val="bottom"/>
            <w:gridSpan w:val="40"/>
          </w:tcPr>
          <w:p>
            <w:pPr>
              <w:jc w:val="center"/>
              <w:ind w:right="5660"/>
              <w:spacing w:after="0"/>
              <w:rPr>
                <w:sz w:val="20"/>
                <w:szCs w:val="20"/>
                <w:color w:val="auto"/>
              </w:rPr>
            </w:pPr>
            <w:r>
              <w:rPr>
                <w:rFonts w:ascii="Arial" w:cs="Arial" w:eastAsia="Arial" w:hAnsi="Arial"/>
                <w:sz w:val="11"/>
                <w:szCs w:val="11"/>
                <w:color w:val="auto"/>
                <w:w w:val="97"/>
              </w:rPr>
              <w:t>2023</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275</w:t>
            </w:r>
          </w:p>
        </w:tc>
        <w:tc>
          <w:tcPr>
            <w:tcW w:w="820" w:type="dxa"/>
            <w:vAlign w:val="bottom"/>
            <w:gridSpan w:val="6"/>
          </w:tcPr>
          <w:p>
            <w:pPr>
              <w:jc w:val="right"/>
              <w:ind w:right="303"/>
              <w:spacing w:after="0"/>
              <w:rPr>
                <w:sz w:val="20"/>
                <w:szCs w:val="20"/>
                <w:color w:val="auto"/>
              </w:rPr>
            </w:pPr>
            <w:r>
              <w:rPr>
                <w:rFonts w:ascii="Arial" w:cs="Arial" w:eastAsia="Arial" w:hAnsi="Arial"/>
                <w:sz w:val="11"/>
                <w:szCs w:val="11"/>
                <w:color w:val="auto"/>
              </w:rPr>
              <w:t>650</w:t>
            </w:r>
          </w:p>
        </w:tc>
        <w:tc>
          <w:tcPr>
            <w:tcW w:w="860" w:type="dxa"/>
            <w:vAlign w:val="bottom"/>
            <w:gridSpan w:val="6"/>
          </w:tcPr>
          <w:p>
            <w:pPr>
              <w:jc w:val="right"/>
              <w:ind w:right="347"/>
              <w:spacing w:after="0"/>
              <w:rPr>
                <w:sz w:val="20"/>
                <w:szCs w:val="20"/>
                <w:color w:val="auto"/>
              </w:rPr>
            </w:pPr>
            <w:r>
              <w:rPr>
                <w:rFonts w:ascii="Arial" w:cs="Arial" w:eastAsia="Arial" w:hAnsi="Arial"/>
                <w:sz w:val="11"/>
                <w:szCs w:val="11"/>
                <w:color w:val="auto"/>
              </w:rPr>
              <w:t>924</w:t>
            </w:r>
          </w:p>
        </w:tc>
        <w:tc>
          <w:tcPr>
            <w:tcW w:w="2200" w:type="dxa"/>
            <w:vAlign w:val="bottom"/>
            <w:gridSpan w:val="4"/>
          </w:tcPr>
          <w:p>
            <w:pPr>
              <w:jc w:val="center"/>
              <w:ind w:right="144"/>
              <w:spacing w:after="0"/>
              <w:rPr>
                <w:sz w:val="20"/>
                <w:szCs w:val="20"/>
                <w:color w:val="auto"/>
              </w:rPr>
            </w:pPr>
            <w:r>
              <w:rPr>
                <w:rFonts w:ascii="Arial" w:cs="Arial" w:eastAsia="Arial" w:hAnsi="Arial"/>
                <w:sz w:val="11"/>
                <w:szCs w:val="11"/>
                <w:color w:val="auto"/>
              </w:rPr>
              <w:t>49.9%</w:t>
            </w:r>
          </w:p>
        </w:tc>
        <w:tc>
          <w:tcPr>
            <w:tcW w:w="0" w:type="dxa"/>
            <w:vAlign w:val="bottom"/>
          </w:tcPr>
          <w:p>
            <w:pPr>
              <w:spacing w:after="0"/>
              <w:rPr>
                <w:sz w:val="1"/>
                <w:szCs w:val="1"/>
                <w:color w:val="auto"/>
              </w:rPr>
            </w:pPr>
          </w:p>
        </w:tc>
      </w:tr>
      <w:tr>
        <w:trPr>
          <w:trHeight w:val="162"/>
        </w:trPr>
        <w:tc>
          <w:tcPr>
            <w:tcW w:w="7400" w:type="dxa"/>
            <w:vAlign w:val="bottom"/>
            <w:gridSpan w:val="46"/>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2024</w:t>
            </w:r>
          </w:p>
        </w:tc>
        <w:tc>
          <w:tcPr>
            <w:tcW w:w="820" w:type="dxa"/>
            <w:vAlign w:val="bottom"/>
            <w:gridSpan w:val="6"/>
            <w:shd w:val="clear" w:color="auto" w:fill="CCEEFF"/>
          </w:tcPr>
          <w:p>
            <w:pPr>
              <w:jc w:val="right"/>
              <w:ind w:right="303"/>
              <w:spacing w:after="0"/>
              <w:rPr>
                <w:sz w:val="20"/>
                <w:szCs w:val="20"/>
                <w:color w:val="auto"/>
              </w:rPr>
            </w:pPr>
            <w:r>
              <w:rPr>
                <w:rFonts w:ascii="Arial" w:cs="Arial" w:eastAsia="Arial" w:hAnsi="Arial"/>
                <w:sz w:val="11"/>
                <w:szCs w:val="11"/>
                <w:color w:val="auto"/>
              </w:rPr>
              <w:t>281</w:t>
            </w:r>
          </w:p>
        </w:tc>
        <w:tc>
          <w:tcPr>
            <w:tcW w:w="86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647</w:t>
            </w:r>
          </w:p>
        </w:tc>
        <w:tc>
          <w:tcPr>
            <w:tcW w:w="2200" w:type="dxa"/>
            <w:vAlign w:val="bottom"/>
            <w:gridSpan w:val="4"/>
            <w:shd w:val="clear" w:color="auto" w:fill="CCEEFF"/>
          </w:tcPr>
          <w:p>
            <w:pPr>
              <w:jc w:val="center"/>
              <w:ind w:right="144"/>
              <w:spacing w:after="0"/>
              <w:rPr>
                <w:sz w:val="20"/>
                <w:szCs w:val="20"/>
                <w:color w:val="auto"/>
              </w:rPr>
            </w:pPr>
            <w:r>
              <w:rPr>
                <w:rFonts w:ascii="Arial" w:cs="Arial" w:eastAsia="Arial" w:hAnsi="Arial"/>
                <w:sz w:val="11"/>
                <w:szCs w:val="11"/>
                <w:color w:val="auto"/>
              </w:rPr>
              <w:t>35.4%</w:t>
            </w: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gridSpan w:val="50"/>
          </w:tcPr>
          <w:p>
            <w:pPr>
              <w:jc w:val="center"/>
              <w:ind w:right="7023"/>
              <w:spacing w:after="0"/>
              <w:rPr>
                <w:sz w:val="20"/>
                <w:szCs w:val="20"/>
                <w:color w:val="auto"/>
              </w:rPr>
            </w:pPr>
            <w:r>
              <w:rPr>
                <w:rFonts w:ascii="Arial" w:cs="Arial" w:eastAsia="Arial" w:hAnsi="Arial"/>
                <w:sz w:val="11"/>
                <w:szCs w:val="11"/>
                <w:color w:val="auto"/>
                <w:w w:val="97"/>
              </w:rPr>
              <w:t>2025</w:t>
            </w:r>
          </w:p>
        </w:tc>
        <w:tc>
          <w:tcPr>
            <w:tcW w:w="72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1"/>
                <w:szCs w:val="11"/>
                <w:color w:val="auto"/>
              </w:rPr>
              <w:t>264</w:t>
            </w:r>
          </w:p>
        </w:tc>
        <w:tc>
          <w:tcPr>
            <w:tcW w:w="2560" w:type="dxa"/>
            <w:vAlign w:val="bottom"/>
            <w:tcBorders>
              <w:bottom w:val="single" w:sz="8" w:color="CCEEFF"/>
            </w:tcBorders>
            <w:gridSpan w:val="8"/>
          </w:tcPr>
          <w:p>
            <w:pPr>
              <w:jc w:val="right"/>
              <w:ind w:right="2504"/>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53"/>
        </w:trPr>
        <w:tc>
          <w:tcPr>
            <w:tcW w:w="7960" w:type="dxa"/>
            <w:vAlign w:val="bottom"/>
            <w:gridSpan w:val="49"/>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3060" w:type="dxa"/>
            <w:vAlign w:val="bottom"/>
            <w:gridSpan w:val="10"/>
            <w:shd w:val="clear" w:color="auto" w:fill="CCEEFF"/>
          </w:tcPr>
          <w:p>
            <w:pPr>
              <w:jc w:val="right"/>
              <w:ind w:right="2544"/>
              <w:spacing w:after="0"/>
              <w:rPr>
                <w:sz w:val="20"/>
                <w:szCs w:val="20"/>
                <w:color w:val="auto"/>
              </w:rPr>
            </w:pPr>
            <w:r>
              <w:rPr>
                <w:rFonts w:ascii="Arial" w:cs="Arial" w:eastAsia="Arial" w:hAnsi="Arial"/>
                <w:sz w:val="11"/>
                <w:szCs w:val="11"/>
                <w:color w:val="auto"/>
              </w:rPr>
              <w:t>9,448</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0"/>
          </w:tcPr>
          <w:p>
            <w:pPr>
              <w:jc w:val="right"/>
              <w:ind w:right="60"/>
              <w:spacing w:after="0"/>
              <w:rPr>
                <w:sz w:val="20"/>
                <w:szCs w:val="20"/>
                <w:color w:val="auto"/>
              </w:rPr>
            </w:pPr>
            <w:r>
              <w:rPr>
                <w:rFonts w:ascii="Arial" w:cs="Arial" w:eastAsia="Arial" w:hAnsi="Arial"/>
                <w:sz w:val="11"/>
                <w:szCs w:val="11"/>
                <w:color w:val="auto"/>
              </w:rPr>
              <w:t>Unpaid losses and LAE — years 2016 through 2025</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5,766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40" w:type="dxa"/>
            <w:vAlign w:val="bottom"/>
            <w:gridSpan w:val="27"/>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6"/>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60" w:type="dxa"/>
            <w:vAlign w:val="bottom"/>
            <w:gridSpan w:val="3"/>
          </w:tcPr>
          <w:p>
            <w:pPr>
              <w:jc w:val="right"/>
              <w:ind w:right="8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6,177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28"/>
            <w:vMerge w:val="restart"/>
          </w:tcPr>
          <w:p>
            <w:pPr>
              <w:jc w:val="right"/>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gridSpan w:val="28"/>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8"/>
          </w:tcPr>
          <w:p>
            <w:pPr>
              <w:jc w:val="right"/>
              <w:ind w:right="2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Year 1</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Year 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color w:val="auto"/>
              </w:rPr>
              <w:t>Year 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color w:val="auto"/>
              </w:rPr>
              <w:t>Year 4</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Year 5</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8"/>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color w:val="auto"/>
              </w:rPr>
              <w:t>Year 8</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color w:val="auto"/>
              </w:rPr>
              <w:t>Year 9</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1"/>
                <w:szCs w:val="11"/>
                <w:color w:val="auto"/>
              </w:rPr>
              <w:t>Year 10</w:t>
            </w:r>
          </w:p>
        </w:tc>
        <w:tc>
          <w:tcPr>
            <w:tcW w:w="1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w w:val="95"/>
              </w:rPr>
              <w:t>3.8%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5"/>
              </w:rPr>
              <w:t>1.9%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5"/>
              </w:rPr>
              <w:t>1.5%</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62.0%</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71.4%</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78.3%</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83.2%</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87.0%</w:t>
            </w: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88.9%</w:t>
            </w:r>
          </w:p>
        </w:tc>
        <w:tc>
          <w:tcPr>
            <w:tcW w:w="860" w:type="dxa"/>
            <w:vAlign w:val="bottom"/>
            <w:gridSpan w:val="6"/>
          </w:tcPr>
          <w:p>
            <w:pPr>
              <w:jc w:val="right"/>
              <w:spacing w:after="0"/>
              <w:rPr>
                <w:sz w:val="20"/>
                <w:szCs w:val="20"/>
                <w:color w:val="auto"/>
              </w:rPr>
            </w:pPr>
            <w:r>
              <w:rPr>
                <w:rFonts w:ascii="Arial" w:cs="Arial" w:eastAsia="Arial" w:hAnsi="Arial"/>
                <w:sz w:val="11"/>
                <w:szCs w:val="11"/>
                <w:color w:val="auto"/>
              </w:rPr>
              <w:t>90.4%</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2025).</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Specialty financial</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17"/>
          </w:tcPr>
          <w:p>
            <w:pPr>
              <w:ind w:lef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1"/>
                <w:szCs w:val="11"/>
                <w:color w:val="auto"/>
              </w:rPr>
              <w:t>As of December 31, 2025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9"/>
          </w:tcPr>
          <w:p>
            <w:pPr>
              <w:jc w:val="right"/>
              <w:ind w:right="183"/>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vMerge w:val="restart"/>
          </w:tcPr>
          <w:p>
            <w:pPr>
              <w:jc w:val="center"/>
              <w:ind w:right="16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920" w:type="dxa"/>
            <w:vAlign w:val="bottom"/>
            <w:gridSpan w:val="60"/>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Accident Year</w:t>
            </w:r>
          </w:p>
        </w:tc>
        <w:tc>
          <w:tcPr>
            <w:tcW w:w="100" w:type="dxa"/>
            <w:vAlign w:val="bottom"/>
            <w:gridSpan w:val="3"/>
            <w:vMerge w:val="restart"/>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40" w:type="dxa"/>
            <w:vAlign w:val="bottom"/>
            <w:gridSpan w:val="4"/>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2017</w:t>
            </w:r>
          </w:p>
        </w:tc>
        <w:tc>
          <w:tcPr>
            <w:tcW w:w="240" w:type="dxa"/>
            <w:vAlign w:val="bottom"/>
            <w:gridSpan w:val="4"/>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color w:val="auto"/>
              </w:rPr>
              <w:t>2018</w:t>
            </w:r>
          </w:p>
        </w:tc>
        <w:tc>
          <w:tcPr>
            <w:tcW w:w="220" w:type="dxa"/>
            <w:vAlign w:val="bottom"/>
            <w:gridSpan w:val="6"/>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color w:val="auto"/>
              </w:rPr>
              <w:t>2019</w:t>
            </w:r>
          </w:p>
        </w:tc>
        <w:tc>
          <w:tcPr>
            <w:tcW w:w="180" w:type="dxa"/>
            <w:vAlign w:val="bottom"/>
            <w:gridSpan w:val="3"/>
          </w:tcPr>
          <w:p>
            <w:pPr>
              <w:spacing w:after="0"/>
              <w:rPr>
                <w:sz w:val="9"/>
                <w:szCs w:val="9"/>
                <w:color w:val="auto"/>
              </w:rPr>
            </w:pPr>
          </w:p>
        </w:tc>
        <w:tc>
          <w:tcPr>
            <w:tcW w:w="580" w:type="dxa"/>
            <w:vAlign w:val="bottom"/>
            <w:vMerge w:val="restart"/>
          </w:tcPr>
          <w:p>
            <w:pPr>
              <w:jc w:val="right"/>
              <w:ind w:right="143"/>
              <w:spacing w:after="0"/>
              <w:rPr>
                <w:sz w:val="20"/>
                <w:szCs w:val="20"/>
                <w:color w:val="auto"/>
              </w:rPr>
            </w:pPr>
            <w:r>
              <w:rPr>
                <w:rFonts w:ascii="Arial" w:cs="Arial" w:eastAsia="Arial" w:hAnsi="Arial"/>
                <w:sz w:val="11"/>
                <w:szCs w:val="11"/>
                <w:color w:val="auto"/>
              </w:rPr>
              <w:t>2020</w:t>
            </w:r>
          </w:p>
        </w:tc>
        <w:tc>
          <w:tcPr>
            <w:tcW w:w="240" w:type="dxa"/>
            <w:vAlign w:val="bottom"/>
            <w:gridSpan w:val="4"/>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2021</w:t>
            </w:r>
          </w:p>
        </w:tc>
        <w:tc>
          <w:tcPr>
            <w:tcW w:w="280" w:type="dxa"/>
            <w:vAlign w:val="bottom"/>
            <w:gridSpan w:val="5"/>
          </w:tcPr>
          <w:p>
            <w:pPr>
              <w:spacing w:after="0"/>
              <w:rPr>
                <w:sz w:val="9"/>
                <w:szCs w:val="9"/>
                <w:color w:val="auto"/>
              </w:rPr>
            </w:pPr>
          </w:p>
        </w:tc>
        <w:tc>
          <w:tcPr>
            <w:tcW w:w="500" w:type="dxa"/>
            <w:vAlign w:val="bottom"/>
            <w:vMerge w:val="restart"/>
          </w:tcPr>
          <w:p>
            <w:pPr>
              <w:jc w:val="right"/>
              <w:ind w:right="143"/>
              <w:spacing w:after="0"/>
              <w:rPr>
                <w:sz w:val="20"/>
                <w:szCs w:val="20"/>
                <w:color w:val="auto"/>
              </w:rPr>
            </w:pPr>
            <w:r>
              <w:rPr>
                <w:rFonts w:ascii="Arial" w:cs="Arial" w:eastAsia="Arial" w:hAnsi="Arial"/>
                <w:sz w:val="11"/>
                <w:szCs w:val="11"/>
                <w:color w:val="auto"/>
              </w:rPr>
              <w:t>2022</w:t>
            </w:r>
          </w:p>
        </w:tc>
        <w:tc>
          <w:tcPr>
            <w:tcW w:w="240" w:type="dxa"/>
            <w:vAlign w:val="bottom"/>
            <w:gridSpan w:val="4"/>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280" w:type="dxa"/>
            <w:vAlign w:val="bottom"/>
            <w:gridSpan w:val="4"/>
          </w:tcPr>
          <w:p>
            <w:pPr>
              <w:spacing w:after="0"/>
              <w:rPr>
                <w:sz w:val="9"/>
                <w:szCs w:val="9"/>
                <w:color w:val="auto"/>
              </w:rPr>
            </w:pPr>
          </w:p>
        </w:tc>
        <w:tc>
          <w:tcPr>
            <w:tcW w:w="50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320" w:type="dxa"/>
            <w:vAlign w:val="bottom"/>
            <w:gridSpan w:val="4"/>
          </w:tcPr>
          <w:p>
            <w:pPr>
              <w:spacing w:after="0"/>
              <w:rPr>
                <w:sz w:val="9"/>
                <w:szCs w:val="9"/>
                <w:color w:val="auto"/>
              </w:rPr>
            </w:pPr>
          </w:p>
        </w:tc>
        <w:tc>
          <w:tcPr>
            <w:tcW w:w="50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rPr>
              <w:t>2025</w:t>
            </w:r>
          </w:p>
        </w:tc>
        <w:tc>
          <w:tcPr>
            <w:tcW w:w="1600" w:type="dxa"/>
            <w:vAlign w:val="bottom"/>
            <w:gridSpan w:val="8"/>
          </w:tcPr>
          <w:p>
            <w:pPr>
              <w:spacing w:after="0"/>
              <w:rPr>
                <w:sz w:val="20"/>
                <w:szCs w:val="20"/>
                <w:color w:val="auto"/>
              </w:rPr>
            </w:pPr>
            <w:r>
              <w:rPr>
                <w:rFonts w:ascii="Arial" w:cs="Arial" w:eastAsia="Arial" w:hAnsi="Arial"/>
                <w:sz w:val="11"/>
                <w:szCs w:val="11"/>
                <w:color w:val="auto"/>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45,187</w:t>
            </w: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923"/>
              <w:spacing w:after="0"/>
              <w:rPr>
                <w:sz w:val="20"/>
                <w:szCs w:val="20"/>
                <w:color w:val="auto"/>
              </w:rPr>
            </w:pPr>
            <w:r>
              <w:rPr>
                <w:rFonts w:ascii="Arial" w:cs="Arial" w:eastAsia="Arial" w:hAnsi="Arial"/>
                <w:sz w:val="11"/>
                <w:szCs w:val="11"/>
                <w:color w:val="auto"/>
              </w:rPr>
              <w:t>2017</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214</w:t>
            </w:r>
          </w:p>
        </w:tc>
        <w:tc>
          <w:tcPr>
            <w:tcW w:w="760" w:type="dxa"/>
            <w:vAlign w:val="bottom"/>
            <w:gridSpan w:val="7"/>
          </w:tcPr>
          <w:p>
            <w:pPr>
              <w:jc w:val="right"/>
              <w:ind w:right="260"/>
              <w:spacing w:after="0"/>
              <w:rPr>
                <w:sz w:val="20"/>
                <w:szCs w:val="20"/>
                <w:color w:val="auto"/>
              </w:rPr>
            </w:pPr>
            <w:r>
              <w:rPr>
                <w:rFonts w:ascii="Arial" w:cs="Arial" w:eastAsia="Arial" w:hAnsi="Arial"/>
                <w:sz w:val="11"/>
                <w:szCs w:val="11"/>
                <w:color w:val="auto"/>
              </w:rPr>
              <w:t>216</w:t>
            </w:r>
          </w:p>
        </w:tc>
        <w:tc>
          <w:tcPr>
            <w:tcW w:w="740" w:type="dxa"/>
            <w:vAlign w:val="bottom"/>
            <w:gridSpan w:val="4"/>
          </w:tcPr>
          <w:p>
            <w:pPr>
              <w:ind w:left="320"/>
              <w:spacing w:after="0"/>
              <w:rPr>
                <w:sz w:val="20"/>
                <w:szCs w:val="20"/>
                <w:color w:val="auto"/>
              </w:rPr>
            </w:pPr>
            <w:r>
              <w:rPr>
                <w:rFonts w:ascii="Arial" w:cs="Arial" w:eastAsia="Arial" w:hAnsi="Arial"/>
                <w:sz w:val="11"/>
                <w:szCs w:val="11"/>
                <w:color w:val="auto"/>
              </w:rPr>
              <w:t>212</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209</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204</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203</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210</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210</w:t>
            </w:r>
          </w:p>
        </w:tc>
        <w:tc>
          <w:tcPr>
            <w:tcW w:w="700" w:type="dxa"/>
            <w:vAlign w:val="bottom"/>
            <w:gridSpan w:val="6"/>
          </w:tcPr>
          <w:p>
            <w:pPr>
              <w:jc w:val="right"/>
              <w:ind w:right="167"/>
              <w:spacing w:after="0"/>
              <w:rPr>
                <w:sz w:val="20"/>
                <w:szCs w:val="20"/>
                <w:color w:val="auto"/>
              </w:rPr>
            </w:pPr>
            <w:r>
              <w:rPr>
                <w:rFonts w:ascii="Arial" w:cs="Arial" w:eastAsia="Arial" w:hAnsi="Arial"/>
                <w:sz w:val="11"/>
                <w:szCs w:val="11"/>
                <w:color w:val="auto"/>
              </w:rPr>
              <w:t>213</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6</w:t>
            </w:r>
          </w:p>
        </w:tc>
        <w:tc>
          <w:tcPr>
            <w:tcW w:w="960" w:type="dxa"/>
            <w:vAlign w:val="bottom"/>
          </w:tcPr>
          <w:p>
            <w:pPr>
              <w:jc w:val="right"/>
              <w:spacing w:after="0"/>
              <w:rPr>
                <w:sz w:val="20"/>
                <w:szCs w:val="20"/>
                <w:color w:val="auto"/>
              </w:rPr>
            </w:pPr>
            <w:r>
              <w:rPr>
                <w:rFonts w:ascii="Arial" w:cs="Arial" w:eastAsia="Arial" w:hAnsi="Arial"/>
                <w:sz w:val="11"/>
                <w:szCs w:val="11"/>
                <w:color w:val="auto"/>
              </w:rPr>
              <w:t>48,850</w:t>
            </w:r>
          </w:p>
        </w:tc>
        <w:tc>
          <w:tcPr>
            <w:tcW w:w="0" w:type="dxa"/>
            <w:vAlign w:val="bottom"/>
          </w:tcPr>
          <w:p>
            <w:pPr>
              <w:spacing w:after="0"/>
              <w:rPr>
                <w:sz w:val="1"/>
                <w:szCs w:val="1"/>
                <w:color w:val="auto"/>
              </w:rPr>
            </w:pPr>
          </w:p>
        </w:tc>
      </w:tr>
      <w:tr>
        <w:trPr>
          <w:trHeight w:val="162"/>
        </w:trPr>
        <w:tc>
          <w:tcPr>
            <w:tcW w:w="2700" w:type="dxa"/>
            <w:vAlign w:val="bottom"/>
            <w:gridSpan w:val="15"/>
            <w:shd w:val="clear" w:color="auto" w:fill="CCEEFF"/>
          </w:tcPr>
          <w:p>
            <w:pPr>
              <w:jc w:val="center"/>
              <w:ind w:right="1760"/>
              <w:spacing w:after="0"/>
              <w:rPr>
                <w:sz w:val="20"/>
                <w:szCs w:val="20"/>
                <w:color w:val="auto"/>
              </w:rPr>
            </w:pPr>
            <w:r>
              <w:rPr>
                <w:rFonts w:ascii="Arial" w:cs="Arial" w:eastAsia="Arial" w:hAnsi="Arial"/>
                <w:sz w:val="11"/>
                <w:szCs w:val="11"/>
                <w:color w:val="auto"/>
              </w:rPr>
              <w:t>2018</w:t>
            </w:r>
          </w:p>
        </w:tc>
        <w:tc>
          <w:tcPr>
            <w:tcW w:w="760" w:type="dxa"/>
            <w:vAlign w:val="bottom"/>
            <w:gridSpan w:val="7"/>
            <w:shd w:val="clear" w:color="auto" w:fill="CCEEFF"/>
          </w:tcPr>
          <w:p>
            <w:pPr>
              <w:jc w:val="right"/>
              <w:ind w:right="260"/>
              <w:spacing w:after="0"/>
              <w:rPr>
                <w:sz w:val="20"/>
                <w:szCs w:val="20"/>
                <w:color w:val="auto"/>
              </w:rPr>
            </w:pPr>
            <w:r>
              <w:rPr>
                <w:rFonts w:ascii="Arial" w:cs="Arial" w:eastAsia="Arial" w:hAnsi="Arial"/>
                <w:sz w:val="11"/>
                <w:szCs w:val="11"/>
                <w:color w:val="auto"/>
              </w:rPr>
              <w:t>213</w:t>
            </w:r>
          </w:p>
        </w:tc>
        <w:tc>
          <w:tcPr>
            <w:tcW w:w="740" w:type="dxa"/>
            <w:vAlign w:val="bottom"/>
            <w:gridSpan w:val="4"/>
            <w:shd w:val="clear" w:color="auto" w:fill="CCEEFF"/>
          </w:tcPr>
          <w:p>
            <w:pPr>
              <w:ind w:left="320"/>
              <w:spacing w:after="0"/>
              <w:rPr>
                <w:sz w:val="20"/>
                <w:szCs w:val="20"/>
                <w:color w:val="auto"/>
              </w:rPr>
            </w:pPr>
            <w:r>
              <w:rPr>
                <w:rFonts w:ascii="Arial" w:cs="Arial" w:eastAsia="Arial" w:hAnsi="Arial"/>
                <w:sz w:val="11"/>
                <w:szCs w:val="11"/>
                <w:color w:val="auto"/>
              </w:rPr>
              <w:t>218</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220</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208</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202</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199</w:t>
            </w:r>
          </w:p>
        </w:tc>
        <w:tc>
          <w:tcPr>
            <w:tcW w:w="820" w:type="dxa"/>
            <w:vAlign w:val="bottom"/>
            <w:gridSpan w:val="6"/>
            <w:shd w:val="clear" w:color="auto" w:fill="CCEEFF"/>
          </w:tcPr>
          <w:p>
            <w:pPr>
              <w:jc w:val="right"/>
              <w:ind w:right="283"/>
              <w:spacing w:after="0"/>
              <w:rPr>
                <w:sz w:val="20"/>
                <w:szCs w:val="20"/>
                <w:color w:val="auto"/>
              </w:rPr>
            </w:pPr>
            <w:r>
              <w:rPr>
                <w:rFonts w:ascii="Arial" w:cs="Arial" w:eastAsia="Arial" w:hAnsi="Arial"/>
                <w:sz w:val="11"/>
                <w:szCs w:val="11"/>
                <w:color w:val="auto"/>
              </w:rPr>
              <w:t>198</w:t>
            </w:r>
          </w:p>
        </w:tc>
        <w:tc>
          <w:tcPr>
            <w:tcW w:w="700" w:type="dxa"/>
            <w:vAlign w:val="bottom"/>
            <w:gridSpan w:val="6"/>
            <w:shd w:val="clear" w:color="auto" w:fill="CCEEFF"/>
          </w:tcPr>
          <w:p>
            <w:pPr>
              <w:jc w:val="right"/>
              <w:ind w:right="167"/>
              <w:spacing w:after="0"/>
              <w:rPr>
                <w:sz w:val="20"/>
                <w:szCs w:val="20"/>
                <w:color w:val="auto"/>
              </w:rPr>
            </w:pPr>
            <w:r>
              <w:rPr>
                <w:rFonts w:ascii="Arial" w:cs="Arial" w:eastAsia="Arial" w:hAnsi="Arial"/>
                <w:sz w:val="11"/>
                <w:szCs w:val="11"/>
                <w:color w:val="auto"/>
              </w:rPr>
              <w:t>196</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46,818</w:t>
            </w:r>
          </w:p>
        </w:tc>
        <w:tc>
          <w:tcPr>
            <w:tcW w:w="0" w:type="dxa"/>
            <w:vAlign w:val="bottom"/>
          </w:tcPr>
          <w:p>
            <w:pPr>
              <w:spacing w:after="0"/>
              <w:rPr>
                <w:sz w:val="1"/>
                <w:szCs w:val="1"/>
                <w:color w:val="auto"/>
              </w:rPr>
            </w:pPr>
          </w:p>
        </w:tc>
      </w:tr>
      <w:tr>
        <w:trPr>
          <w:trHeight w:val="156"/>
        </w:trPr>
        <w:tc>
          <w:tcPr>
            <w:tcW w:w="3460" w:type="dxa"/>
            <w:vAlign w:val="bottom"/>
            <w:gridSpan w:val="22"/>
          </w:tcPr>
          <w:p>
            <w:pPr>
              <w:jc w:val="center"/>
              <w:ind w:right="2520"/>
              <w:spacing w:after="0"/>
              <w:rPr>
                <w:sz w:val="20"/>
                <w:szCs w:val="20"/>
                <w:color w:val="auto"/>
              </w:rPr>
            </w:pPr>
            <w:r>
              <w:rPr>
                <w:rFonts w:ascii="Arial" w:cs="Arial" w:eastAsia="Arial" w:hAnsi="Arial"/>
                <w:sz w:val="11"/>
                <w:szCs w:val="11"/>
                <w:color w:val="auto"/>
              </w:rPr>
              <w:t>2019</w:t>
            </w:r>
          </w:p>
        </w:tc>
        <w:tc>
          <w:tcPr>
            <w:tcW w:w="740" w:type="dxa"/>
            <w:vAlign w:val="bottom"/>
            <w:gridSpan w:val="4"/>
          </w:tcPr>
          <w:p>
            <w:pPr>
              <w:ind w:left="320"/>
              <w:spacing w:after="0"/>
              <w:rPr>
                <w:sz w:val="20"/>
                <w:szCs w:val="20"/>
                <w:color w:val="auto"/>
              </w:rPr>
            </w:pPr>
            <w:r>
              <w:rPr>
                <w:rFonts w:ascii="Arial" w:cs="Arial" w:eastAsia="Arial" w:hAnsi="Arial"/>
                <w:sz w:val="11"/>
                <w:szCs w:val="11"/>
                <w:color w:val="auto"/>
              </w:rPr>
              <w:t>195</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199</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191</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187</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183</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179</w:t>
            </w:r>
          </w:p>
        </w:tc>
        <w:tc>
          <w:tcPr>
            <w:tcW w:w="700" w:type="dxa"/>
            <w:vAlign w:val="bottom"/>
            <w:gridSpan w:val="6"/>
          </w:tcPr>
          <w:p>
            <w:pPr>
              <w:jc w:val="right"/>
              <w:ind w:right="167"/>
              <w:spacing w:after="0"/>
              <w:rPr>
                <w:sz w:val="20"/>
                <w:szCs w:val="20"/>
                <w:color w:val="auto"/>
              </w:rPr>
            </w:pPr>
            <w:r>
              <w:rPr>
                <w:rFonts w:ascii="Arial" w:cs="Arial" w:eastAsia="Arial" w:hAnsi="Arial"/>
                <w:sz w:val="11"/>
                <w:szCs w:val="11"/>
                <w:color w:val="auto"/>
              </w:rPr>
              <w:t>177</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1"/>
                <w:szCs w:val="11"/>
                <w:color w:val="auto"/>
              </w:rPr>
              <w:t>41,979</w:t>
            </w:r>
          </w:p>
        </w:tc>
        <w:tc>
          <w:tcPr>
            <w:tcW w:w="0" w:type="dxa"/>
            <w:vAlign w:val="bottom"/>
          </w:tcPr>
          <w:p>
            <w:pPr>
              <w:spacing w:after="0"/>
              <w:rPr>
                <w:sz w:val="1"/>
                <w:szCs w:val="1"/>
                <w:color w:val="auto"/>
              </w:rPr>
            </w:pPr>
          </w:p>
        </w:tc>
      </w:tr>
      <w:tr>
        <w:trPr>
          <w:trHeight w:val="162"/>
        </w:trPr>
        <w:tc>
          <w:tcPr>
            <w:tcW w:w="4200" w:type="dxa"/>
            <w:vAlign w:val="bottom"/>
            <w:gridSpan w:val="26"/>
            <w:shd w:val="clear" w:color="auto" w:fill="CCEEFF"/>
          </w:tcPr>
          <w:p>
            <w:pPr>
              <w:jc w:val="center"/>
              <w:ind w:right="3203"/>
              <w:spacing w:after="0"/>
              <w:rPr>
                <w:sz w:val="20"/>
                <w:szCs w:val="20"/>
                <w:color w:val="auto"/>
              </w:rPr>
            </w:pPr>
            <w:r>
              <w:rPr>
                <w:rFonts w:ascii="Arial" w:cs="Arial" w:eastAsia="Arial" w:hAnsi="Arial"/>
                <w:sz w:val="11"/>
                <w:szCs w:val="11"/>
                <w:color w:val="auto"/>
              </w:rPr>
              <w:t>2020</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232</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216</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203</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194</w:t>
            </w:r>
          </w:p>
        </w:tc>
        <w:tc>
          <w:tcPr>
            <w:tcW w:w="820" w:type="dxa"/>
            <w:vAlign w:val="bottom"/>
            <w:gridSpan w:val="6"/>
            <w:shd w:val="clear" w:color="auto" w:fill="CCEEFF"/>
          </w:tcPr>
          <w:p>
            <w:pPr>
              <w:jc w:val="right"/>
              <w:ind w:right="283"/>
              <w:spacing w:after="0"/>
              <w:rPr>
                <w:sz w:val="20"/>
                <w:szCs w:val="20"/>
                <w:color w:val="auto"/>
              </w:rPr>
            </w:pPr>
            <w:r>
              <w:rPr>
                <w:rFonts w:ascii="Arial" w:cs="Arial" w:eastAsia="Arial" w:hAnsi="Arial"/>
                <w:sz w:val="11"/>
                <w:szCs w:val="11"/>
                <w:color w:val="auto"/>
              </w:rPr>
              <w:t>192</w:t>
            </w:r>
          </w:p>
        </w:tc>
        <w:tc>
          <w:tcPr>
            <w:tcW w:w="700" w:type="dxa"/>
            <w:vAlign w:val="bottom"/>
            <w:gridSpan w:val="6"/>
            <w:shd w:val="clear" w:color="auto" w:fill="CCEEFF"/>
          </w:tcPr>
          <w:p>
            <w:pPr>
              <w:jc w:val="right"/>
              <w:ind w:right="167"/>
              <w:spacing w:after="0"/>
              <w:rPr>
                <w:sz w:val="20"/>
                <w:szCs w:val="20"/>
                <w:color w:val="auto"/>
              </w:rPr>
            </w:pPr>
            <w:r>
              <w:rPr>
                <w:rFonts w:ascii="Arial" w:cs="Arial" w:eastAsia="Arial" w:hAnsi="Arial"/>
                <w:sz w:val="11"/>
                <w:szCs w:val="11"/>
                <w:color w:val="auto"/>
              </w:rPr>
              <w:t>187</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29,793</w:t>
            </w:r>
          </w:p>
        </w:tc>
        <w:tc>
          <w:tcPr>
            <w:tcW w:w="0" w:type="dxa"/>
            <w:vAlign w:val="bottom"/>
          </w:tcPr>
          <w:p>
            <w:pPr>
              <w:spacing w:after="0"/>
              <w:rPr>
                <w:sz w:val="1"/>
                <w:szCs w:val="1"/>
                <w:color w:val="auto"/>
              </w:rPr>
            </w:pPr>
          </w:p>
        </w:tc>
      </w:tr>
      <w:tr>
        <w:trPr>
          <w:trHeight w:val="156"/>
        </w:trPr>
        <w:tc>
          <w:tcPr>
            <w:tcW w:w="5020" w:type="dxa"/>
            <w:vAlign w:val="bottom"/>
            <w:gridSpan w:val="31"/>
          </w:tcPr>
          <w:p>
            <w:pPr>
              <w:jc w:val="center"/>
              <w:ind w:right="4080"/>
              <w:spacing w:after="0"/>
              <w:rPr>
                <w:sz w:val="20"/>
                <w:szCs w:val="20"/>
                <w:color w:val="auto"/>
              </w:rPr>
            </w:pPr>
            <w:r>
              <w:rPr>
                <w:rFonts w:ascii="Arial" w:cs="Arial" w:eastAsia="Arial" w:hAnsi="Arial"/>
                <w:sz w:val="11"/>
                <w:szCs w:val="11"/>
                <w:color w:val="auto"/>
              </w:rPr>
              <w:t>2021</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224</w:t>
            </w:r>
          </w:p>
        </w:tc>
        <w:tc>
          <w:tcPr>
            <w:tcW w:w="740" w:type="dxa"/>
            <w:vAlign w:val="bottom"/>
            <w:gridSpan w:val="5"/>
          </w:tcPr>
          <w:p>
            <w:pPr>
              <w:jc w:val="right"/>
              <w:ind w:right="260"/>
              <w:spacing w:after="0"/>
              <w:rPr>
                <w:sz w:val="20"/>
                <w:szCs w:val="20"/>
                <w:color w:val="auto"/>
              </w:rPr>
            </w:pPr>
            <w:r>
              <w:rPr>
                <w:rFonts w:ascii="Arial" w:cs="Arial" w:eastAsia="Arial" w:hAnsi="Arial"/>
                <w:sz w:val="11"/>
                <w:szCs w:val="11"/>
                <w:color w:val="auto"/>
              </w:rPr>
              <w:t>202</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187</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180</w:t>
            </w:r>
          </w:p>
        </w:tc>
        <w:tc>
          <w:tcPr>
            <w:tcW w:w="700" w:type="dxa"/>
            <w:vAlign w:val="bottom"/>
            <w:gridSpan w:val="6"/>
          </w:tcPr>
          <w:p>
            <w:pPr>
              <w:jc w:val="right"/>
              <w:ind w:right="167"/>
              <w:spacing w:after="0"/>
              <w:rPr>
                <w:sz w:val="20"/>
                <w:szCs w:val="20"/>
                <w:color w:val="auto"/>
              </w:rPr>
            </w:pPr>
            <w:r>
              <w:rPr>
                <w:rFonts w:ascii="Arial" w:cs="Arial" w:eastAsia="Arial" w:hAnsi="Arial"/>
                <w:sz w:val="11"/>
                <w:szCs w:val="11"/>
                <w:color w:val="auto"/>
              </w:rPr>
              <w:t>172</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8</w:t>
            </w:r>
          </w:p>
        </w:tc>
        <w:tc>
          <w:tcPr>
            <w:tcW w:w="960" w:type="dxa"/>
            <w:vAlign w:val="bottom"/>
          </w:tcPr>
          <w:p>
            <w:pPr>
              <w:jc w:val="right"/>
              <w:spacing w:after="0"/>
              <w:rPr>
                <w:sz w:val="20"/>
                <w:szCs w:val="20"/>
                <w:color w:val="auto"/>
              </w:rPr>
            </w:pPr>
            <w:r>
              <w:rPr>
                <w:rFonts w:ascii="Arial" w:cs="Arial" w:eastAsia="Arial" w:hAnsi="Arial"/>
                <w:sz w:val="11"/>
                <w:szCs w:val="11"/>
                <w:color w:val="auto"/>
              </w:rPr>
              <w:t>27,502</w:t>
            </w:r>
          </w:p>
        </w:tc>
        <w:tc>
          <w:tcPr>
            <w:tcW w:w="0" w:type="dxa"/>
            <w:vAlign w:val="bottom"/>
          </w:tcPr>
          <w:p>
            <w:pPr>
              <w:spacing w:after="0"/>
              <w:rPr>
                <w:sz w:val="1"/>
                <w:szCs w:val="1"/>
                <w:color w:val="auto"/>
              </w:rPr>
            </w:pPr>
          </w:p>
        </w:tc>
      </w:tr>
      <w:tr>
        <w:trPr>
          <w:trHeight w:val="162"/>
        </w:trPr>
        <w:tc>
          <w:tcPr>
            <w:tcW w:w="5840" w:type="dxa"/>
            <w:vAlign w:val="bottom"/>
            <w:gridSpan w:val="37"/>
            <w:shd w:val="clear" w:color="auto" w:fill="CCEEFF"/>
          </w:tcPr>
          <w:p>
            <w:pPr>
              <w:jc w:val="center"/>
              <w:ind w:right="4900"/>
              <w:spacing w:after="0"/>
              <w:rPr>
                <w:sz w:val="20"/>
                <w:szCs w:val="20"/>
                <w:color w:val="auto"/>
              </w:rPr>
            </w:pPr>
            <w:r>
              <w:rPr>
                <w:rFonts w:ascii="Arial" w:cs="Arial" w:eastAsia="Arial" w:hAnsi="Arial"/>
                <w:sz w:val="11"/>
                <w:szCs w:val="11"/>
                <w:color w:val="auto"/>
              </w:rPr>
              <w:t>2022</w:t>
            </w:r>
          </w:p>
        </w:tc>
        <w:tc>
          <w:tcPr>
            <w:tcW w:w="740" w:type="dxa"/>
            <w:vAlign w:val="bottom"/>
            <w:gridSpan w:val="5"/>
            <w:shd w:val="clear" w:color="auto" w:fill="CCEEFF"/>
          </w:tcPr>
          <w:p>
            <w:pPr>
              <w:jc w:val="right"/>
              <w:ind w:right="260"/>
              <w:spacing w:after="0"/>
              <w:rPr>
                <w:sz w:val="20"/>
                <w:szCs w:val="20"/>
                <w:color w:val="auto"/>
              </w:rPr>
            </w:pPr>
            <w:r>
              <w:rPr>
                <w:rFonts w:ascii="Arial" w:cs="Arial" w:eastAsia="Arial" w:hAnsi="Arial"/>
                <w:sz w:val="11"/>
                <w:szCs w:val="11"/>
                <w:color w:val="auto"/>
              </w:rPr>
              <w:t>244</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235</w:t>
            </w:r>
          </w:p>
        </w:tc>
        <w:tc>
          <w:tcPr>
            <w:tcW w:w="820" w:type="dxa"/>
            <w:vAlign w:val="bottom"/>
            <w:gridSpan w:val="6"/>
            <w:shd w:val="clear" w:color="auto" w:fill="CCEEFF"/>
          </w:tcPr>
          <w:p>
            <w:pPr>
              <w:jc w:val="right"/>
              <w:ind w:right="283"/>
              <w:spacing w:after="0"/>
              <w:rPr>
                <w:sz w:val="20"/>
                <w:szCs w:val="20"/>
                <w:color w:val="auto"/>
              </w:rPr>
            </w:pPr>
            <w:r>
              <w:rPr>
                <w:rFonts w:ascii="Arial" w:cs="Arial" w:eastAsia="Arial" w:hAnsi="Arial"/>
                <w:sz w:val="11"/>
                <w:szCs w:val="11"/>
                <w:color w:val="auto"/>
              </w:rPr>
              <w:t>223</w:t>
            </w:r>
          </w:p>
        </w:tc>
        <w:tc>
          <w:tcPr>
            <w:tcW w:w="700" w:type="dxa"/>
            <w:vAlign w:val="bottom"/>
            <w:gridSpan w:val="6"/>
            <w:shd w:val="clear" w:color="auto" w:fill="CCEEFF"/>
          </w:tcPr>
          <w:p>
            <w:pPr>
              <w:jc w:val="right"/>
              <w:ind w:right="167"/>
              <w:spacing w:after="0"/>
              <w:rPr>
                <w:sz w:val="20"/>
                <w:szCs w:val="20"/>
                <w:color w:val="auto"/>
              </w:rPr>
            </w:pPr>
            <w:r>
              <w:rPr>
                <w:rFonts w:ascii="Arial" w:cs="Arial" w:eastAsia="Arial" w:hAnsi="Arial"/>
                <w:sz w:val="11"/>
                <w:szCs w:val="11"/>
                <w:color w:val="auto"/>
              </w:rPr>
              <w:t>215</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19</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24,155</w:t>
            </w:r>
          </w:p>
        </w:tc>
        <w:tc>
          <w:tcPr>
            <w:tcW w:w="0" w:type="dxa"/>
            <w:vAlign w:val="bottom"/>
          </w:tcPr>
          <w:p>
            <w:pPr>
              <w:spacing w:after="0"/>
              <w:rPr>
                <w:sz w:val="1"/>
                <w:szCs w:val="1"/>
                <w:color w:val="auto"/>
              </w:rPr>
            </w:pPr>
          </w:p>
        </w:tc>
      </w:tr>
      <w:tr>
        <w:trPr>
          <w:trHeight w:val="156"/>
        </w:trPr>
        <w:tc>
          <w:tcPr>
            <w:tcW w:w="6580" w:type="dxa"/>
            <w:vAlign w:val="bottom"/>
            <w:gridSpan w:val="42"/>
          </w:tcPr>
          <w:p>
            <w:pPr>
              <w:jc w:val="center"/>
              <w:ind w:right="5640"/>
              <w:spacing w:after="0"/>
              <w:rPr>
                <w:sz w:val="20"/>
                <w:szCs w:val="20"/>
                <w:color w:val="auto"/>
              </w:rPr>
            </w:pPr>
            <w:r>
              <w:rPr>
                <w:rFonts w:ascii="Arial" w:cs="Arial" w:eastAsia="Arial" w:hAnsi="Arial"/>
                <w:sz w:val="11"/>
                <w:szCs w:val="11"/>
                <w:color w:val="auto"/>
              </w:rPr>
              <w:t>2023</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311</w:t>
            </w:r>
          </w:p>
        </w:tc>
        <w:tc>
          <w:tcPr>
            <w:tcW w:w="820" w:type="dxa"/>
            <w:vAlign w:val="bottom"/>
            <w:gridSpan w:val="6"/>
          </w:tcPr>
          <w:p>
            <w:pPr>
              <w:jc w:val="right"/>
              <w:ind w:right="283"/>
              <w:spacing w:after="0"/>
              <w:rPr>
                <w:sz w:val="20"/>
                <w:szCs w:val="20"/>
                <w:color w:val="auto"/>
              </w:rPr>
            </w:pPr>
            <w:r>
              <w:rPr>
                <w:rFonts w:ascii="Arial" w:cs="Arial" w:eastAsia="Arial" w:hAnsi="Arial"/>
                <w:sz w:val="11"/>
                <w:szCs w:val="11"/>
                <w:color w:val="auto"/>
              </w:rPr>
              <w:t>331</w:t>
            </w:r>
          </w:p>
        </w:tc>
        <w:tc>
          <w:tcPr>
            <w:tcW w:w="700" w:type="dxa"/>
            <w:vAlign w:val="bottom"/>
            <w:gridSpan w:val="6"/>
          </w:tcPr>
          <w:p>
            <w:pPr>
              <w:jc w:val="right"/>
              <w:ind w:right="167"/>
              <w:spacing w:after="0"/>
              <w:rPr>
                <w:sz w:val="20"/>
                <w:szCs w:val="20"/>
                <w:color w:val="auto"/>
              </w:rPr>
            </w:pPr>
            <w:r>
              <w:rPr>
                <w:rFonts w:ascii="Arial" w:cs="Arial" w:eastAsia="Arial" w:hAnsi="Arial"/>
                <w:sz w:val="11"/>
                <w:szCs w:val="11"/>
                <w:color w:val="auto"/>
              </w:rPr>
              <w:t>335</w:t>
            </w:r>
          </w:p>
        </w:tc>
        <w:tc>
          <w:tcPr>
            <w:tcW w:w="1400" w:type="dxa"/>
            <w:vAlign w:val="bottom"/>
            <w:gridSpan w:val="4"/>
          </w:tcPr>
          <w:p>
            <w:pPr>
              <w:jc w:val="right"/>
              <w:ind w:right="140"/>
              <w:spacing w:after="0"/>
              <w:rPr>
                <w:sz w:val="20"/>
                <w:szCs w:val="20"/>
                <w:color w:val="auto"/>
              </w:rPr>
            </w:pPr>
            <w:r>
              <w:rPr>
                <w:rFonts w:ascii="Arial" w:cs="Arial" w:eastAsia="Arial" w:hAnsi="Arial"/>
                <w:sz w:val="11"/>
                <w:szCs w:val="11"/>
                <w:color w:val="auto"/>
              </w:rPr>
              <w:t>74</w:t>
            </w:r>
          </w:p>
        </w:tc>
        <w:tc>
          <w:tcPr>
            <w:tcW w:w="960" w:type="dxa"/>
            <w:vAlign w:val="bottom"/>
          </w:tcPr>
          <w:p>
            <w:pPr>
              <w:jc w:val="right"/>
              <w:spacing w:after="0"/>
              <w:rPr>
                <w:sz w:val="20"/>
                <w:szCs w:val="20"/>
                <w:color w:val="auto"/>
              </w:rPr>
            </w:pPr>
            <w:r>
              <w:rPr>
                <w:rFonts w:ascii="Arial" w:cs="Arial" w:eastAsia="Arial" w:hAnsi="Arial"/>
                <w:sz w:val="11"/>
                <w:szCs w:val="11"/>
                <w:color w:val="auto"/>
              </w:rPr>
              <w:t>24,686</w:t>
            </w:r>
          </w:p>
        </w:tc>
        <w:tc>
          <w:tcPr>
            <w:tcW w:w="0" w:type="dxa"/>
            <w:vAlign w:val="bottom"/>
          </w:tcPr>
          <w:p>
            <w:pPr>
              <w:spacing w:after="0"/>
              <w:rPr>
                <w:sz w:val="1"/>
                <w:szCs w:val="1"/>
                <w:color w:val="auto"/>
              </w:rPr>
            </w:pPr>
          </w:p>
        </w:tc>
      </w:tr>
      <w:tr>
        <w:trPr>
          <w:trHeight w:val="162"/>
        </w:trPr>
        <w:tc>
          <w:tcPr>
            <w:tcW w:w="7400" w:type="dxa"/>
            <w:vAlign w:val="bottom"/>
            <w:gridSpan w:val="48"/>
            <w:shd w:val="clear" w:color="auto" w:fill="CCEEFF"/>
          </w:tcPr>
          <w:p>
            <w:pPr>
              <w:jc w:val="center"/>
              <w:ind w:right="6460"/>
              <w:spacing w:after="0"/>
              <w:rPr>
                <w:sz w:val="20"/>
                <w:szCs w:val="20"/>
                <w:color w:val="auto"/>
              </w:rPr>
            </w:pPr>
            <w:r>
              <w:rPr>
                <w:rFonts w:ascii="Arial" w:cs="Arial" w:eastAsia="Arial" w:hAnsi="Arial"/>
                <w:sz w:val="11"/>
                <w:szCs w:val="11"/>
                <w:color w:val="auto"/>
              </w:rPr>
              <w:t>2024</w:t>
            </w:r>
          </w:p>
        </w:tc>
        <w:tc>
          <w:tcPr>
            <w:tcW w:w="820" w:type="dxa"/>
            <w:vAlign w:val="bottom"/>
            <w:gridSpan w:val="6"/>
            <w:shd w:val="clear" w:color="auto" w:fill="CCEEFF"/>
          </w:tcPr>
          <w:p>
            <w:pPr>
              <w:jc w:val="right"/>
              <w:ind w:right="283"/>
              <w:spacing w:after="0"/>
              <w:rPr>
                <w:sz w:val="20"/>
                <w:szCs w:val="20"/>
                <w:color w:val="auto"/>
              </w:rPr>
            </w:pPr>
            <w:r>
              <w:rPr>
                <w:rFonts w:ascii="Arial" w:cs="Arial" w:eastAsia="Arial" w:hAnsi="Arial"/>
                <w:sz w:val="11"/>
                <w:szCs w:val="11"/>
                <w:color w:val="auto"/>
              </w:rPr>
              <w:t>385</w:t>
            </w:r>
          </w:p>
        </w:tc>
        <w:tc>
          <w:tcPr>
            <w:tcW w:w="700" w:type="dxa"/>
            <w:vAlign w:val="bottom"/>
            <w:gridSpan w:val="6"/>
            <w:shd w:val="clear" w:color="auto" w:fill="CCEEFF"/>
          </w:tcPr>
          <w:p>
            <w:pPr>
              <w:jc w:val="right"/>
              <w:ind w:right="167"/>
              <w:spacing w:after="0"/>
              <w:rPr>
                <w:sz w:val="20"/>
                <w:szCs w:val="20"/>
                <w:color w:val="auto"/>
              </w:rPr>
            </w:pPr>
            <w:r>
              <w:rPr>
                <w:rFonts w:ascii="Arial" w:cs="Arial" w:eastAsia="Arial" w:hAnsi="Arial"/>
                <w:sz w:val="11"/>
                <w:szCs w:val="11"/>
                <w:color w:val="auto"/>
              </w:rPr>
              <w:t>363</w:t>
            </w: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83</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23,858</w:t>
            </w: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gridSpan w:val="53"/>
          </w:tcPr>
          <w:p>
            <w:pPr>
              <w:jc w:val="center"/>
              <w:ind w:right="7023"/>
              <w:spacing w:after="0"/>
              <w:rPr>
                <w:sz w:val="20"/>
                <w:szCs w:val="20"/>
                <w:color w:val="auto"/>
              </w:rPr>
            </w:pPr>
            <w:r>
              <w:rPr>
                <w:rFonts w:ascii="Arial" w:cs="Arial" w:eastAsia="Arial" w:hAnsi="Arial"/>
                <w:sz w:val="11"/>
                <w:szCs w:val="11"/>
                <w:color w:val="auto"/>
              </w:rPr>
              <w:t>2025</w:t>
            </w:r>
          </w:p>
        </w:tc>
        <w:tc>
          <w:tcPr>
            <w:tcW w:w="74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1"/>
                <w:szCs w:val="11"/>
                <w:color w:val="auto"/>
              </w:rPr>
              <w:t>359</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1"/>
                <w:szCs w:val="11"/>
                <w:color w:val="auto"/>
              </w:rPr>
              <w:t>154</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17,220</w:t>
            </w:r>
          </w:p>
        </w:tc>
        <w:tc>
          <w:tcPr>
            <w:tcW w:w="0" w:type="dxa"/>
            <w:vAlign w:val="bottom"/>
          </w:tcPr>
          <w:p>
            <w:pPr>
              <w:spacing w:after="0"/>
              <w:rPr>
                <w:sz w:val="1"/>
                <w:szCs w:val="1"/>
                <w:color w:val="auto"/>
              </w:rPr>
            </w:pPr>
          </w:p>
        </w:tc>
      </w:tr>
      <w:tr>
        <w:trPr>
          <w:trHeight w:val="153"/>
        </w:trPr>
        <w:tc>
          <w:tcPr>
            <w:tcW w:w="7940" w:type="dxa"/>
            <w:vAlign w:val="bottom"/>
            <w:gridSpan w:val="51"/>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60" w:type="dxa"/>
            <w:vAlign w:val="bottom"/>
            <w:gridSpan w:val="11"/>
            <w:shd w:val="clear" w:color="auto" w:fill="CCEEFF"/>
          </w:tcPr>
          <w:p>
            <w:pPr>
              <w:jc w:val="right"/>
              <w:ind w:right="2524"/>
              <w:spacing w:after="0"/>
              <w:rPr>
                <w:sz w:val="20"/>
                <w:szCs w:val="20"/>
                <w:color w:val="auto"/>
              </w:rPr>
            </w:pPr>
            <w:r>
              <w:rPr>
                <w:rFonts w:ascii="Arial" w:cs="Arial" w:eastAsia="Arial" w:hAnsi="Arial"/>
                <w:sz w:val="11"/>
                <w:szCs w:val="11"/>
                <w:color w:val="auto"/>
              </w:rPr>
              <w:t>2,390</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gridSpan w:val="25"/>
          </w:tcPr>
          <w:p>
            <w:pPr>
              <w:jc w:val="right"/>
              <w:ind w:right="12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29"/>
          </w:tcPr>
          <w:p>
            <w:pPr>
              <w:jc w:val="right"/>
              <w:ind w:right="223"/>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1"/>
                <w:szCs w:val="11"/>
                <w:color w:val="auto"/>
              </w:rPr>
              <w:t>2016</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gridSpan w:val="3"/>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2020</w:t>
            </w:r>
          </w:p>
        </w:tc>
        <w:tc>
          <w:tcPr>
            <w:tcW w:w="10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gridSpan w:val="2"/>
          </w:tcPr>
          <w:p>
            <w:pPr>
              <w:spacing w:after="0"/>
              <w:rPr>
                <w:sz w:val="13"/>
                <w:szCs w:val="13"/>
                <w:color w:val="auto"/>
              </w:rPr>
            </w:pPr>
          </w:p>
        </w:tc>
        <w:tc>
          <w:tcPr>
            <w:tcW w:w="7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gridSpan w:val="2"/>
          </w:tcPr>
          <w:p>
            <w:pPr>
              <w:spacing w:after="0"/>
              <w:rPr>
                <w:sz w:val="13"/>
                <w:szCs w:val="13"/>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w w:val="97"/>
              </w:rPr>
              <w:t>171</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172</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172</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173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gridSpan w:val="10"/>
          </w:tcPr>
          <w:p>
            <w:pPr>
              <w:jc w:val="center"/>
              <w:ind w:right="943"/>
              <w:spacing w:after="0"/>
              <w:rPr>
                <w:sz w:val="20"/>
                <w:szCs w:val="20"/>
                <w:color w:val="auto"/>
              </w:rPr>
            </w:pPr>
            <w:r>
              <w:rPr>
                <w:rFonts w:ascii="Arial" w:cs="Arial" w:eastAsia="Arial" w:hAnsi="Arial"/>
                <w:sz w:val="11"/>
                <w:szCs w:val="11"/>
                <w:color w:val="auto"/>
                <w:w w:val="97"/>
              </w:rPr>
              <w:t>2017</w:t>
            </w:r>
          </w:p>
        </w:tc>
        <w:tc>
          <w:tcPr>
            <w:tcW w:w="780" w:type="dxa"/>
            <w:vAlign w:val="bottom"/>
            <w:gridSpan w:val="5"/>
          </w:tcPr>
          <w:p>
            <w:pPr>
              <w:jc w:val="right"/>
              <w:ind w:right="280"/>
              <w:spacing w:after="0"/>
              <w:rPr>
                <w:sz w:val="20"/>
                <w:szCs w:val="20"/>
                <w:color w:val="auto"/>
              </w:rPr>
            </w:pPr>
            <w:r>
              <w:rPr>
                <w:rFonts w:ascii="Arial" w:cs="Arial" w:eastAsia="Arial" w:hAnsi="Arial"/>
                <w:sz w:val="11"/>
                <w:szCs w:val="11"/>
                <w:color w:val="auto"/>
              </w:rPr>
              <w:t>120</w:t>
            </w:r>
          </w:p>
        </w:tc>
        <w:tc>
          <w:tcPr>
            <w:tcW w:w="760" w:type="dxa"/>
            <w:vAlign w:val="bottom"/>
            <w:gridSpan w:val="7"/>
          </w:tcPr>
          <w:p>
            <w:pPr>
              <w:jc w:val="right"/>
              <w:ind w:right="280"/>
              <w:spacing w:after="0"/>
              <w:rPr>
                <w:sz w:val="20"/>
                <w:szCs w:val="20"/>
                <w:color w:val="auto"/>
              </w:rPr>
            </w:pPr>
            <w:r>
              <w:rPr>
                <w:rFonts w:ascii="Arial" w:cs="Arial" w:eastAsia="Arial" w:hAnsi="Arial"/>
                <w:sz w:val="11"/>
                <w:szCs w:val="11"/>
                <w:color w:val="auto"/>
              </w:rPr>
              <w:t>169</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187</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195</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194</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193</w:t>
            </w:r>
          </w:p>
        </w:tc>
        <w:tc>
          <w:tcPr>
            <w:tcW w:w="820" w:type="dxa"/>
            <w:vAlign w:val="bottom"/>
            <w:gridSpan w:val="6"/>
          </w:tcPr>
          <w:p>
            <w:pPr>
              <w:ind w:left="300"/>
              <w:spacing w:after="0"/>
              <w:rPr>
                <w:sz w:val="20"/>
                <w:szCs w:val="20"/>
                <w:color w:val="auto"/>
              </w:rPr>
            </w:pPr>
            <w:r>
              <w:rPr>
                <w:rFonts w:ascii="Arial" w:cs="Arial" w:eastAsia="Arial" w:hAnsi="Arial"/>
                <w:sz w:val="11"/>
                <w:szCs w:val="11"/>
                <w:color w:val="auto"/>
              </w:rPr>
              <w:t>195</w:t>
            </w:r>
          </w:p>
        </w:tc>
        <w:tc>
          <w:tcPr>
            <w:tcW w:w="820" w:type="dxa"/>
            <w:vAlign w:val="bottom"/>
            <w:gridSpan w:val="6"/>
          </w:tcPr>
          <w:p>
            <w:pPr>
              <w:jc w:val="right"/>
              <w:ind w:right="323"/>
              <w:spacing w:after="0"/>
              <w:rPr>
                <w:sz w:val="20"/>
                <w:szCs w:val="20"/>
                <w:color w:val="auto"/>
              </w:rPr>
            </w:pPr>
            <w:r>
              <w:rPr>
                <w:rFonts w:ascii="Arial" w:cs="Arial" w:eastAsia="Arial" w:hAnsi="Arial"/>
                <w:sz w:val="11"/>
                <w:szCs w:val="11"/>
                <w:color w:val="auto"/>
              </w:rPr>
              <w:t>196</w:t>
            </w:r>
          </w:p>
        </w:tc>
        <w:tc>
          <w:tcPr>
            <w:tcW w:w="700" w:type="dxa"/>
            <w:vAlign w:val="bottom"/>
            <w:gridSpan w:val="6"/>
          </w:tcPr>
          <w:p>
            <w:pPr>
              <w:jc w:val="right"/>
              <w:ind w:right="207"/>
              <w:spacing w:after="0"/>
              <w:rPr>
                <w:sz w:val="20"/>
                <w:szCs w:val="20"/>
                <w:color w:val="auto"/>
              </w:rPr>
            </w:pPr>
            <w:r>
              <w:rPr>
                <w:rFonts w:ascii="Arial" w:cs="Arial" w:eastAsia="Arial" w:hAnsi="Arial"/>
                <w:sz w:val="11"/>
                <w:szCs w:val="11"/>
                <w:color w:val="auto"/>
              </w:rPr>
              <w:t>199</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93.4%</w:t>
            </w:r>
          </w:p>
        </w:tc>
        <w:tc>
          <w:tcPr>
            <w:tcW w:w="0" w:type="dxa"/>
            <w:vAlign w:val="bottom"/>
          </w:tcPr>
          <w:p>
            <w:pPr>
              <w:spacing w:after="0"/>
              <w:rPr>
                <w:sz w:val="1"/>
                <w:szCs w:val="1"/>
                <w:color w:val="auto"/>
              </w:rPr>
            </w:pPr>
          </w:p>
        </w:tc>
      </w:tr>
      <w:tr>
        <w:trPr>
          <w:trHeight w:val="162"/>
        </w:trPr>
        <w:tc>
          <w:tcPr>
            <w:tcW w:w="2700" w:type="dxa"/>
            <w:vAlign w:val="bottom"/>
            <w:gridSpan w:val="15"/>
            <w:shd w:val="clear" w:color="auto" w:fill="CCEEFF"/>
          </w:tcPr>
          <w:p>
            <w:pPr>
              <w:jc w:val="center"/>
              <w:ind w:right="1780"/>
              <w:spacing w:after="0"/>
              <w:rPr>
                <w:sz w:val="20"/>
                <w:szCs w:val="20"/>
                <w:color w:val="auto"/>
              </w:rPr>
            </w:pPr>
            <w:r>
              <w:rPr>
                <w:rFonts w:ascii="Arial" w:cs="Arial" w:eastAsia="Arial" w:hAnsi="Arial"/>
                <w:sz w:val="11"/>
                <w:szCs w:val="11"/>
                <w:color w:val="auto"/>
                <w:w w:val="97"/>
              </w:rPr>
              <w:t>2018</w:t>
            </w:r>
          </w:p>
        </w:tc>
        <w:tc>
          <w:tcPr>
            <w:tcW w:w="760" w:type="dxa"/>
            <w:vAlign w:val="bottom"/>
            <w:gridSpan w:val="7"/>
            <w:shd w:val="clear" w:color="auto" w:fill="CCEEFF"/>
          </w:tcPr>
          <w:p>
            <w:pPr>
              <w:jc w:val="right"/>
              <w:ind w:right="280"/>
              <w:spacing w:after="0"/>
              <w:rPr>
                <w:sz w:val="20"/>
                <w:szCs w:val="20"/>
                <w:color w:val="auto"/>
              </w:rPr>
            </w:pPr>
            <w:r>
              <w:rPr>
                <w:rFonts w:ascii="Arial" w:cs="Arial" w:eastAsia="Arial" w:hAnsi="Arial"/>
                <w:sz w:val="11"/>
                <w:szCs w:val="11"/>
                <w:color w:val="auto"/>
              </w:rPr>
              <w:t>112</w:t>
            </w:r>
          </w:p>
        </w:tc>
        <w:tc>
          <w:tcPr>
            <w:tcW w:w="740" w:type="dxa"/>
            <w:vAlign w:val="bottom"/>
            <w:gridSpan w:val="4"/>
            <w:shd w:val="clear" w:color="auto" w:fill="CCEEFF"/>
          </w:tcPr>
          <w:p>
            <w:pPr>
              <w:jc w:val="right"/>
              <w:ind w:right="183"/>
              <w:spacing w:after="0"/>
              <w:rPr>
                <w:sz w:val="20"/>
                <w:szCs w:val="20"/>
                <w:color w:val="auto"/>
              </w:rPr>
            </w:pPr>
            <w:r>
              <w:rPr>
                <w:rFonts w:ascii="Arial" w:cs="Arial" w:eastAsia="Arial" w:hAnsi="Arial"/>
                <w:sz w:val="11"/>
                <w:szCs w:val="11"/>
                <w:color w:val="auto"/>
              </w:rPr>
              <w:t>163</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187</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188</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193</w:t>
            </w:r>
          </w:p>
        </w:tc>
        <w:tc>
          <w:tcPr>
            <w:tcW w:w="820" w:type="dxa"/>
            <w:vAlign w:val="bottom"/>
            <w:gridSpan w:val="6"/>
            <w:shd w:val="clear" w:color="auto" w:fill="CCEEFF"/>
          </w:tcPr>
          <w:p>
            <w:pPr>
              <w:ind w:left="300"/>
              <w:spacing w:after="0"/>
              <w:rPr>
                <w:sz w:val="20"/>
                <w:szCs w:val="20"/>
                <w:color w:val="auto"/>
              </w:rPr>
            </w:pPr>
            <w:r>
              <w:rPr>
                <w:rFonts w:ascii="Arial" w:cs="Arial" w:eastAsia="Arial" w:hAnsi="Arial"/>
                <w:sz w:val="11"/>
                <w:szCs w:val="11"/>
                <w:color w:val="auto"/>
              </w:rPr>
              <w:t>194</w:t>
            </w:r>
          </w:p>
        </w:tc>
        <w:tc>
          <w:tcPr>
            <w:tcW w:w="820" w:type="dxa"/>
            <w:vAlign w:val="bottom"/>
            <w:gridSpan w:val="6"/>
            <w:shd w:val="clear" w:color="auto" w:fill="CCEEFF"/>
          </w:tcPr>
          <w:p>
            <w:pPr>
              <w:jc w:val="right"/>
              <w:ind w:right="323"/>
              <w:spacing w:after="0"/>
              <w:rPr>
                <w:sz w:val="20"/>
                <w:szCs w:val="20"/>
                <w:color w:val="auto"/>
              </w:rPr>
            </w:pPr>
            <w:r>
              <w:rPr>
                <w:rFonts w:ascii="Arial" w:cs="Arial" w:eastAsia="Arial" w:hAnsi="Arial"/>
                <w:sz w:val="11"/>
                <w:szCs w:val="11"/>
                <w:color w:val="auto"/>
              </w:rPr>
              <w:t>194</w:t>
            </w:r>
          </w:p>
        </w:tc>
        <w:tc>
          <w:tcPr>
            <w:tcW w:w="700" w:type="dxa"/>
            <w:vAlign w:val="bottom"/>
            <w:gridSpan w:val="6"/>
            <w:shd w:val="clear" w:color="auto" w:fill="CCEEFF"/>
          </w:tcPr>
          <w:p>
            <w:pPr>
              <w:jc w:val="right"/>
              <w:ind w:right="207"/>
              <w:spacing w:after="0"/>
              <w:rPr>
                <w:sz w:val="20"/>
                <w:szCs w:val="20"/>
                <w:color w:val="auto"/>
              </w:rPr>
            </w:pPr>
            <w:r>
              <w:rPr>
                <w:rFonts w:ascii="Arial" w:cs="Arial" w:eastAsia="Arial" w:hAnsi="Arial"/>
                <w:sz w:val="11"/>
                <w:szCs w:val="11"/>
                <w:color w:val="auto"/>
              </w:rPr>
              <w:t>195</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99.5%</w:t>
            </w:r>
          </w:p>
        </w:tc>
        <w:tc>
          <w:tcPr>
            <w:tcW w:w="0" w:type="dxa"/>
            <w:vAlign w:val="bottom"/>
          </w:tcPr>
          <w:p>
            <w:pPr>
              <w:spacing w:after="0"/>
              <w:rPr>
                <w:sz w:val="1"/>
                <w:szCs w:val="1"/>
                <w:color w:val="auto"/>
              </w:rPr>
            </w:pPr>
          </w:p>
        </w:tc>
      </w:tr>
      <w:tr>
        <w:trPr>
          <w:trHeight w:val="156"/>
        </w:trPr>
        <w:tc>
          <w:tcPr>
            <w:tcW w:w="3460" w:type="dxa"/>
            <w:vAlign w:val="bottom"/>
            <w:gridSpan w:val="22"/>
          </w:tcPr>
          <w:p>
            <w:pPr>
              <w:jc w:val="center"/>
              <w:ind w:right="2540"/>
              <w:spacing w:after="0"/>
              <w:rPr>
                <w:sz w:val="20"/>
                <w:szCs w:val="20"/>
                <w:color w:val="auto"/>
              </w:rPr>
            </w:pPr>
            <w:r>
              <w:rPr>
                <w:rFonts w:ascii="Arial" w:cs="Arial" w:eastAsia="Arial" w:hAnsi="Arial"/>
                <w:sz w:val="11"/>
                <w:szCs w:val="11"/>
                <w:color w:val="auto"/>
                <w:w w:val="97"/>
              </w:rPr>
              <w:t>2019</w:t>
            </w:r>
          </w:p>
        </w:tc>
        <w:tc>
          <w:tcPr>
            <w:tcW w:w="740" w:type="dxa"/>
            <w:vAlign w:val="bottom"/>
            <w:gridSpan w:val="4"/>
          </w:tcPr>
          <w:p>
            <w:pPr>
              <w:jc w:val="right"/>
              <w:ind w:right="183"/>
              <w:spacing w:after="0"/>
              <w:rPr>
                <w:sz w:val="20"/>
                <w:szCs w:val="20"/>
                <w:color w:val="auto"/>
              </w:rPr>
            </w:pPr>
            <w:r>
              <w:rPr>
                <w:rFonts w:ascii="Arial" w:cs="Arial" w:eastAsia="Arial" w:hAnsi="Arial"/>
                <w:sz w:val="11"/>
                <w:szCs w:val="11"/>
                <w:color w:val="auto"/>
              </w:rPr>
              <w:t>99</w:t>
            </w:r>
          </w:p>
        </w:tc>
        <w:tc>
          <w:tcPr>
            <w:tcW w:w="820" w:type="dxa"/>
            <w:vAlign w:val="bottom"/>
            <w:gridSpan w:val="5"/>
          </w:tcPr>
          <w:p>
            <w:pPr>
              <w:jc w:val="right"/>
              <w:ind w:right="280"/>
              <w:spacing w:after="0"/>
              <w:rPr>
                <w:sz w:val="20"/>
                <w:szCs w:val="20"/>
                <w:color w:val="auto"/>
              </w:rPr>
            </w:pPr>
            <w:r>
              <w:rPr>
                <w:rFonts w:ascii="Arial" w:cs="Arial" w:eastAsia="Arial" w:hAnsi="Arial"/>
                <w:sz w:val="11"/>
                <w:szCs w:val="11"/>
                <w:color w:val="auto"/>
              </w:rPr>
              <w:t>146</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164</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168</w:t>
            </w:r>
          </w:p>
        </w:tc>
        <w:tc>
          <w:tcPr>
            <w:tcW w:w="820" w:type="dxa"/>
            <w:vAlign w:val="bottom"/>
            <w:gridSpan w:val="6"/>
          </w:tcPr>
          <w:p>
            <w:pPr>
              <w:ind w:left="300"/>
              <w:spacing w:after="0"/>
              <w:rPr>
                <w:sz w:val="20"/>
                <w:szCs w:val="20"/>
                <w:color w:val="auto"/>
              </w:rPr>
            </w:pPr>
            <w:r>
              <w:rPr>
                <w:rFonts w:ascii="Arial" w:cs="Arial" w:eastAsia="Arial" w:hAnsi="Arial"/>
                <w:sz w:val="11"/>
                <w:szCs w:val="11"/>
                <w:color w:val="auto"/>
              </w:rPr>
              <w:t>170</w:t>
            </w:r>
          </w:p>
        </w:tc>
        <w:tc>
          <w:tcPr>
            <w:tcW w:w="820" w:type="dxa"/>
            <w:vAlign w:val="bottom"/>
            <w:gridSpan w:val="6"/>
          </w:tcPr>
          <w:p>
            <w:pPr>
              <w:jc w:val="right"/>
              <w:ind w:right="323"/>
              <w:spacing w:after="0"/>
              <w:rPr>
                <w:sz w:val="20"/>
                <w:szCs w:val="20"/>
                <w:color w:val="auto"/>
              </w:rPr>
            </w:pPr>
            <w:r>
              <w:rPr>
                <w:rFonts w:ascii="Arial" w:cs="Arial" w:eastAsia="Arial" w:hAnsi="Arial"/>
                <w:sz w:val="11"/>
                <w:szCs w:val="11"/>
                <w:color w:val="auto"/>
              </w:rPr>
              <w:t>173</w:t>
            </w:r>
          </w:p>
        </w:tc>
        <w:tc>
          <w:tcPr>
            <w:tcW w:w="700" w:type="dxa"/>
            <w:vAlign w:val="bottom"/>
            <w:gridSpan w:val="6"/>
          </w:tcPr>
          <w:p>
            <w:pPr>
              <w:jc w:val="right"/>
              <w:ind w:right="207"/>
              <w:spacing w:after="0"/>
              <w:rPr>
                <w:sz w:val="20"/>
                <w:szCs w:val="20"/>
                <w:color w:val="auto"/>
              </w:rPr>
            </w:pPr>
            <w:r>
              <w:rPr>
                <w:rFonts w:ascii="Arial" w:cs="Arial" w:eastAsia="Arial" w:hAnsi="Arial"/>
                <w:sz w:val="11"/>
                <w:szCs w:val="11"/>
                <w:color w:val="auto"/>
              </w:rPr>
              <w:t>173</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97.7%</w:t>
            </w:r>
          </w:p>
        </w:tc>
        <w:tc>
          <w:tcPr>
            <w:tcW w:w="0" w:type="dxa"/>
            <w:vAlign w:val="bottom"/>
          </w:tcPr>
          <w:p>
            <w:pPr>
              <w:spacing w:after="0"/>
              <w:rPr>
                <w:sz w:val="1"/>
                <w:szCs w:val="1"/>
                <w:color w:val="auto"/>
              </w:rPr>
            </w:pPr>
          </w:p>
        </w:tc>
      </w:tr>
      <w:tr>
        <w:trPr>
          <w:trHeight w:val="162"/>
        </w:trPr>
        <w:tc>
          <w:tcPr>
            <w:tcW w:w="4200" w:type="dxa"/>
            <w:vAlign w:val="bottom"/>
            <w:gridSpan w:val="26"/>
            <w:shd w:val="clear" w:color="auto" w:fill="CCEEFF"/>
          </w:tcPr>
          <w:p>
            <w:pPr>
              <w:jc w:val="center"/>
              <w:ind w:right="3223"/>
              <w:spacing w:after="0"/>
              <w:rPr>
                <w:sz w:val="20"/>
                <w:szCs w:val="20"/>
                <w:color w:val="auto"/>
              </w:rPr>
            </w:pPr>
            <w:r>
              <w:rPr>
                <w:rFonts w:ascii="Arial" w:cs="Arial" w:eastAsia="Arial" w:hAnsi="Arial"/>
                <w:sz w:val="11"/>
                <w:szCs w:val="11"/>
                <w:color w:val="auto"/>
                <w:w w:val="97"/>
              </w:rPr>
              <w:t>2020</w:t>
            </w: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1"/>
                <w:szCs w:val="11"/>
                <w:color w:val="auto"/>
              </w:rPr>
              <w:t>100</w:t>
            </w: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1"/>
                <w:szCs w:val="11"/>
                <w:color w:val="auto"/>
              </w:rPr>
              <w:t>144</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160</w:t>
            </w:r>
          </w:p>
        </w:tc>
        <w:tc>
          <w:tcPr>
            <w:tcW w:w="820" w:type="dxa"/>
            <w:vAlign w:val="bottom"/>
            <w:gridSpan w:val="6"/>
            <w:shd w:val="clear" w:color="auto" w:fill="CCEEFF"/>
          </w:tcPr>
          <w:p>
            <w:pPr>
              <w:ind w:left="300"/>
              <w:spacing w:after="0"/>
              <w:rPr>
                <w:sz w:val="20"/>
                <w:szCs w:val="20"/>
                <w:color w:val="auto"/>
              </w:rPr>
            </w:pPr>
            <w:r>
              <w:rPr>
                <w:rFonts w:ascii="Arial" w:cs="Arial" w:eastAsia="Arial" w:hAnsi="Arial"/>
                <w:sz w:val="11"/>
                <w:szCs w:val="11"/>
                <w:color w:val="auto"/>
              </w:rPr>
              <w:t>162</w:t>
            </w:r>
          </w:p>
        </w:tc>
        <w:tc>
          <w:tcPr>
            <w:tcW w:w="820" w:type="dxa"/>
            <w:vAlign w:val="bottom"/>
            <w:gridSpan w:val="6"/>
            <w:shd w:val="clear" w:color="auto" w:fill="CCEEFF"/>
          </w:tcPr>
          <w:p>
            <w:pPr>
              <w:jc w:val="right"/>
              <w:ind w:right="323"/>
              <w:spacing w:after="0"/>
              <w:rPr>
                <w:sz w:val="20"/>
                <w:szCs w:val="20"/>
                <w:color w:val="auto"/>
              </w:rPr>
            </w:pPr>
            <w:r>
              <w:rPr>
                <w:rFonts w:ascii="Arial" w:cs="Arial" w:eastAsia="Arial" w:hAnsi="Arial"/>
                <w:sz w:val="11"/>
                <w:szCs w:val="11"/>
                <w:color w:val="auto"/>
              </w:rPr>
              <w:t>167</w:t>
            </w:r>
          </w:p>
        </w:tc>
        <w:tc>
          <w:tcPr>
            <w:tcW w:w="700" w:type="dxa"/>
            <w:vAlign w:val="bottom"/>
            <w:gridSpan w:val="6"/>
            <w:shd w:val="clear" w:color="auto" w:fill="CCEEFF"/>
          </w:tcPr>
          <w:p>
            <w:pPr>
              <w:jc w:val="right"/>
              <w:ind w:right="207"/>
              <w:spacing w:after="0"/>
              <w:rPr>
                <w:sz w:val="20"/>
                <w:szCs w:val="20"/>
                <w:color w:val="auto"/>
              </w:rPr>
            </w:pPr>
            <w:r>
              <w:rPr>
                <w:rFonts w:ascii="Arial" w:cs="Arial" w:eastAsia="Arial" w:hAnsi="Arial"/>
                <w:sz w:val="11"/>
                <w:szCs w:val="11"/>
                <w:color w:val="auto"/>
              </w:rPr>
              <w:t>174</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93.0%</w:t>
            </w:r>
          </w:p>
        </w:tc>
        <w:tc>
          <w:tcPr>
            <w:tcW w:w="0" w:type="dxa"/>
            <w:vAlign w:val="bottom"/>
          </w:tcPr>
          <w:p>
            <w:pPr>
              <w:spacing w:after="0"/>
              <w:rPr>
                <w:sz w:val="1"/>
                <w:szCs w:val="1"/>
                <w:color w:val="auto"/>
              </w:rPr>
            </w:pPr>
          </w:p>
        </w:tc>
      </w:tr>
      <w:tr>
        <w:trPr>
          <w:trHeight w:val="156"/>
        </w:trPr>
        <w:tc>
          <w:tcPr>
            <w:tcW w:w="5020" w:type="dxa"/>
            <w:vAlign w:val="bottom"/>
            <w:gridSpan w:val="31"/>
          </w:tcPr>
          <w:p>
            <w:pPr>
              <w:jc w:val="center"/>
              <w:ind w:right="4100"/>
              <w:spacing w:after="0"/>
              <w:rPr>
                <w:sz w:val="20"/>
                <w:szCs w:val="20"/>
                <w:color w:val="auto"/>
              </w:rPr>
            </w:pPr>
            <w:r>
              <w:rPr>
                <w:rFonts w:ascii="Arial" w:cs="Arial" w:eastAsia="Arial" w:hAnsi="Arial"/>
                <w:sz w:val="11"/>
                <w:szCs w:val="11"/>
                <w:color w:val="auto"/>
                <w:w w:val="97"/>
              </w:rPr>
              <w:t>2021</w:t>
            </w:r>
          </w:p>
        </w:tc>
        <w:tc>
          <w:tcPr>
            <w:tcW w:w="820" w:type="dxa"/>
            <w:vAlign w:val="bottom"/>
            <w:gridSpan w:val="6"/>
          </w:tcPr>
          <w:p>
            <w:pPr>
              <w:jc w:val="right"/>
              <w:ind w:right="320"/>
              <w:spacing w:after="0"/>
              <w:rPr>
                <w:sz w:val="20"/>
                <w:szCs w:val="20"/>
                <w:color w:val="auto"/>
              </w:rPr>
            </w:pPr>
            <w:r>
              <w:rPr>
                <w:rFonts w:ascii="Arial" w:cs="Arial" w:eastAsia="Arial" w:hAnsi="Arial"/>
                <w:sz w:val="11"/>
                <w:szCs w:val="11"/>
                <w:color w:val="auto"/>
              </w:rPr>
              <w:t>98</w:t>
            </w:r>
          </w:p>
        </w:tc>
        <w:tc>
          <w:tcPr>
            <w:tcW w:w="740" w:type="dxa"/>
            <w:vAlign w:val="bottom"/>
            <w:gridSpan w:val="5"/>
          </w:tcPr>
          <w:p>
            <w:pPr>
              <w:jc w:val="center"/>
              <w:ind w:right="40"/>
              <w:spacing w:after="0"/>
              <w:rPr>
                <w:sz w:val="20"/>
                <w:szCs w:val="20"/>
                <w:color w:val="auto"/>
              </w:rPr>
            </w:pPr>
            <w:r>
              <w:rPr>
                <w:rFonts w:ascii="Arial" w:cs="Arial" w:eastAsia="Arial" w:hAnsi="Arial"/>
                <w:sz w:val="11"/>
                <w:szCs w:val="11"/>
                <w:color w:val="auto"/>
                <w:w w:val="97"/>
              </w:rPr>
              <w:t>136</w:t>
            </w:r>
          </w:p>
        </w:tc>
        <w:tc>
          <w:tcPr>
            <w:tcW w:w="820" w:type="dxa"/>
            <w:vAlign w:val="bottom"/>
            <w:gridSpan w:val="6"/>
          </w:tcPr>
          <w:p>
            <w:pPr>
              <w:ind w:left="300"/>
              <w:spacing w:after="0"/>
              <w:rPr>
                <w:sz w:val="20"/>
                <w:szCs w:val="20"/>
                <w:color w:val="auto"/>
              </w:rPr>
            </w:pPr>
            <w:r>
              <w:rPr>
                <w:rFonts w:ascii="Arial" w:cs="Arial" w:eastAsia="Arial" w:hAnsi="Arial"/>
                <w:sz w:val="11"/>
                <w:szCs w:val="11"/>
                <w:color w:val="auto"/>
              </w:rPr>
              <w:t>147</w:t>
            </w:r>
          </w:p>
        </w:tc>
        <w:tc>
          <w:tcPr>
            <w:tcW w:w="820" w:type="dxa"/>
            <w:vAlign w:val="bottom"/>
            <w:gridSpan w:val="6"/>
          </w:tcPr>
          <w:p>
            <w:pPr>
              <w:jc w:val="right"/>
              <w:ind w:right="323"/>
              <w:spacing w:after="0"/>
              <w:rPr>
                <w:sz w:val="20"/>
                <w:szCs w:val="20"/>
                <w:color w:val="auto"/>
              </w:rPr>
            </w:pPr>
            <w:r>
              <w:rPr>
                <w:rFonts w:ascii="Arial" w:cs="Arial" w:eastAsia="Arial" w:hAnsi="Arial"/>
                <w:sz w:val="11"/>
                <w:szCs w:val="11"/>
                <w:color w:val="auto"/>
              </w:rPr>
              <w:t>156</w:t>
            </w:r>
          </w:p>
        </w:tc>
        <w:tc>
          <w:tcPr>
            <w:tcW w:w="700" w:type="dxa"/>
            <w:vAlign w:val="bottom"/>
            <w:gridSpan w:val="6"/>
          </w:tcPr>
          <w:p>
            <w:pPr>
              <w:jc w:val="right"/>
              <w:ind w:right="207"/>
              <w:spacing w:after="0"/>
              <w:rPr>
                <w:sz w:val="20"/>
                <w:szCs w:val="20"/>
                <w:color w:val="auto"/>
              </w:rPr>
            </w:pPr>
            <w:r>
              <w:rPr>
                <w:rFonts w:ascii="Arial" w:cs="Arial" w:eastAsia="Arial" w:hAnsi="Arial"/>
                <w:sz w:val="11"/>
                <w:szCs w:val="11"/>
                <w:color w:val="auto"/>
              </w:rPr>
              <w:t>162</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94.2%</w:t>
            </w:r>
          </w:p>
        </w:tc>
        <w:tc>
          <w:tcPr>
            <w:tcW w:w="0" w:type="dxa"/>
            <w:vAlign w:val="bottom"/>
          </w:tcPr>
          <w:p>
            <w:pPr>
              <w:spacing w:after="0"/>
              <w:rPr>
                <w:sz w:val="1"/>
                <w:szCs w:val="1"/>
                <w:color w:val="auto"/>
              </w:rPr>
            </w:pPr>
          </w:p>
        </w:tc>
      </w:tr>
      <w:tr>
        <w:trPr>
          <w:trHeight w:val="162"/>
        </w:trPr>
        <w:tc>
          <w:tcPr>
            <w:tcW w:w="5840" w:type="dxa"/>
            <w:vAlign w:val="bottom"/>
            <w:gridSpan w:val="37"/>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2022</w:t>
            </w: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1"/>
                <w:szCs w:val="11"/>
                <w:color w:val="auto"/>
                <w:w w:val="97"/>
              </w:rPr>
              <w:t>108</w:t>
            </w:r>
          </w:p>
        </w:tc>
        <w:tc>
          <w:tcPr>
            <w:tcW w:w="820" w:type="dxa"/>
            <w:vAlign w:val="bottom"/>
            <w:gridSpan w:val="6"/>
            <w:shd w:val="clear" w:color="auto" w:fill="CCEEFF"/>
          </w:tcPr>
          <w:p>
            <w:pPr>
              <w:ind w:left="300"/>
              <w:spacing w:after="0"/>
              <w:rPr>
                <w:sz w:val="20"/>
                <w:szCs w:val="20"/>
                <w:color w:val="auto"/>
              </w:rPr>
            </w:pPr>
            <w:r>
              <w:rPr>
                <w:rFonts w:ascii="Arial" w:cs="Arial" w:eastAsia="Arial" w:hAnsi="Arial"/>
                <w:sz w:val="11"/>
                <w:szCs w:val="11"/>
                <w:color w:val="auto"/>
              </w:rPr>
              <w:t>164</w:t>
            </w:r>
          </w:p>
        </w:tc>
        <w:tc>
          <w:tcPr>
            <w:tcW w:w="820" w:type="dxa"/>
            <w:vAlign w:val="bottom"/>
            <w:gridSpan w:val="6"/>
            <w:shd w:val="clear" w:color="auto" w:fill="CCEEFF"/>
          </w:tcPr>
          <w:p>
            <w:pPr>
              <w:jc w:val="right"/>
              <w:ind w:right="323"/>
              <w:spacing w:after="0"/>
              <w:rPr>
                <w:sz w:val="20"/>
                <w:szCs w:val="20"/>
                <w:color w:val="auto"/>
              </w:rPr>
            </w:pPr>
            <w:r>
              <w:rPr>
                <w:rFonts w:ascii="Arial" w:cs="Arial" w:eastAsia="Arial" w:hAnsi="Arial"/>
                <w:sz w:val="11"/>
                <w:szCs w:val="11"/>
                <w:color w:val="auto"/>
              </w:rPr>
              <w:t>187</w:t>
            </w:r>
          </w:p>
        </w:tc>
        <w:tc>
          <w:tcPr>
            <w:tcW w:w="700" w:type="dxa"/>
            <w:vAlign w:val="bottom"/>
            <w:gridSpan w:val="6"/>
            <w:shd w:val="clear" w:color="auto" w:fill="CCEEFF"/>
          </w:tcPr>
          <w:p>
            <w:pPr>
              <w:jc w:val="right"/>
              <w:ind w:right="207"/>
              <w:spacing w:after="0"/>
              <w:rPr>
                <w:sz w:val="20"/>
                <w:szCs w:val="20"/>
                <w:color w:val="auto"/>
              </w:rPr>
            </w:pPr>
            <w:r>
              <w:rPr>
                <w:rFonts w:ascii="Arial" w:cs="Arial" w:eastAsia="Arial" w:hAnsi="Arial"/>
                <w:sz w:val="11"/>
                <w:szCs w:val="11"/>
                <w:color w:val="auto"/>
              </w:rPr>
              <w:t>193</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89.8%</w:t>
            </w:r>
          </w:p>
        </w:tc>
        <w:tc>
          <w:tcPr>
            <w:tcW w:w="0" w:type="dxa"/>
            <w:vAlign w:val="bottom"/>
          </w:tcPr>
          <w:p>
            <w:pPr>
              <w:spacing w:after="0"/>
              <w:rPr>
                <w:sz w:val="1"/>
                <w:szCs w:val="1"/>
                <w:color w:val="auto"/>
              </w:rPr>
            </w:pPr>
          </w:p>
        </w:tc>
      </w:tr>
      <w:tr>
        <w:trPr>
          <w:trHeight w:val="156"/>
        </w:trPr>
        <w:tc>
          <w:tcPr>
            <w:tcW w:w="6580" w:type="dxa"/>
            <w:vAlign w:val="bottom"/>
            <w:gridSpan w:val="42"/>
          </w:tcPr>
          <w:p>
            <w:pPr>
              <w:jc w:val="center"/>
              <w:ind w:right="5660"/>
              <w:spacing w:after="0"/>
              <w:rPr>
                <w:sz w:val="20"/>
                <w:szCs w:val="20"/>
                <w:color w:val="auto"/>
              </w:rPr>
            </w:pPr>
            <w:r>
              <w:rPr>
                <w:rFonts w:ascii="Arial" w:cs="Arial" w:eastAsia="Arial" w:hAnsi="Arial"/>
                <w:sz w:val="11"/>
                <w:szCs w:val="11"/>
                <w:color w:val="auto"/>
                <w:w w:val="97"/>
              </w:rPr>
              <w:t>2023</w:t>
            </w:r>
          </w:p>
        </w:tc>
        <w:tc>
          <w:tcPr>
            <w:tcW w:w="820" w:type="dxa"/>
            <w:vAlign w:val="bottom"/>
            <w:gridSpan w:val="6"/>
          </w:tcPr>
          <w:p>
            <w:pPr>
              <w:ind w:left="300"/>
              <w:spacing w:after="0"/>
              <w:rPr>
                <w:sz w:val="20"/>
                <w:szCs w:val="20"/>
                <w:color w:val="auto"/>
              </w:rPr>
            </w:pPr>
            <w:r>
              <w:rPr>
                <w:rFonts w:ascii="Arial" w:cs="Arial" w:eastAsia="Arial" w:hAnsi="Arial"/>
                <w:sz w:val="11"/>
                <w:szCs w:val="11"/>
                <w:color w:val="auto"/>
              </w:rPr>
              <w:t>150</w:t>
            </w:r>
          </w:p>
        </w:tc>
        <w:tc>
          <w:tcPr>
            <w:tcW w:w="820" w:type="dxa"/>
            <w:vAlign w:val="bottom"/>
            <w:gridSpan w:val="6"/>
          </w:tcPr>
          <w:p>
            <w:pPr>
              <w:jc w:val="right"/>
              <w:ind w:right="323"/>
              <w:spacing w:after="0"/>
              <w:rPr>
                <w:sz w:val="20"/>
                <w:szCs w:val="20"/>
                <w:color w:val="auto"/>
              </w:rPr>
            </w:pPr>
            <w:r>
              <w:rPr>
                <w:rFonts w:ascii="Arial" w:cs="Arial" w:eastAsia="Arial" w:hAnsi="Arial"/>
                <w:sz w:val="11"/>
                <w:szCs w:val="11"/>
                <w:color w:val="auto"/>
              </w:rPr>
              <w:t>230</w:t>
            </w:r>
          </w:p>
        </w:tc>
        <w:tc>
          <w:tcPr>
            <w:tcW w:w="700" w:type="dxa"/>
            <w:vAlign w:val="bottom"/>
            <w:gridSpan w:val="6"/>
          </w:tcPr>
          <w:p>
            <w:pPr>
              <w:jc w:val="right"/>
              <w:ind w:right="207"/>
              <w:spacing w:after="0"/>
              <w:rPr>
                <w:sz w:val="20"/>
                <w:szCs w:val="20"/>
                <w:color w:val="auto"/>
              </w:rPr>
            </w:pPr>
            <w:r>
              <w:rPr>
                <w:rFonts w:ascii="Arial" w:cs="Arial" w:eastAsia="Arial" w:hAnsi="Arial"/>
                <w:sz w:val="11"/>
                <w:szCs w:val="11"/>
                <w:color w:val="auto"/>
              </w:rPr>
              <w:t>249</w:t>
            </w:r>
          </w:p>
        </w:tc>
        <w:tc>
          <w:tcPr>
            <w:tcW w:w="2360" w:type="dxa"/>
            <w:vAlign w:val="bottom"/>
            <w:gridSpan w:val="5"/>
          </w:tcPr>
          <w:p>
            <w:pPr>
              <w:jc w:val="right"/>
              <w:ind w:right="984"/>
              <w:spacing w:after="0"/>
              <w:rPr>
                <w:sz w:val="20"/>
                <w:szCs w:val="20"/>
                <w:color w:val="auto"/>
              </w:rPr>
            </w:pPr>
            <w:r>
              <w:rPr>
                <w:rFonts w:ascii="Arial" w:cs="Arial" w:eastAsia="Arial" w:hAnsi="Arial"/>
                <w:sz w:val="11"/>
                <w:szCs w:val="11"/>
                <w:color w:val="auto"/>
              </w:rPr>
              <w:t>74.3%</w:t>
            </w:r>
          </w:p>
        </w:tc>
        <w:tc>
          <w:tcPr>
            <w:tcW w:w="0" w:type="dxa"/>
            <w:vAlign w:val="bottom"/>
          </w:tcPr>
          <w:p>
            <w:pPr>
              <w:spacing w:after="0"/>
              <w:rPr>
                <w:sz w:val="1"/>
                <w:szCs w:val="1"/>
                <w:color w:val="auto"/>
              </w:rPr>
            </w:pPr>
          </w:p>
        </w:tc>
      </w:tr>
      <w:tr>
        <w:trPr>
          <w:trHeight w:val="162"/>
        </w:trPr>
        <w:tc>
          <w:tcPr>
            <w:tcW w:w="7400" w:type="dxa"/>
            <w:vAlign w:val="bottom"/>
            <w:gridSpan w:val="48"/>
            <w:shd w:val="clear" w:color="auto" w:fill="CCEEFF"/>
          </w:tcPr>
          <w:p>
            <w:pPr>
              <w:jc w:val="center"/>
              <w:ind w:right="6480"/>
              <w:spacing w:after="0"/>
              <w:rPr>
                <w:sz w:val="20"/>
                <w:szCs w:val="20"/>
                <w:color w:val="auto"/>
              </w:rPr>
            </w:pPr>
            <w:r>
              <w:rPr>
                <w:rFonts w:ascii="Arial" w:cs="Arial" w:eastAsia="Arial" w:hAnsi="Arial"/>
                <w:sz w:val="11"/>
                <w:szCs w:val="11"/>
                <w:color w:val="auto"/>
                <w:w w:val="97"/>
              </w:rPr>
              <w:t>2024</w:t>
            </w:r>
          </w:p>
        </w:tc>
        <w:tc>
          <w:tcPr>
            <w:tcW w:w="820" w:type="dxa"/>
            <w:vAlign w:val="bottom"/>
            <w:gridSpan w:val="6"/>
            <w:shd w:val="clear" w:color="auto" w:fill="CCEEFF"/>
          </w:tcPr>
          <w:p>
            <w:pPr>
              <w:jc w:val="right"/>
              <w:ind w:right="323"/>
              <w:spacing w:after="0"/>
              <w:rPr>
                <w:sz w:val="20"/>
                <w:szCs w:val="20"/>
                <w:color w:val="auto"/>
              </w:rPr>
            </w:pPr>
            <w:r>
              <w:rPr>
                <w:rFonts w:ascii="Arial" w:cs="Arial" w:eastAsia="Arial" w:hAnsi="Arial"/>
                <w:sz w:val="11"/>
                <w:szCs w:val="11"/>
                <w:color w:val="auto"/>
              </w:rPr>
              <w:t>176</w:t>
            </w:r>
          </w:p>
        </w:tc>
        <w:tc>
          <w:tcPr>
            <w:tcW w:w="700" w:type="dxa"/>
            <w:vAlign w:val="bottom"/>
            <w:gridSpan w:val="6"/>
            <w:shd w:val="clear" w:color="auto" w:fill="CCEEFF"/>
          </w:tcPr>
          <w:p>
            <w:pPr>
              <w:jc w:val="right"/>
              <w:ind w:right="207"/>
              <w:spacing w:after="0"/>
              <w:rPr>
                <w:sz w:val="20"/>
                <w:szCs w:val="20"/>
                <w:color w:val="auto"/>
              </w:rPr>
            </w:pPr>
            <w:r>
              <w:rPr>
                <w:rFonts w:ascii="Arial" w:cs="Arial" w:eastAsia="Arial" w:hAnsi="Arial"/>
                <w:sz w:val="11"/>
                <w:szCs w:val="11"/>
                <w:color w:val="auto"/>
              </w:rPr>
              <w:t>247</w:t>
            </w:r>
          </w:p>
        </w:tc>
        <w:tc>
          <w:tcPr>
            <w:tcW w:w="2360" w:type="dxa"/>
            <w:vAlign w:val="bottom"/>
            <w:gridSpan w:val="5"/>
            <w:shd w:val="clear" w:color="auto" w:fill="CCEEFF"/>
          </w:tcPr>
          <w:p>
            <w:pPr>
              <w:jc w:val="right"/>
              <w:ind w:right="984"/>
              <w:spacing w:after="0"/>
              <w:rPr>
                <w:sz w:val="20"/>
                <w:szCs w:val="20"/>
                <w:color w:val="auto"/>
              </w:rPr>
            </w:pPr>
            <w:r>
              <w:rPr>
                <w:rFonts w:ascii="Arial" w:cs="Arial" w:eastAsia="Arial" w:hAnsi="Arial"/>
                <w:sz w:val="11"/>
                <w:szCs w:val="11"/>
                <w:color w:val="auto"/>
              </w:rPr>
              <w:t>68.0%</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CEEFF"/>
            </w:tcBorders>
            <w:gridSpan w:val="52"/>
          </w:tcPr>
          <w:p>
            <w:pPr>
              <w:jc w:val="center"/>
              <w:ind w:right="7003"/>
              <w:spacing w:after="0"/>
              <w:rPr>
                <w:sz w:val="20"/>
                <w:szCs w:val="20"/>
                <w:color w:val="auto"/>
              </w:rPr>
            </w:pPr>
            <w:r>
              <w:rPr>
                <w:rFonts w:ascii="Arial" w:cs="Arial" w:eastAsia="Arial" w:hAnsi="Arial"/>
                <w:sz w:val="11"/>
                <w:szCs w:val="11"/>
                <w:color w:val="auto"/>
                <w:w w:val="97"/>
              </w:rPr>
              <w:t>2025</w:t>
            </w:r>
          </w:p>
        </w:tc>
        <w:tc>
          <w:tcPr>
            <w:tcW w:w="7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color w:val="auto"/>
              </w:rPr>
              <w:t>166</w:t>
            </w:r>
          </w:p>
        </w:tc>
        <w:tc>
          <w:tcPr>
            <w:tcW w:w="2560" w:type="dxa"/>
            <w:vAlign w:val="bottom"/>
            <w:tcBorders>
              <w:bottom w:val="single" w:sz="8" w:color="CCEEFF"/>
            </w:tcBorders>
            <w:gridSpan w:val="9"/>
          </w:tcPr>
          <w:p>
            <w:pPr>
              <w:jc w:val="right"/>
              <w:ind w:right="2504"/>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53"/>
        </w:trPr>
        <w:tc>
          <w:tcPr>
            <w:tcW w:w="7940" w:type="dxa"/>
            <w:vAlign w:val="bottom"/>
            <w:gridSpan w:val="51"/>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3"/>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3060" w:type="dxa"/>
            <w:vAlign w:val="bottom"/>
            <w:gridSpan w:val="11"/>
            <w:shd w:val="clear" w:color="auto" w:fill="CCEEFF"/>
          </w:tcPr>
          <w:p>
            <w:pPr>
              <w:jc w:val="right"/>
              <w:ind w:right="2564"/>
              <w:spacing w:after="0"/>
              <w:rPr>
                <w:sz w:val="20"/>
                <w:szCs w:val="20"/>
                <w:color w:val="auto"/>
              </w:rPr>
            </w:pPr>
            <w:r>
              <w:rPr>
                <w:rFonts w:ascii="Arial" w:cs="Arial" w:eastAsia="Arial" w:hAnsi="Arial"/>
                <w:sz w:val="11"/>
                <w:szCs w:val="11"/>
                <w:color w:val="auto"/>
              </w:rPr>
              <w:t>1,931</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0"/>
          </w:tcPr>
          <w:p>
            <w:pPr>
              <w:jc w:val="right"/>
              <w:ind w:right="60"/>
              <w:spacing w:after="0"/>
              <w:rPr>
                <w:sz w:val="20"/>
                <w:szCs w:val="20"/>
                <w:color w:val="auto"/>
              </w:rPr>
            </w:pPr>
            <w:r>
              <w:rPr>
                <w:rFonts w:ascii="Arial" w:cs="Arial" w:eastAsia="Arial" w:hAnsi="Arial"/>
                <w:sz w:val="11"/>
                <w:szCs w:val="11"/>
                <w:color w:val="auto"/>
              </w:rPr>
              <w:t>Unpaid losses and LAE — years 2016 through 2025</w:t>
            </w: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color w:val="auto"/>
              </w:rPr>
              <w:t>459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20" w:type="dxa"/>
            <w:vAlign w:val="bottom"/>
            <w:gridSpan w:val="26"/>
            <w:shd w:val="clear" w:color="auto" w:fill="CCEEFF"/>
          </w:tcPr>
          <w:p>
            <w:pPr>
              <w:jc w:val="right"/>
              <w:ind w:right="6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5"/>
          </w:tcPr>
          <w:p>
            <w:pPr>
              <w:jc w:val="right"/>
              <w:ind w:right="6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80" w:type="dxa"/>
            <w:vAlign w:val="bottom"/>
            <w:gridSpan w:val="3"/>
          </w:tcPr>
          <w:p>
            <w:pPr>
              <w:jc w:val="right"/>
              <w:ind w:right="10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460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29"/>
            <w:vMerge w:val="restart"/>
          </w:tcPr>
          <w:p>
            <w:pPr>
              <w:jc w:val="right"/>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gridSpan w:val="29"/>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17"/>
          </w:tcPr>
          <w:p>
            <w:pPr>
              <w:jc w:val="right"/>
              <w:ind w:right="2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Year 1</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Year 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color w:val="auto"/>
              </w:rPr>
              <w:t>Year 3</w:t>
            </w:r>
          </w:p>
        </w:tc>
        <w:tc>
          <w:tcPr>
            <w:tcW w:w="4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color w:val="auto"/>
              </w:rPr>
              <w:t>Year 4</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color w:val="auto"/>
              </w:rPr>
              <w:t>Year 5</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jc w:val="center"/>
              <w:ind w:left="123"/>
              <w:spacing w:after="0"/>
              <w:rPr>
                <w:sz w:val="20"/>
                <w:szCs w:val="20"/>
                <w:color w:val="auto"/>
              </w:rPr>
            </w:pPr>
            <w:r>
              <w:rPr>
                <w:rFonts w:ascii="Arial" w:cs="Arial" w:eastAsia="Arial" w:hAnsi="Arial"/>
                <w:sz w:val="11"/>
                <w:szCs w:val="11"/>
                <w:color w:val="auto"/>
                <w:w w:val="98"/>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ind w:left="200"/>
              <w:spacing w:after="0"/>
              <w:rPr>
                <w:sz w:val="20"/>
                <w:szCs w:val="20"/>
                <w:color w:val="auto"/>
              </w:rPr>
            </w:pPr>
            <w:r>
              <w:rPr>
                <w:rFonts w:ascii="Arial" w:cs="Arial" w:eastAsia="Arial" w:hAnsi="Arial"/>
                <w:sz w:val="11"/>
                <w:szCs w:val="11"/>
                <w:color w:val="auto"/>
              </w:rPr>
              <w:t>Year 8</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1"/>
                <w:szCs w:val="11"/>
                <w:color w:val="auto"/>
              </w:rPr>
              <w:t>Year 9</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Year 10</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w w:val="95"/>
              </w:rPr>
              <w:t>0.5%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20" w:type="dxa"/>
            <w:vAlign w:val="bottom"/>
            <w:gridSpan w:val="4"/>
          </w:tcPr>
          <w:p>
            <w:pPr>
              <w:ind w:left="20"/>
              <w:spacing w:after="0"/>
              <w:rPr>
                <w:sz w:val="20"/>
                <w:szCs w:val="20"/>
                <w:color w:val="auto"/>
              </w:rPr>
            </w:pPr>
            <w:r>
              <w:rPr>
                <w:rFonts w:ascii="Arial" w:cs="Arial" w:eastAsia="Arial" w:hAnsi="Arial"/>
                <w:sz w:val="11"/>
                <w:szCs w:val="11"/>
                <w:color w:val="auto"/>
              </w:rPr>
              <w:t>Cumulative</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76.7%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85.7%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320"/>
              <w:spacing w:after="0"/>
              <w:rPr>
                <w:sz w:val="20"/>
                <w:szCs w:val="20"/>
                <w:color w:val="auto"/>
              </w:rPr>
            </w:pPr>
            <w:r>
              <w:rPr>
                <w:rFonts w:ascii="Arial" w:cs="Arial" w:eastAsia="Arial" w:hAnsi="Arial"/>
                <w:sz w:val="11"/>
                <w:szCs w:val="11"/>
                <w:color w:val="auto"/>
              </w:rPr>
              <w:t>88.2%</w:t>
            </w:r>
          </w:p>
        </w:tc>
        <w:tc>
          <w:tcPr>
            <w:tcW w:w="8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89.9%</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91.1%</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92.3%</w:t>
            </w:r>
          </w:p>
        </w:tc>
        <w:tc>
          <w:tcPr>
            <w:tcW w:w="820" w:type="dxa"/>
            <w:vAlign w:val="bottom"/>
            <w:gridSpan w:val="6"/>
          </w:tcPr>
          <w:p>
            <w:pPr>
              <w:jc w:val="right"/>
              <w:ind w:right="20"/>
              <w:spacing w:after="0"/>
              <w:rPr>
                <w:sz w:val="20"/>
                <w:szCs w:val="20"/>
                <w:color w:val="auto"/>
              </w:rPr>
            </w:pPr>
            <w:r>
              <w:rPr>
                <w:rFonts w:ascii="Arial" w:cs="Arial" w:eastAsia="Arial" w:hAnsi="Arial"/>
                <w:sz w:val="11"/>
                <w:szCs w:val="11"/>
                <w:color w:val="auto"/>
              </w:rPr>
              <w:t>92.8%</w:t>
            </w: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93.5%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gridSpan w:val="5"/>
          </w:tcPr>
          <w:p>
            <w:pPr>
              <w:jc w:val="right"/>
              <w:spacing w:after="0"/>
              <w:rPr>
                <w:sz w:val="20"/>
                <w:szCs w:val="20"/>
                <w:color w:val="auto"/>
              </w:rPr>
            </w:pPr>
            <w:r>
              <w:rPr>
                <w:rFonts w:ascii="Arial" w:cs="Arial" w:eastAsia="Arial" w:hAnsi="Arial"/>
                <w:sz w:val="11"/>
                <w:szCs w:val="11"/>
                <w:color w:val="auto"/>
              </w:rPr>
              <w:t>94.1%</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2025).</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74E"/>
        </w:rPr>
        <w:t>Total Specialty Group</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0"/>
          </w:tcPr>
          <w:p>
            <w:pPr>
              <w:jc w:val="center"/>
              <w:ind w:right="40"/>
              <w:spacing w:after="0"/>
              <w:rPr>
                <w:sz w:val="20"/>
                <w:szCs w:val="20"/>
                <w:color w:val="auto"/>
              </w:rPr>
            </w:pPr>
            <w:r>
              <w:rPr>
                <w:rFonts w:ascii="Arial" w:cs="Arial" w:eastAsia="Arial" w:hAnsi="Arial"/>
                <w:sz w:val="11"/>
                <w:szCs w:val="11"/>
                <w:color w:val="auto"/>
              </w:rPr>
              <w:t>Incurred Claims and Allocated LAE, Net of Reinsurance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1"/>
                <w:szCs w:val="11"/>
                <w:color w:val="auto"/>
              </w:rPr>
              <w:t>As of December 31, 2025</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31"/>
          </w:tcPr>
          <w:p>
            <w:pPr>
              <w:jc w:val="center"/>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4"/>
              </w:rPr>
              <w:t>Total IBNR Plus Expected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880" w:type="dxa"/>
            <w:vAlign w:val="bottom"/>
            <w:gridSpan w:val="64"/>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w w:val="94"/>
              </w:rPr>
              <w:t>Cumulative Number</w:t>
            </w:r>
          </w:p>
        </w:tc>
        <w:tc>
          <w:tcPr>
            <w:tcW w:w="0" w:type="dxa"/>
            <w:vAlign w:val="bottom"/>
          </w:tcPr>
          <w:p>
            <w:pPr>
              <w:spacing w:after="0" w:line="20" w:lineRule="exact"/>
              <w:rPr>
                <w:sz w:val="1"/>
                <w:szCs w:val="1"/>
                <w:color w:val="auto"/>
              </w:rPr>
            </w:pPr>
          </w:p>
        </w:tc>
      </w:tr>
      <w:tr>
        <w:trPr>
          <w:trHeight w:val="106"/>
        </w:trPr>
        <w:tc>
          <w:tcPr>
            <w:tcW w:w="9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9"/>
              </w:rPr>
              <w:t>Accident Year</w:t>
            </w:r>
          </w:p>
        </w:tc>
        <w:tc>
          <w:tcPr>
            <w:tcW w:w="8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1"/>
                <w:szCs w:val="11"/>
                <w:color w:val="auto"/>
              </w:rPr>
              <w:t>2016</w:t>
            </w:r>
          </w:p>
        </w:tc>
        <w:tc>
          <w:tcPr>
            <w:tcW w:w="220" w:type="dxa"/>
            <w:vAlign w:val="bottom"/>
            <w:gridSpan w:val="4"/>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2017</w:t>
            </w:r>
          </w:p>
        </w:tc>
        <w:tc>
          <w:tcPr>
            <w:tcW w:w="240" w:type="dxa"/>
            <w:vAlign w:val="bottom"/>
            <w:gridSpan w:val="6"/>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2018</w:t>
            </w:r>
          </w:p>
        </w:tc>
        <w:tc>
          <w:tcPr>
            <w:tcW w:w="240" w:type="dxa"/>
            <w:vAlign w:val="bottom"/>
            <w:gridSpan w:val="5"/>
          </w:tcPr>
          <w:p>
            <w:pPr>
              <w:spacing w:after="0"/>
              <w:rPr>
                <w:sz w:val="9"/>
                <w:szCs w:val="9"/>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color w:val="auto"/>
              </w:rPr>
              <w:t>2019</w:t>
            </w:r>
          </w:p>
        </w:tc>
        <w:tc>
          <w:tcPr>
            <w:tcW w:w="200" w:type="dxa"/>
            <w:vAlign w:val="bottom"/>
            <w:gridSpan w:val="5"/>
          </w:tcPr>
          <w:p>
            <w:pPr>
              <w:spacing w:after="0"/>
              <w:rPr>
                <w:sz w:val="9"/>
                <w:szCs w:val="9"/>
                <w:color w:val="auto"/>
              </w:rPr>
            </w:pPr>
          </w:p>
        </w:tc>
        <w:tc>
          <w:tcPr>
            <w:tcW w:w="560" w:type="dxa"/>
            <w:vAlign w:val="bottom"/>
            <w:vMerge w:val="restart"/>
          </w:tcPr>
          <w:p>
            <w:pPr>
              <w:jc w:val="right"/>
              <w:ind w:right="123"/>
              <w:spacing w:after="0"/>
              <w:rPr>
                <w:sz w:val="20"/>
                <w:szCs w:val="20"/>
                <w:color w:val="auto"/>
              </w:rPr>
            </w:pPr>
            <w:r>
              <w:rPr>
                <w:rFonts w:ascii="Arial" w:cs="Arial" w:eastAsia="Arial" w:hAnsi="Arial"/>
                <w:sz w:val="11"/>
                <w:szCs w:val="11"/>
                <w:color w:val="auto"/>
              </w:rPr>
              <w:t>2020</w:t>
            </w:r>
          </w:p>
        </w:tc>
        <w:tc>
          <w:tcPr>
            <w:tcW w:w="260" w:type="dxa"/>
            <w:vAlign w:val="bottom"/>
            <w:gridSpan w:val="5"/>
          </w:tcPr>
          <w:p>
            <w:pPr>
              <w:spacing w:after="0"/>
              <w:rPr>
                <w:sz w:val="9"/>
                <w:szCs w:val="9"/>
                <w:color w:val="auto"/>
              </w:rPr>
            </w:pPr>
          </w:p>
        </w:tc>
        <w:tc>
          <w:tcPr>
            <w:tcW w:w="540" w:type="dxa"/>
            <w:vAlign w:val="bottom"/>
            <w:vMerge w:val="restart"/>
          </w:tcPr>
          <w:p>
            <w:pPr>
              <w:jc w:val="right"/>
              <w:ind w:right="123"/>
              <w:spacing w:after="0"/>
              <w:rPr>
                <w:sz w:val="20"/>
                <w:szCs w:val="20"/>
                <w:color w:val="auto"/>
              </w:rPr>
            </w:pPr>
            <w:r>
              <w:rPr>
                <w:rFonts w:ascii="Arial" w:cs="Arial" w:eastAsia="Arial" w:hAnsi="Arial"/>
                <w:sz w:val="11"/>
                <w:szCs w:val="11"/>
                <w:color w:val="auto"/>
              </w:rPr>
              <w:t>2021</w:t>
            </w:r>
          </w:p>
        </w:tc>
        <w:tc>
          <w:tcPr>
            <w:tcW w:w="280" w:type="dxa"/>
            <w:vAlign w:val="bottom"/>
            <w:gridSpan w:val="5"/>
          </w:tcPr>
          <w:p>
            <w:pPr>
              <w:spacing w:after="0"/>
              <w:rPr>
                <w:sz w:val="9"/>
                <w:szCs w:val="9"/>
                <w:color w:val="auto"/>
              </w:rPr>
            </w:pPr>
          </w:p>
        </w:tc>
        <w:tc>
          <w:tcPr>
            <w:tcW w:w="500" w:type="dxa"/>
            <w:vAlign w:val="bottom"/>
            <w:vMerge w:val="restart"/>
          </w:tcPr>
          <w:p>
            <w:pPr>
              <w:jc w:val="right"/>
              <w:ind w:right="123"/>
              <w:spacing w:after="0"/>
              <w:rPr>
                <w:sz w:val="20"/>
                <w:szCs w:val="20"/>
                <w:color w:val="auto"/>
              </w:rPr>
            </w:pPr>
            <w:r>
              <w:rPr>
                <w:rFonts w:ascii="Arial" w:cs="Arial" w:eastAsia="Arial" w:hAnsi="Arial"/>
                <w:sz w:val="11"/>
                <w:szCs w:val="11"/>
                <w:color w:val="auto"/>
              </w:rPr>
              <w:t>2022</w:t>
            </w:r>
          </w:p>
        </w:tc>
        <w:tc>
          <w:tcPr>
            <w:tcW w:w="240" w:type="dxa"/>
            <w:vAlign w:val="bottom"/>
            <w:gridSpan w:val="4"/>
          </w:tcPr>
          <w:p>
            <w:pPr>
              <w:spacing w:after="0"/>
              <w:rPr>
                <w:sz w:val="9"/>
                <w:szCs w:val="9"/>
                <w:color w:val="auto"/>
              </w:rPr>
            </w:pPr>
          </w:p>
        </w:tc>
        <w:tc>
          <w:tcPr>
            <w:tcW w:w="54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2023</w:t>
            </w:r>
          </w:p>
        </w:tc>
        <w:tc>
          <w:tcPr>
            <w:tcW w:w="260" w:type="dxa"/>
            <w:vAlign w:val="bottom"/>
            <w:gridSpan w:val="4"/>
          </w:tcPr>
          <w:p>
            <w:pPr>
              <w:spacing w:after="0"/>
              <w:rPr>
                <w:sz w:val="9"/>
                <w:szCs w:val="9"/>
                <w:color w:val="auto"/>
              </w:rPr>
            </w:pPr>
          </w:p>
        </w:tc>
        <w:tc>
          <w:tcPr>
            <w:tcW w:w="520" w:type="dxa"/>
            <w:vAlign w:val="bottom"/>
            <w:gridSpan w:val="2"/>
            <w:vMerge w:val="restart"/>
          </w:tcPr>
          <w:p>
            <w:pPr>
              <w:jc w:val="right"/>
              <w:ind w:right="123"/>
              <w:spacing w:after="0"/>
              <w:rPr>
                <w:sz w:val="20"/>
                <w:szCs w:val="20"/>
                <w:color w:val="auto"/>
              </w:rPr>
            </w:pPr>
            <w:r>
              <w:rPr>
                <w:rFonts w:ascii="Arial" w:cs="Arial" w:eastAsia="Arial" w:hAnsi="Arial"/>
                <w:sz w:val="11"/>
                <w:szCs w:val="11"/>
                <w:color w:val="auto"/>
              </w:rPr>
              <w:t>2024</w:t>
            </w:r>
          </w:p>
        </w:tc>
        <w:tc>
          <w:tcPr>
            <w:tcW w:w="320" w:type="dxa"/>
            <w:vAlign w:val="bottom"/>
            <w:gridSpan w:val="5"/>
          </w:tcPr>
          <w:p>
            <w:pPr>
              <w:spacing w:after="0"/>
              <w:rPr>
                <w:sz w:val="9"/>
                <w:szCs w:val="9"/>
                <w:color w:val="auto"/>
              </w:rPr>
            </w:pPr>
          </w:p>
        </w:tc>
        <w:tc>
          <w:tcPr>
            <w:tcW w:w="540" w:type="dxa"/>
            <w:vAlign w:val="bottom"/>
            <w:gridSpan w:val="2"/>
            <w:vMerge w:val="restart"/>
          </w:tcPr>
          <w:p>
            <w:pPr>
              <w:jc w:val="right"/>
              <w:ind w:right="163"/>
              <w:spacing w:after="0"/>
              <w:rPr>
                <w:sz w:val="20"/>
                <w:szCs w:val="20"/>
                <w:color w:val="auto"/>
              </w:rPr>
            </w:pPr>
            <w:r>
              <w:rPr>
                <w:rFonts w:ascii="Arial" w:cs="Arial" w:eastAsia="Arial" w:hAnsi="Arial"/>
                <w:sz w:val="11"/>
                <w:szCs w:val="11"/>
                <w:color w:val="auto"/>
              </w:rPr>
              <w:t>2025</w:t>
            </w:r>
          </w:p>
        </w:tc>
        <w:tc>
          <w:tcPr>
            <w:tcW w:w="1560" w:type="dxa"/>
            <w:vAlign w:val="bottom"/>
            <w:gridSpan w:val="7"/>
          </w:tcPr>
          <w:p>
            <w:pPr>
              <w:spacing w:after="0"/>
              <w:rPr>
                <w:sz w:val="20"/>
                <w:szCs w:val="20"/>
                <w:color w:val="auto"/>
              </w:rPr>
            </w:pPr>
            <w:r>
              <w:rPr>
                <w:rFonts w:ascii="Arial" w:cs="Arial" w:eastAsia="Arial" w:hAnsi="Arial"/>
                <w:sz w:val="11"/>
                <w:szCs w:val="11"/>
                <w:color w:val="auto"/>
              </w:rPr>
              <w:t>Development on Reported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8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Claims</w:t>
            </w:r>
          </w:p>
        </w:tc>
        <w:tc>
          <w:tcPr>
            <w:tcW w:w="80" w:type="dxa"/>
            <w:vAlign w:val="bottom"/>
            <w:tcBorders>
              <w:bottom w:val="single" w:sz="8" w:color="CCEEFF"/>
            </w:tcBorders>
            <w:gridSpan w:val="2"/>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of Reported Claims</w:t>
            </w: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rPr>
              <w:t>2,117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2,060</w:t>
            </w:r>
          </w:p>
        </w:tc>
        <w:tc>
          <w:tcPr>
            <w:tcW w:w="20" w:type="dxa"/>
            <w:vAlign w:val="bottom"/>
            <w:shd w:val="clear" w:color="auto" w:fill="CCEEFF"/>
          </w:tcPr>
          <w:p>
            <w:pPr>
              <w:spacing w:after="0"/>
              <w:rPr>
                <w:sz w:val="13"/>
                <w:szCs w:val="13"/>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2,034</w:t>
            </w:r>
          </w:p>
        </w:tc>
        <w:tc>
          <w:tcPr>
            <w:tcW w:w="60" w:type="dxa"/>
            <w:vAlign w:val="bottom"/>
            <w:shd w:val="clear" w:color="auto" w:fill="CCEEFF"/>
          </w:tcPr>
          <w:p>
            <w:pPr>
              <w:spacing w:after="0"/>
              <w:rPr>
                <w:sz w:val="13"/>
                <w:szCs w:val="13"/>
                <w:color w:val="auto"/>
              </w:rPr>
            </w:pPr>
          </w:p>
        </w:tc>
        <w:tc>
          <w:tcPr>
            <w:tcW w:w="20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2,004</w:t>
            </w:r>
          </w:p>
        </w:tc>
        <w:tc>
          <w:tcPr>
            <w:tcW w:w="40" w:type="dxa"/>
            <w:vAlign w:val="bottom"/>
            <w:shd w:val="clear" w:color="auto" w:fill="CCEEFF"/>
          </w:tcPr>
          <w:p>
            <w:pPr>
              <w:spacing w:after="0"/>
              <w:rPr>
                <w:sz w:val="13"/>
                <w:szCs w:val="13"/>
                <w:color w:val="auto"/>
              </w:rPr>
            </w:pPr>
          </w:p>
        </w:tc>
        <w:tc>
          <w:tcPr>
            <w:tcW w:w="24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1,986</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1,974</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1,970</w:t>
            </w:r>
          </w:p>
        </w:tc>
        <w:tc>
          <w:tcPr>
            <w:tcW w:w="4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1,978</w:t>
            </w:r>
          </w:p>
        </w:tc>
        <w:tc>
          <w:tcPr>
            <w:tcW w:w="340" w:type="dxa"/>
            <w:vAlign w:val="bottom"/>
            <w:gridSpan w:val="4"/>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center"/>
              <w:ind w:left="783"/>
              <w:spacing w:after="0"/>
              <w:rPr>
                <w:sz w:val="20"/>
                <w:szCs w:val="20"/>
                <w:color w:val="auto"/>
              </w:rPr>
            </w:pPr>
            <w:r>
              <w:rPr>
                <w:rFonts w:ascii="Arial" w:cs="Arial" w:eastAsia="Arial" w:hAnsi="Arial"/>
                <w:sz w:val="11"/>
                <w:szCs w:val="11"/>
                <w:color w:val="auto"/>
                <w:w w:val="97"/>
              </w:rPr>
              <w:t>119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223,533</w:t>
            </w:r>
          </w:p>
        </w:tc>
        <w:tc>
          <w:tcPr>
            <w:tcW w:w="0" w:type="dxa"/>
            <w:vAlign w:val="bottom"/>
          </w:tcPr>
          <w:p>
            <w:pPr>
              <w:spacing w:after="0"/>
              <w:rPr>
                <w:sz w:val="1"/>
                <w:szCs w:val="1"/>
                <w:color w:val="auto"/>
              </w:rPr>
            </w:pPr>
          </w:p>
        </w:tc>
      </w:tr>
      <w:tr>
        <w:trPr>
          <w:trHeight w:val="156"/>
        </w:trPr>
        <w:tc>
          <w:tcPr>
            <w:tcW w:w="1900" w:type="dxa"/>
            <w:vAlign w:val="bottom"/>
            <w:gridSpan w:val="10"/>
          </w:tcPr>
          <w:p>
            <w:pPr>
              <w:jc w:val="center"/>
              <w:ind w:right="980"/>
              <w:spacing w:after="0"/>
              <w:rPr>
                <w:sz w:val="20"/>
                <w:szCs w:val="20"/>
                <w:color w:val="auto"/>
              </w:rPr>
            </w:pPr>
            <w:r>
              <w:rPr>
                <w:rFonts w:ascii="Arial" w:cs="Arial" w:eastAsia="Arial" w:hAnsi="Arial"/>
                <w:sz w:val="11"/>
                <w:szCs w:val="11"/>
                <w:color w:val="auto"/>
                <w:w w:val="97"/>
              </w:rPr>
              <w:t>2017</w:t>
            </w:r>
          </w:p>
        </w:tc>
        <w:tc>
          <w:tcPr>
            <w:tcW w:w="780" w:type="dxa"/>
            <w:vAlign w:val="bottom"/>
            <w:gridSpan w:val="7"/>
          </w:tcPr>
          <w:p>
            <w:pPr>
              <w:jc w:val="right"/>
              <w:ind w:right="260"/>
              <w:spacing w:after="0"/>
              <w:rPr>
                <w:sz w:val="20"/>
                <w:szCs w:val="20"/>
                <w:color w:val="auto"/>
              </w:rPr>
            </w:pPr>
            <w:r>
              <w:rPr>
                <w:rFonts w:ascii="Arial" w:cs="Arial" w:eastAsia="Arial" w:hAnsi="Arial"/>
                <w:sz w:val="11"/>
                <w:szCs w:val="11"/>
                <w:color w:val="auto"/>
              </w:rPr>
              <w:t>2,375</w:t>
            </w:r>
          </w:p>
        </w:tc>
        <w:tc>
          <w:tcPr>
            <w:tcW w:w="780" w:type="dxa"/>
            <w:vAlign w:val="bottom"/>
            <w:gridSpan w:val="6"/>
          </w:tcPr>
          <w:p>
            <w:pPr>
              <w:jc w:val="right"/>
              <w:ind w:right="280"/>
              <w:spacing w:after="0"/>
              <w:rPr>
                <w:sz w:val="20"/>
                <w:szCs w:val="20"/>
                <w:color w:val="auto"/>
              </w:rPr>
            </w:pPr>
            <w:r>
              <w:rPr>
                <w:rFonts w:ascii="Arial" w:cs="Arial" w:eastAsia="Arial" w:hAnsi="Arial"/>
                <w:sz w:val="11"/>
                <w:szCs w:val="11"/>
                <w:color w:val="auto"/>
              </w:rPr>
              <w:t>2,348</w:t>
            </w:r>
          </w:p>
        </w:tc>
        <w:tc>
          <w:tcPr>
            <w:tcW w:w="740" w:type="dxa"/>
            <w:vAlign w:val="bottom"/>
            <w:gridSpan w:val="6"/>
          </w:tcPr>
          <w:p>
            <w:pPr>
              <w:jc w:val="right"/>
              <w:ind w:right="163"/>
              <w:spacing w:after="0"/>
              <w:rPr>
                <w:sz w:val="20"/>
                <w:szCs w:val="20"/>
                <w:color w:val="auto"/>
              </w:rPr>
            </w:pPr>
            <w:r>
              <w:rPr>
                <w:rFonts w:ascii="Arial" w:cs="Arial" w:eastAsia="Arial" w:hAnsi="Arial"/>
                <w:sz w:val="11"/>
                <w:szCs w:val="11"/>
                <w:color w:val="auto"/>
              </w:rPr>
              <w:t>2,329</w:t>
            </w:r>
          </w:p>
        </w:tc>
        <w:tc>
          <w:tcPr>
            <w:tcW w:w="820" w:type="dxa"/>
            <w:vAlign w:val="bottom"/>
            <w:gridSpan w:val="6"/>
          </w:tcPr>
          <w:p>
            <w:pPr>
              <w:jc w:val="right"/>
              <w:ind w:right="260"/>
              <w:spacing w:after="0"/>
              <w:rPr>
                <w:sz w:val="20"/>
                <w:szCs w:val="20"/>
                <w:color w:val="auto"/>
              </w:rPr>
            </w:pPr>
            <w:r>
              <w:rPr>
                <w:rFonts w:ascii="Arial" w:cs="Arial" w:eastAsia="Arial" w:hAnsi="Arial"/>
                <w:sz w:val="11"/>
                <w:szCs w:val="11"/>
                <w:color w:val="auto"/>
              </w:rPr>
              <w:t>2,301</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2,269</w:t>
            </w:r>
          </w:p>
        </w:tc>
        <w:tc>
          <w:tcPr>
            <w:tcW w:w="740" w:type="dxa"/>
            <w:vAlign w:val="bottom"/>
            <w:gridSpan w:val="5"/>
          </w:tcPr>
          <w:p>
            <w:pPr>
              <w:ind w:left="200"/>
              <w:spacing w:after="0"/>
              <w:rPr>
                <w:sz w:val="20"/>
                <w:szCs w:val="20"/>
                <w:color w:val="auto"/>
              </w:rPr>
            </w:pPr>
            <w:r>
              <w:rPr>
                <w:rFonts w:ascii="Arial" w:cs="Arial" w:eastAsia="Arial" w:hAnsi="Arial"/>
                <w:sz w:val="11"/>
                <w:szCs w:val="11"/>
                <w:color w:val="auto"/>
              </w:rPr>
              <w:t>2,256</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2,266</w:t>
            </w:r>
          </w:p>
        </w:tc>
        <w:tc>
          <w:tcPr>
            <w:tcW w:w="840" w:type="dxa"/>
            <w:vAlign w:val="bottom"/>
            <w:gridSpan w:val="7"/>
          </w:tcPr>
          <w:p>
            <w:pPr>
              <w:jc w:val="right"/>
              <w:ind w:right="263"/>
              <w:spacing w:after="0"/>
              <w:rPr>
                <w:sz w:val="20"/>
                <w:szCs w:val="20"/>
                <w:color w:val="auto"/>
              </w:rPr>
            </w:pPr>
            <w:r>
              <w:rPr>
                <w:rFonts w:ascii="Arial" w:cs="Arial" w:eastAsia="Arial" w:hAnsi="Arial"/>
                <w:sz w:val="11"/>
                <w:szCs w:val="11"/>
                <w:color w:val="auto"/>
              </w:rPr>
              <w:t>2,283</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2,293</w:t>
            </w:r>
          </w:p>
        </w:tc>
        <w:tc>
          <w:tcPr>
            <w:tcW w:w="1220" w:type="dxa"/>
            <w:vAlign w:val="bottom"/>
            <w:gridSpan w:val="3"/>
          </w:tcPr>
          <w:p>
            <w:pPr>
              <w:jc w:val="center"/>
              <w:ind w:left="703"/>
              <w:spacing w:after="0"/>
              <w:rPr>
                <w:sz w:val="20"/>
                <w:szCs w:val="20"/>
                <w:color w:val="auto"/>
              </w:rPr>
            </w:pPr>
            <w:r>
              <w:rPr>
                <w:rFonts w:ascii="Arial" w:cs="Arial" w:eastAsia="Arial" w:hAnsi="Arial"/>
                <w:sz w:val="11"/>
                <w:szCs w:val="11"/>
                <w:color w:val="auto"/>
                <w:w w:val="97"/>
              </w:rPr>
              <w:t>143</w:t>
            </w:r>
          </w:p>
        </w:tc>
        <w:tc>
          <w:tcPr>
            <w:tcW w:w="960" w:type="dxa"/>
            <w:vAlign w:val="bottom"/>
          </w:tcPr>
          <w:p>
            <w:pPr>
              <w:jc w:val="right"/>
              <w:spacing w:after="0"/>
              <w:rPr>
                <w:sz w:val="20"/>
                <w:szCs w:val="20"/>
                <w:color w:val="auto"/>
              </w:rPr>
            </w:pPr>
            <w:r>
              <w:rPr>
                <w:rFonts w:ascii="Arial" w:cs="Arial" w:eastAsia="Arial" w:hAnsi="Arial"/>
                <w:sz w:val="11"/>
                <w:szCs w:val="11"/>
                <w:color w:val="auto"/>
              </w:rPr>
              <w:t>247,498</w:t>
            </w:r>
          </w:p>
        </w:tc>
        <w:tc>
          <w:tcPr>
            <w:tcW w:w="0" w:type="dxa"/>
            <w:vAlign w:val="bottom"/>
          </w:tcPr>
          <w:p>
            <w:pPr>
              <w:spacing w:after="0"/>
              <w:rPr>
                <w:sz w:val="1"/>
                <w:szCs w:val="1"/>
                <w:color w:val="auto"/>
              </w:rPr>
            </w:pPr>
          </w:p>
        </w:tc>
      </w:tr>
      <w:tr>
        <w:trPr>
          <w:trHeight w:val="162"/>
        </w:trPr>
        <w:tc>
          <w:tcPr>
            <w:tcW w:w="2680" w:type="dxa"/>
            <w:vAlign w:val="bottom"/>
            <w:gridSpan w:val="17"/>
            <w:shd w:val="clear" w:color="auto" w:fill="CCEEFF"/>
          </w:tcPr>
          <w:p>
            <w:pPr>
              <w:jc w:val="center"/>
              <w:ind w:right="1760"/>
              <w:spacing w:after="0"/>
              <w:rPr>
                <w:sz w:val="20"/>
                <w:szCs w:val="20"/>
                <w:color w:val="auto"/>
              </w:rPr>
            </w:pPr>
            <w:r>
              <w:rPr>
                <w:rFonts w:ascii="Arial" w:cs="Arial" w:eastAsia="Arial" w:hAnsi="Arial"/>
                <w:sz w:val="11"/>
                <w:szCs w:val="11"/>
                <w:color w:val="auto"/>
                <w:w w:val="97"/>
              </w:rPr>
              <w:t>2018</w:t>
            </w:r>
          </w:p>
        </w:tc>
        <w:tc>
          <w:tcPr>
            <w:tcW w:w="780" w:type="dxa"/>
            <w:vAlign w:val="bottom"/>
            <w:gridSpan w:val="6"/>
            <w:shd w:val="clear" w:color="auto" w:fill="CCEEFF"/>
          </w:tcPr>
          <w:p>
            <w:pPr>
              <w:jc w:val="right"/>
              <w:ind w:right="280"/>
              <w:spacing w:after="0"/>
              <w:rPr>
                <w:sz w:val="20"/>
                <w:szCs w:val="20"/>
                <w:color w:val="auto"/>
              </w:rPr>
            </w:pPr>
            <w:r>
              <w:rPr>
                <w:rFonts w:ascii="Arial" w:cs="Arial" w:eastAsia="Arial" w:hAnsi="Arial"/>
                <w:sz w:val="11"/>
                <w:szCs w:val="11"/>
                <w:color w:val="auto"/>
              </w:rPr>
              <w:t>2,507</w:t>
            </w:r>
          </w:p>
        </w:tc>
        <w:tc>
          <w:tcPr>
            <w:tcW w:w="740" w:type="dxa"/>
            <w:vAlign w:val="bottom"/>
            <w:gridSpan w:val="6"/>
            <w:shd w:val="clear" w:color="auto" w:fill="CCEEFF"/>
          </w:tcPr>
          <w:p>
            <w:pPr>
              <w:jc w:val="right"/>
              <w:ind w:right="163"/>
              <w:spacing w:after="0"/>
              <w:rPr>
                <w:sz w:val="20"/>
                <w:szCs w:val="20"/>
                <w:color w:val="auto"/>
              </w:rPr>
            </w:pPr>
            <w:r>
              <w:rPr>
                <w:rFonts w:ascii="Arial" w:cs="Arial" w:eastAsia="Arial" w:hAnsi="Arial"/>
                <w:sz w:val="11"/>
                <w:szCs w:val="11"/>
                <w:color w:val="auto"/>
              </w:rPr>
              <w:t>2,516</w:t>
            </w:r>
          </w:p>
        </w:tc>
        <w:tc>
          <w:tcPr>
            <w:tcW w:w="82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2,499</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2,439</w:t>
            </w:r>
          </w:p>
        </w:tc>
        <w:tc>
          <w:tcPr>
            <w:tcW w:w="740" w:type="dxa"/>
            <w:vAlign w:val="bottom"/>
            <w:gridSpan w:val="5"/>
            <w:shd w:val="clear" w:color="auto" w:fill="CCEEFF"/>
          </w:tcPr>
          <w:p>
            <w:pPr>
              <w:ind w:left="200"/>
              <w:spacing w:after="0"/>
              <w:rPr>
                <w:sz w:val="20"/>
                <w:szCs w:val="20"/>
                <w:color w:val="auto"/>
              </w:rPr>
            </w:pPr>
            <w:r>
              <w:rPr>
                <w:rFonts w:ascii="Arial" w:cs="Arial" w:eastAsia="Arial" w:hAnsi="Arial"/>
                <w:sz w:val="11"/>
                <w:szCs w:val="11"/>
                <w:color w:val="auto"/>
              </w:rPr>
              <w:t>2,452</w:t>
            </w:r>
          </w:p>
        </w:tc>
        <w:tc>
          <w:tcPr>
            <w:tcW w:w="80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2,449</w:t>
            </w:r>
          </w:p>
        </w:tc>
        <w:tc>
          <w:tcPr>
            <w:tcW w:w="840" w:type="dxa"/>
            <w:vAlign w:val="bottom"/>
            <w:gridSpan w:val="7"/>
            <w:shd w:val="clear" w:color="auto" w:fill="CCEEFF"/>
          </w:tcPr>
          <w:p>
            <w:pPr>
              <w:jc w:val="right"/>
              <w:ind w:right="263"/>
              <w:spacing w:after="0"/>
              <w:rPr>
                <w:sz w:val="20"/>
                <w:szCs w:val="20"/>
                <w:color w:val="auto"/>
              </w:rPr>
            </w:pPr>
            <w:r>
              <w:rPr>
                <w:rFonts w:ascii="Arial" w:cs="Arial" w:eastAsia="Arial" w:hAnsi="Arial"/>
                <w:sz w:val="11"/>
                <w:szCs w:val="11"/>
                <w:color w:val="auto"/>
              </w:rPr>
              <w:t>2,451</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2,451</w:t>
            </w:r>
          </w:p>
        </w:tc>
        <w:tc>
          <w:tcPr>
            <w:tcW w:w="1220" w:type="dxa"/>
            <w:vAlign w:val="bottom"/>
            <w:gridSpan w:val="3"/>
            <w:shd w:val="clear" w:color="auto" w:fill="CCEEFF"/>
          </w:tcPr>
          <w:p>
            <w:pPr>
              <w:jc w:val="center"/>
              <w:ind w:left="703"/>
              <w:spacing w:after="0"/>
              <w:rPr>
                <w:sz w:val="20"/>
                <w:szCs w:val="20"/>
                <w:color w:val="auto"/>
              </w:rPr>
            </w:pPr>
            <w:r>
              <w:rPr>
                <w:rFonts w:ascii="Arial" w:cs="Arial" w:eastAsia="Arial" w:hAnsi="Arial"/>
                <w:sz w:val="11"/>
                <w:szCs w:val="11"/>
                <w:color w:val="auto"/>
                <w:w w:val="97"/>
              </w:rPr>
              <w:t>174</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237,429</w:t>
            </w:r>
          </w:p>
        </w:tc>
        <w:tc>
          <w:tcPr>
            <w:tcW w:w="0" w:type="dxa"/>
            <w:vAlign w:val="bottom"/>
          </w:tcPr>
          <w:p>
            <w:pPr>
              <w:spacing w:after="0"/>
              <w:rPr>
                <w:sz w:val="1"/>
                <w:szCs w:val="1"/>
                <w:color w:val="auto"/>
              </w:rPr>
            </w:pPr>
          </w:p>
        </w:tc>
      </w:tr>
      <w:tr>
        <w:trPr>
          <w:trHeight w:val="156"/>
        </w:trPr>
        <w:tc>
          <w:tcPr>
            <w:tcW w:w="3460" w:type="dxa"/>
            <w:vAlign w:val="bottom"/>
            <w:gridSpan w:val="23"/>
          </w:tcPr>
          <w:p>
            <w:pPr>
              <w:jc w:val="center"/>
              <w:ind w:right="2540"/>
              <w:spacing w:after="0"/>
              <w:rPr>
                <w:sz w:val="20"/>
                <w:szCs w:val="20"/>
                <w:color w:val="auto"/>
              </w:rPr>
            </w:pPr>
            <w:r>
              <w:rPr>
                <w:rFonts w:ascii="Arial" w:cs="Arial" w:eastAsia="Arial" w:hAnsi="Arial"/>
                <w:sz w:val="11"/>
                <w:szCs w:val="11"/>
                <w:color w:val="auto"/>
                <w:w w:val="97"/>
              </w:rPr>
              <w:t>2019</w:t>
            </w:r>
          </w:p>
        </w:tc>
        <w:tc>
          <w:tcPr>
            <w:tcW w:w="740" w:type="dxa"/>
            <w:vAlign w:val="bottom"/>
            <w:gridSpan w:val="6"/>
          </w:tcPr>
          <w:p>
            <w:pPr>
              <w:jc w:val="right"/>
              <w:ind w:right="163"/>
              <w:spacing w:after="0"/>
              <w:rPr>
                <w:sz w:val="20"/>
                <w:szCs w:val="20"/>
                <w:color w:val="auto"/>
              </w:rPr>
            </w:pPr>
            <w:r>
              <w:rPr>
                <w:rFonts w:ascii="Arial" w:cs="Arial" w:eastAsia="Arial" w:hAnsi="Arial"/>
                <w:sz w:val="11"/>
                <w:szCs w:val="11"/>
                <w:color w:val="auto"/>
              </w:rPr>
              <w:t>2,721</w:t>
            </w:r>
          </w:p>
        </w:tc>
        <w:tc>
          <w:tcPr>
            <w:tcW w:w="820" w:type="dxa"/>
            <w:vAlign w:val="bottom"/>
            <w:gridSpan w:val="6"/>
          </w:tcPr>
          <w:p>
            <w:pPr>
              <w:jc w:val="right"/>
              <w:ind w:right="260"/>
              <w:spacing w:after="0"/>
              <w:rPr>
                <w:sz w:val="20"/>
                <w:szCs w:val="20"/>
                <w:color w:val="auto"/>
              </w:rPr>
            </w:pPr>
            <w:r>
              <w:rPr>
                <w:rFonts w:ascii="Arial" w:cs="Arial" w:eastAsia="Arial" w:hAnsi="Arial"/>
                <w:sz w:val="11"/>
                <w:szCs w:val="11"/>
                <w:color w:val="auto"/>
              </w:rPr>
              <w:t>2,674</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2,672</w:t>
            </w:r>
          </w:p>
        </w:tc>
        <w:tc>
          <w:tcPr>
            <w:tcW w:w="740" w:type="dxa"/>
            <w:vAlign w:val="bottom"/>
            <w:gridSpan w:val="5"/>
          </w:tcPr>
          <w:p>
            <w:pPr>
              <w:ind w:left="200"/>
              <w:spacing w:after="0"/>
              <w:rPr>
                <w:sz w:val="20"/>
                <w:szCs w:val="20"/>
                <w:color w:val="auto"/>
              </w:rPr>
            </w:pPr>
            <w:r>
              <w:rPr>
                <w:rFonts w:ascii="Arial" w:cs="Arial" w:eastAsia="Arial" w:hAnsi="Arial"/>
                <w:sz w:val="11"/>
                <w:szCs w:val="11"/>
                <w:color w:val="auto"/>
              </w:rPr>
              <w:t>2,632</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2,642</w:t>
            </w:r>
          </w:p>
        </w:tc>
        <w:tc>
          <w:tcPr>
            <w:tcW w:w="840" w:type="dxa"/>
            <w:vAlign w:val="bottom"/>
            <w:gridSpan w:val="7"/>
          </w:tcPr>
          <w:p>
            <w:pPr>
              <w:jc w:val="right"/>
              <w:ind w:right="263"/>
              <w:spacing w:after="0"/>
              <w:rPr>
                <w:sz w:val="20"/>
                <w:szCs w:val="20"/>
                <w:color w:val="auto"/>
              </w:rPr>
            </w:pPr>
            <w:r>
              <w:rPr>
                <w:rFonts w:ascii="Arial" w:cs="Arial" w:eastAsia="Arial" w:hAnsi="Arial"/>
                <w:sz w:val="11"/>
                <w:szCs w:val="11"/>
                <w:color w:val="auto"/>
              </w:rPr>
              <w:t>2,657</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2,644</w:t>
            </w:r>
          </w:p>
        </w:tc>
        <w:tc>
          <w:tcPr>
            <w:tcW w:w="1220" w:type="dxa"/>
            <w:vAlign w:val="bottom"/>
            <w:gridSpan w:val="3"/>
          </w:tcPr>
          <w:p>
            <w:pPr>
              <w:jc w:val="center"/>
              <w:ind w:left="703"/>
              <w:spacing w:after="0"/>
              <w:rPr>
                <w:sz w:val="20"/>
                <w:szCs w:val="20"/>
                <w:color w:val="auto"/>
              </w:rPr>
            </w:pPr>
            <w:r>
              <w:rPr>
                <w:rFonts w:ascii="Arial" w:cs="Arial" w:eastAsia="Arial" w:hAnsi="Arial"/>
                <w:sz w:val="11"/>
                <w:szCs w:val="11"/>
                <w:color w:val="auto"/>
                <w:w w:val="97"/>
              </w:rPr>
              <w:t>199</w:t>
            </w:r>
          </w:p>
        </w:tc>
        <w:tc>
          <w:tcPr>
            <w:tcW w:w="960" w:type="dxa"/>
            <w:vAlign w:val="bottom"/>
          </w:tcPr>
          <w:p>
            <w:pPr>
              <w:jc w:val="right"/>
              <w:spacing w:after="0"/>
              <w:rPr>
                <w:sz w:val="20"/>
                <w:szCs w:val="20"/>
                <w:color w:val="auto"/>
              </w:rPr>
            </w:pPr>
            <w:r>
              <w:rPr>
                <w:rFonts w:ascii="Arial" w:cs="Arial" w:eastAsia="Arial" w:hAnsi="Arial"/>
                <w:sz w:val="11"/>
                <w:szCs w:val="11"/>
                <w:color w:val="auto"/>
              </w:rPr>
              <w:t>256,682</w:t>
            </w:r>
          </w:p>
        </w:tc>
        <w:tc>
          <w:tcPr>
            <w:tcW w:w="0" w:type="dxa"/>
            <w:vAlign w:val="bottom"/>
          </w:tcPr>
          <w:p>
            <w:pPr>
              <w:spacing w:after="0"/>
              <w:rPr>
                <w:sz w:val="1"/>
                <w:szCs w:val="1"/>
                <w:color w:val="auto"/>
              </w:rPr>
            </w:pPr>
          </w:p>
        </w:tc>
      </w:tr>
      <w:tr>
        <w:trPr>
          <w:trHeight w:val="162"/>
        </w:trPr>
        <w:tc>
          <w:tcPr>
            <w:tcW w:w="4200" w:type="dxa"/>
            <w:vAlign w:val="bottom"/>
            <w:gridSpan w:val="29"/>
            <w:shd w:val="clear" w:color="auto" w:fill="CCEEFF"/>
          </w:tcPr>
          <w:p>
            <w:pPr>
              <w:jc w:val="center"/>
              <w:ind w:right="3223"/>
              <w:spacing w:after="0"/>
              <w:rPr>
                <w:sz w:val="20"/>
                <w:szCs w:val="20"/>
                <w:color w:val="auto"/>
              </w:rPr>
            </w:pPr>
            <w:r>
              <w:rPr>
                <w:rFonts w:ascii="Arial" w:cs="Arial" w:eastAsia="Arial" w:hAnsi="Arial"/>
                <w:sz w:val="11"/>
                <w:szCs w:val="11"/>
                <w:color w:val="auto"/>
                <w:w w:val="97"/>
              </w:rPr>
              <w:t>2020</w:t>
            </w:r>
          </w:p>
        </w:tc>
        <w:tc>
          <w:tcPr>
            <w:tcW w:w="82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2,748</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2,635</w:t>
            </w:r>
          </w:p>
        </w:tc>
        <w:tc>
          <w:tcPr>
            <w:tcW w:w="740" w:type="dxa"/>
            <w:vAlign w:val="bottom"/>
            <w:gridSpan w:val="5"/>
            <w:shd w:val="clear" w:color="auto" w:fill="CCEEFF"/>
          </w:tcPr>
          <w:p>
            <w:pPr>
              <w:ind w:left="200"/>
              <w:spacing w:after="0"/>
              <w:rPr>
                <w:sz w:val="20"/>
                <w:szCs w:val="20"/>
                <w:color w:val="auto"/>
              </w:rPr>
            </w:pPr>
            <w:r>
              <w:rPr>
                <w:rFonts w:ascii="Arial" w:cs="Arial" w:eastAsia="Arial" w:hAnsi="Arial"/>
                <w:sz w:val="11"/>
                <w:szCs w:val="11"/>
                <w:color w:val="auto"/>
              </w:rPr>
              <w:t>2,546</w:t>
            </w:r>
          </w:p>
        </w:tc>
        <w:tc>
          <w:tcPr>
            <w:tcW w:w="80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2,500</w:t>
            </w:r>
          </w:p>
        </w:tc>
        <w:tc>
          <w:tcPr>
            <w:tcW w:w="840" w:type="dxa"/>
            <w:vAlign w:val="bottom"/>
            <w:gridSpan w:val="7"/>
            <w:shd w:val="clear" w:color="auto" w:fill="CCEEFF"/>
          </w:tcPr>
          <w:p>
            <w:pPr>
              <w:jc w:val="right"/>
              <w:ind w:right="263"/>
              <w:spacing w:after="0"/>
              <w:rPr>
                <w:sz w:val="20"/>
                <w:szCs w:val="20"/>
                <w:color w:val="auto"/>
              </w:rPr>
            </w:pPr>
            <w:r>
              <w:rPr>
                <w:rFonts w:ascii="Arial" w:cs="Arial" w:eastAsia="Arial" w:hAnsi="Arial"/>
                <w:sz w:val="11"/>
                <w:szCs w:val="11"/>
                <w:color w:val="auto"/>
              </w:rPr>
              <w:t>2,512</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2,519</w:t>
            </w:r>
          </w:p>
        </w:tc>
        <w:tc>
          <w:tcPr>
            <w:tcW w:w="1220" w:type="dxa"/>
            <w:vAlign w:val="bottom"/>
            <w:gridSpan w:val="3"/>
            <w:shd w:val="clear" w:color="auto" w:fill="CCEEFF"/>
          </w:tcPr>
          <w:p>
            <w:pPr>
              <w:jc w:val="center"/>
              <w:ind w:left="703"/>
              <w:spacing w:after="0"/>
              <w:rPr>
                <w:sz w:val="20"/>
                <w:szCs w:val="20"/>
                <w:color w:val="auto"/>
              </w:rPr>
            </w:pPr>
            <w:r>
              <w:rPr>
                <w:rFonts w:ascii="Arial" w:cs="Arial" w:eastAsia="Arial" w:hAnsi="Arial"/>
                <w:sz w:val="11"/>
                <w:szCs w:val="11"/>
                <w:color w:val="auto"/>
                <w:w w:val="97"/>
              </w:rPr>
              <w:t>271</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207,122</w:t>
            </w:r>
          </w:p>
        </w:tc>
        <w:tc>
          <w:tcPr>
            <w:tcW w:w="0" w:type="dxa"/>
            <w:vAlign w:val="bottom"/>
          </w:tcPr>
          <w:p>
            <w:pPr>
              <w:spacing w:after="0"/>
              <w:rPr>
                <w:sz w:val="1"/>
                <w:szCs w:val="1"/>
                <w:color w:val="auto"/>
              </w:rPr>
            </w:pPr>
          </w:p>
        </w:tc>
      </w:tr>
      <w:tr>
        <w:trPr>
          <w:trHeight w:val="156"/>
        </w:trPr>
        <w:tc>
          <w:tcPr>
            <w:tcW w:w="5020" w:type="dxa"/>
            <w:vAlign w:val="bottom"/>
            <w:gridSpan w:val="35"/>
          </w:tcPr>
          <w:p>
            <w:pPr>
              <w:jc w:val="center"/>
              <w:ind w:right="4100"/>
              <w:spacing w:after="0"/>
              <w:rPr>
                <w:sz w:val="20"/>
                <w:szCs w:val="20"/>
                <w:color w:val="auto"/>
              </w:rPr>
            </w:pPr>
            <w:r>
              <w:rPr>
                <w:rFonts w:ascii="Arial" w:cs="Arial" w:eastAsia="Arial" w:hAnsi="Arial"/>
                <w:sz w:val="11"/>
                <w:szCs w:val="11"/>
                <w:color w:val="auto"/>
                <w:w w:val="97"/>
              </w:rPr>
              <w:t>2021</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2,861</w:t>
            </w:r>
          </w:p>
        </w:tc>
        <w:tc>
          <w:tcPr>
            <w:tcW w:w="740" w:type="dxa"/>
            <w:vAlign w:val="bottom"/>
            <w:gridSpan w:val="5"/>
          </w:tcPr>
          <w:p>
            <w:pPr>
              <w:ind w:left="200"/>
              <w:spacing w:after="0"/>
              <w:rPr>
                <w:sz w:val="20"/>
                <w:szCs w:val="20"/>
                <w:color w:val="auto"/>
              </w:rPr>
            </w:pPr>
            <w:r>
              <w:rPr>
                <w:rFonts w:ascii="Arial" w:cs="Arial" w:eastAsia="Arial" w:hAnsi="Arial"/>
                <w:sz w:val="11"/>
                <w:szCs w:val="11"/>
                <w:color w:val="auto"/>
              </w:rPr>
              <w:t>2,754</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2,689</w:t>
            </w:r>
          </w:p>
        </w:tc>
        <w:tc>
          <w:tcPr>
            <w:tcW w:w="840" w:type="dxa"/>
            <w:vAlign w:val="bottom"/>
            <w:gridSpan w:val="7"/>
          </w:tcPr>
          <w:p>
            <w:pPr>
              <w:jc w:val="right"/>
              <w:ind w:right="263"/>
              <w:spacing w:after="0"/>
              <w:rPr>
                <w:sz w:val="20"/>
                <w:szCs w:val="20"/>
                <w:color w:val="auto"/>
              </w:rPr>
            </w:pPr>
            <w:r>
              <w:rPr>
                <w:rFonts w:ascii="Arial" w:cs="Arial" w:eastAsia="Arial" w:hAnsi="Arial"/>
                <w:sz w:val="11"/>
                <w:szCs w:val="11"/>
                <w:color w:val="auto"/>
              </w:rPr>
              <w:t>2,669</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2,632</w:t>
            </w:r>
          </w:p>
        </w:tc>
        <w:tc>
          <w:tcPr>
            <w:tcW w:w="1220" w:type="dxa"/>
            <w:vAlign w:val="bottom"/>
            <w:gridSpan w:val="3"/>
          </w:tcPr>
          <w:p>
            <w:pPr>
              <w:jc w:val="center"/>
              <w:ind w:left="703"/>
              <w:spacing w:after="0"/>
              <w:rPr>
                <w:sz w:val="20"/>
                <w:szCs w:val="20"/>
                <w:color w:val="auto"/>
              </w:rPr>
            </w:pPr>
            <w:r>
              <w:rPr>
                <w:rFonts w:ascii="Arial" w:cs="Arial" w:eastAsia="Arial" w:hAnsi="Arial"/>
                <w:sz w:val="11"/>
                <w:szCs w:val="11"/>
                <w:color w:val="auto"/>
                <w:w w:val="97"/>
              </w:rPr>
              <w:t>368</w:t>
            </w:r>
          </w:p>
        </w:tc>
        <w:tc>
          <w:tcPr>
            <w:tcW w:w="960" w:type="dxa"/>
            <w:vAlign w:val="bottom"/>
          </w:tcPr>
          <w:p>
            <w:pPr>
              <w:jc w:val="right"/>
              <w:spacing w:after="0"/>
              <w:rPr>
                <w:sz w:val="20"/>
                <w:szCs w:val="20"/>
                <w:color w:val="auto"/>
              </w:rPr>
            </w:pPr>
            <w:r>
              <w:rPr>
                <w:rFonts w:ascii="Arial" w:cs="Arial" w:eastAsia="Arial" w:hAnsi="Arial"/>
                <w:sz w:val="11"/>
                <w:szCs w:val="11"/>
                <w:color w:val="auto"/>
              </w:rPr>
              <w:t>208,857</w:t>
            </w:r>
          </w:p>
        </w:tc>
        <w:tc>
          <w:tcPr>
            <w:tcW w:w="0" w:type="dxa"/>
            <w:vAlign w:val="bottom"/>
          </w:tcPr>
          <w:p>
            <w:pPr>
              <w:spacing w:after="0"/>
              <w:rPr>
                <w:sz w:val="1"/>
                <w:szCs w:val="1"/>
                <w:color w:val="auto"/>
              </w:rPr>
            </w:pPr>
          </w:p>
        </w:tc>
      </w:tr>
      <w:tr>
        <w:trPr>
          <w:trHeight w:val="162"/>
        </w:trPr>
        <w:tc>
          <w:tcPr>
            <w:tcW w:w="5840" w:type="dxa"/>
            <w:vAlign w:val="bottom"/>
            <w:gridSpan w:val="41"/>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2022</w:t>
            </w:r>
          </w:p>
        </w:tc>
        <w:tc>
          <w:tcPr>
            <w:tcW w:w="740" w:type="dxa"/>
            <w:vAlign w:val="bottom"/>
            <w:gridSpan w:val="5"/>
            <w:shd w:val="clear" w:color="auto" w:fill="CCEEFF"/>
          </w:tcPr>
          <w:p>
            <w:pPr>
              <w:ind w:left="200"/>
              <w:spacing w:after="0"/>
              <w:rPr>
                <w:sz w:val="20"/>
                <w:szCs w:val="20"/>
                <w:color w:val="auto"/>
              </w:rPr>
            </w:pPr>
            <w:r>
              <w:rPr>
                <w:rFonts w:ascii="Arial" w:cs="Arial" w:eastAsia="Arial" w:hAnsi="Arial"/>
                <w:sz w:val="11"/>
                <w:szCs w:val="11"/>
                <w:color w:val="auto"/>
              </w:rPr>
              <w:t>3,270</w:t>
            </w:r>
          </w:p>
        </w:tc>
        <w:tc>
          <w:tcPr>
            <w:tcW w:w="800" w:type="dxa"/>
            <w:vAlign w:val="bottom"/>
            <w:gridSpan w:val="6"/>
            <w:shd w:val="clear" w:color="auto" w:fill="CCEEFF"/>
          </w:tcPr>
          <w:p>
            <w:pPr>
              <w:jc w:val="right"/>
              <w:ind w:right="260"/>
              <w:spacing w:after="0"/>
              <w:rPr>
                <w:sz w:val="20"/>
                <w:szCs w:val="20"/>
                <w:color w:val="auto"/>
              </w:rPr>
            </w:pPr>
            <w:r>
              <w:rPr>
                <w:rFonts w:ascii="Arial" w:cs="Arial" w:eastAsia="Arial" w:hAnsi="Arial"/>
                <w:sz w:val="11"/>
                <w:szCs w:val="11"/>
                <w:color w:val="auto"/>
              </w:rPr>
              <w:t>3,205</w:t>
            </w:r>
          </w:p>
        </w:tc>
        <w:tc>
          <w:tcPr>
            <w:tcW w:w="840" w:type="dxa"/>
            <w:vAlign w:val="bottom"/>
            <w:gridSpan w:val="7"/>
            <w:shd w:val="clear" w:color="auto" w:fill="CCEEFF"/>
          </w:tcPr>
          <w:p>
            <w:pPr>
              <w:jc w:val="right"/>
              <w:ind w:right="263"/>
              <w:spacing w:after="0"/>
              <w:rPr>
                <w:sz w:val="20"/>
                <w:szCs w:val="20"/>
                <w:color w:val="auto"/>
              </w:rPr>
            </w:pPr>
            <w:r>
              <w:rPr>
                <w:rFonts w:ascii="Arial" w:cs="Arial" w:eastAsia="Arial" w:hAnsi="Arial"/>
                <w:sz w:val="11"/>
                <w:szCs w:val="11"/>
                <w:color w:val="auto"/>
              </w:rPr>
              <w:t>3,204</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3,206</w:t>
            </w:r>
          </w:p>
        </w:tc>
        <w:tc>
          <w:tcPr>
            <w:tcW w:w="1220" w:type="dxa"/>
            <w:vAlign w:val="bottom"/>
            <w:gridSpan w:val="3"/>
            <w:shd w:val="clear" w:color="auto" w:fill="CCEEFF"/>
          </w:tcPr>
          <w:p>
            <w:pPr>
              <w:jc w:val="center"/>
              <w:ind w:left="703"/>
              <w:spacing w:after="0"/>
              <w:rPr>
                <w:sz w:val="20"/>
                <w:szCs w:val="20"/>
                <w:color w:val="auto"/>
              </w:rPr>
            </w:pPr>
            <w:r>
              <w:rPr>
                <w:rFonts w:ascii="Arial" w:cs="Arial" w:eastAsia="Arial" w:hAnsi="Arial"/>
                <w:sz w:val="11"/>
                <w:szCs w:val="11"/>
                <w:color w:val="auto"/>
                <w:w w:val="97"/>
              </w:rPr>
              <w:t>536</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222,831</w:t>
            </w:r>
          </w:p>
        </w:tc>
        <w:tc>
          <w:tcPr>
            <w:tcW w:w="0" w:type="dxa"/>
            <w:vAlign w:val="bottom"/>
          </w:tcPr>
          <w:p>
            <w:pPr>
              <w:spacing w:after="0"/>
              <w:rPr>
                <w:sz w:val="1"/>
                <w:szCs w:val="1"/>
                <w:color w:val="auto"/>
              </w:rPr>
            </w:pPr>
          </w:p>
        </w:tc>
      </w:tr>
      <w:tr>
        <w:trPr>
          <w:trHeight w:val="156"/>
        </w:trPr>
        <w:tc>
          <w:tcPr>
            <w:tcW w:w="6580" w:type="dxa"/>
            <w:vAlign w:val="bottom"/>
            <w:gridSpan w:val="46"/>
          </w:tcPr>
          <w:p>
            <w:pPr>
              <w:jc w:val="center"/>
              <w:ind w:right="5660"/>
              <w:spacing w:after="0"/>
              <w:rPr>
                <w:sz w:val="20"/>
                <w:szCs w:val="20"/>
                <w:color w:val="auto"/>
              </w:rPr>
            </w:pPr>
            <w:r>
              <w:rPr>
                <w:rFonts w:ascii="Arial" w:cs="Arial" w:eastAsia="Arial" w:hAnsi="Arial"/>
                <w:sz w:val="11"/>
                <w:szCs w:val="11"/>
                <w:color w:val="auto"/>
                <w:w w:val="97"/>
              </w:rPr>
              <w:t>2023</w:t>
            </w:r>
          </w:p>
        </w:tc>
        <w:tc>
          <w:tcPr>
            <w:tcW w:w="800" w:type="dxa"/>
            <w:vAlign w:val="bottom"/>
            <w:gridSpan w:val="6"/>
          </w:tcPr>
          <w:p>
            <w:pPr>
              <w:jc w:val="right"/>
              <w:ind w:right="260"/>
              <w:spacing w:after="0"/>
              <w:rPr>
                <w:sz w:val="20"/>
                <w:szCs w:val="20"/>
                <w:color w:val="auto"/>
              </w:rPr>
            </w:pPr>
            <w:r>
              <w:rPr>
                <w:rFonts w:ascii="Arial" w:cs="Arial" w:eastAsia="Arial" w:hAnsi="Arial"/>
                <w:sz w:val="11"/>
                <w:szCs w:val="11"/>
                <w:color w:val="auto"/>
              </w:rPr>
              <w:t>3,631</w:t>
            </w:r>
          </w:p>
        </w:tc>
        <w:tc>
          <w:tcPr>
            <w:tcW w:w="840" w:type="dxa"/>
            <w:vAlign w:val="bottom"/>
            <w:gridSpan w:val="7"/>
          </w:tcPr>
          <w:p>
            <w:pPr>
              <w:jc w:val="right"/>
              <w:ind w:right="263"/>
              <w:spacing w:after="0"/>
              <w:rPr>
                <w:sz w:val="20"/>
                <w:szCs w:val="20"/>
                <w:color w:val="auto"/>
              </w:rPr>
            </w:pPr>
            <w:r>
              <w:rPr>
                <w:rFonts w:ascii="Arial" w:cs="Arial" w:eastAsia="Arial" w:hAnsi="Arial"/>
                <w:sz w:val="11"/>
                <w:szCs w:val="11"/>
                <w:color w:val="auto"/>
              </w:rPr>
              <w:t>3,580</w:t>
            </w:r>
          </w:p>
        </w:tc>
        <w:tc>
          <w:tcPr>
            <w:tcW w:w="880" w:type="dxa"/>
            <w:vAlign w:val="bottom"/>
            <w:gridSpan w:val="6"/>
          </w:tcPr>
          <w:p>
            <w:pPr>
              <w:jc w:val="right"/>
              <w:ind w:right="307"/>
              <w:spacing w:after="0"/>
              <w:rPr>
                <w:sz w:val="20"/>
                <w:szCs w:val="20"/>
                <w:color w:val="auto"/>
              </w:rPr>
            </w:pPr>
            <w:r>
              <w:rPr>
                <w:rFonts w:ascii="Arial" w:cs="Arial" w:eastAsia="Arial" w:hAnsi="Arial"/>
                <w:sz w:val="11"/>
                <w:szCs w:val="11"/>
                <w:color w:val="auto"/>
              </w:rPr>
              <w:t>3,585</w:t>
            </w:r>
          </w:p>
        </w:tc>
        <w:tc>
          <w:tcPr>
            <w:tcW w:w="1220" w:type="dxa"/>
            <w:vAlign w:val="bottom"/>
            <w:gridSpan w:val="3"/>
          </w:tcPr>
          <w:p>
            <w:pPr>
              <w:jc w:val="center"/>
              <w:ind w:left="703"/>
              <w:spacing w:after="0"/>
              <w:rPr>
                <w:sz w:val="20"/>
                <w:szCs w:val="20"/>
                <w:color w:val="auto"/>
              </w:rPr>
            </w:pPr>
            <w:r>
              <w:rPr>
                <w:rFonts w:ascii="Arial" w:cs="Arial" w:eastAsia="Arial" w:hAnsi="Arial"/>
                <w:sz w:val="11"/>
                <w:szCs w:val="11"/>
                <w:color w:val="auto"/>
                <w:w w:val="97"/>
              </w:rPr>
              <w:t>862</w:t>
            </w:r>
          </w:p>
        </w:tc>
        <w:tc>
          <w:tcPr>
            <w:tcW w:w="960" w:type="dxa"/>
            <w:vAlign w:val="bottom"/>
          </w:tcPr>
          <w:p>
            <w:pPr>
              <w:jc w:val="right"/>
              <w:spacing w:after="0"/>
              <w:rPr>
                <w:sz w:val="20"/>
                <w:szCs w:val="20"/>
                <w:color w:val="auto"/>
              </w:rPr>
            </w:pPr>
            <w:r>
              <w:rPr>
                <w:rFonts w:ascii="Arial" w:cs="Arial" w:eastAsia="Arial" w:hAnsi="Arial"/>
                <w:sz w:val="11"/>
                <w:szCs w:val="11"/>
                <w:color w:val="auto"/>
              </w:rPr>
              <w:t>234,516</w:t>
            </w:r>
          </w:p>
        </w:tc>
        <w:tc>
          <w:tcPr>
            <w:tcW w:w="0" w:type="dxa"/>
            <w:vAlign w:val="bottom"/>
          </w:tcPr>
          <w:p>
            <w:pPr>
              <w:spacing w:after="0"/>
              <w:rPr>
                <w:sz w:val="1"/>
                <w:szCs w:val="1"/>
                <w:color w:val="auto"/>
              </w:rPr>
            </w:pPr>
          </w:p>
        </w:tc>
      </w:tr>
      <w:tr>
        <w:trPr>
          <w:trHeight w:val="162"/>
        </w:trPr>
        <w:tc>
          <w:tcPr>
            <w:tcW w:w="7380" w:type="dxa"/>
            <w:vAlign w:val="bottom"/>
            <w:gridSpan w:val="52"/>
            <w:shd w:val="clear" w:color="auto" w:fill="CCEEFF"/>
          </w:tcPr>
          <w:p>
            <w:pPr>
              <w:jc w:val="center"/>
              <w:ind w:right="6460"/>
              <w:spacing w:after="0"/>
              <w:rPr>
                <w:sz w:val="20"/>
                <w:szCs w:val="20"/>
                <w:color w:val="auto"/>
              </w:rPr>
            </w:pPr>
            <w:r>
              <w:rPr>
                <w:rFonts w:ascii="Arial" w:cs="Arial" w:eastAsia="Arial" w:hAnsi="Arial"/>
                <w:sz w:val="11"/>
                <w:szCs w:val="11"/>
                <w:color w:val="auto"/>
                <w:w w:val="97"/>
              </w:rPr>
              <w:t>2024</w:t>
            </w:r>
          </w:p>
        </w:tc>
        <w:tc>
          <w:tcPr>
            <w:tcW w:w="840" w:type="dxa"/>
            <w:vAlign w:val="bottom"/>
            <w:gridSpan w:val="7"/>
            <w:shd w:val="clear" w:color="auto" w:fill="CCEEFF"/>
          </w:tcPr>
          <w:p>
            <w:pPr>
              <w:jc w:val="right"/>
              <w:ind w:right="263"/>
              <w:spacing w:after="0"/>
              <w:rPr>
                <w:sz w:val="20"/>
                <w:szCs w:val="20"/>
                <w:color w:val="auto"/>
              </w:rPr>
            </w:pPr>
            <w:r>
              <w:rPr>
                <w:rFonts w:ascii="Arial" w:cs="Arial" w:eastAsia="Arial" w:hAnsi="Arial"/>
                <w:sz w:val="11"/>
                <w:szCs w:val="11"/>
                <w:color w:val="auto"/>
              </w:rPr>
              <w:t>3,825</w:t>
            </w:r>
          </w:p>
        </w:tc>
        <w:tc>
          <w:tcPr>
            <w:tcW w:w="880" w:type="dxa"/>
            <w:vAlign w:val="bottom"/>
            <w:gridSpan w:val="6"/>
            <w:shd w:val="clear" w:color="auto" w:fill="CCEEFF"/>
          </w:tcPr>
          <w:p>
            <w:pPr>
              <w:jc w:val="right"/>
              <w:ind w:right="307"/>
              <w:spacing w:after="0"/>
              <w:rPr>
                <w:sz w:val="20"/>
                <w:szCs w:val="20"/>
                <w:color w:val="auto"/>
              </w:rPr>
            </w:pPr>
            <w:r>
              <w:rPr>
                <w:rFonts w:ascii="Arial" w:cs="Arial" w:eastAsia="Arial" w:hAnsi="Arial"/>
                <w:sz w:val="11"/>
                <w:szCs w:val="11"/>
                <w:color w:val="auto"/>
              </w:rPr>
              <w:t>3,749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1,180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263,125</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CEEFF"/>
            </w:tcBorders>
            <w:gridSpan w:val="58"/>
          </w:tcPr>
          <w:p>
            <w:pPr>
              <w:jc w:val="center"/>
              <w:ind w:right="7063"/>
              <w:spacing w:after="0"/>
              <w:rPr>
                <w:sz w:val="20"/>
                <w:szCs w:val="20"/>
                <w:color w:val="auto"/>
              </w:rPr>
            </w:pPr>
            <w:r>
              <w:rPr>
                <w:rFonts w:ascii="Arial" w:cs="Arial" w:eastAsia="Arial" w:hAnsi="Arial"/>
                <w:sz w:val="11"/>
                <w:szCs w:val="11"/>
                <w:color w:val="auto"/>
                <w:w w:val="97"/>
              </w:rPr>
              <w:t>2025</w:t>
            </w:r>
          </w:p>
        </w:tc>
        <w:tc>
          <w:tcPr>
            <w:tcW w:w="76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1"/>
                <w:szCs w:val="11"/>
                <w:color w:val="auto"/>
              </w:rPr>
              <w:t>3,745</w:t>
            </w:r>
          </w:p>
        </w:tc>
        <w:tc>
          <w:tcPr>
            <w:tcW w:w="1520" w:type="dxa"/>
            <w:vAlign w:val="bottom"/>
            <w:tcBorders>
              <w:bottom w:val="single" w:sz="8" w:color="CCEEFF"/>
            </w:tcBorders>
            <w:gridSpan w:val="6"/>
          </w:tcPr>
          <w:p>
            <w:pPr>
              <w:jc w:val="right"/>
              <w:ind w:right="1520"/>
              <w:spacing w:after="0"/>
              <w:rPr>
                <w:sz w:val="20"/>
                <w:szCs w:val="20"/>
                <w:color w:val="auto"/>
              </w:rPr>
            </w:pPr>
            <w:r>
              <w:rPr>
                <w:rFonts w:ascii="Arial" w:cs="Arial" w:eastAsia="Arial" w:hAnsi="Arial"/>
                <w:sz w:val="11"/>
                <w:szCs w:val="11"/>
                <w:color w:val="auto"/>
              </w:rPr>
              <w:t>2,009</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210,163</w:t>
            </w:r>
          </w:p>
        </w:tc>
        <w:tc>
          <w:tcPr>
            <w:tcW w:w="0" w:type="dxa"/>
            <w:vAlign w:val="bottom"/>
          </w:tcPr>
          <w:p>
            <w:pPr>
              <w:spacing w:after="0"/>
              <w:rPr>
                <w:sz w:val="1"/>
                <w:szCs w:val="1"/>
                <w:color w:val="auto"/>
              </w:rPr>
            </w:pPr>
          </w:p>
        </w:tc>
      </w:tr>
      <w:tr>
        <w:trPr>
          <w:trHeight w:val="153"/>
        </w:trPr>
        <w:tc>
          <w:tcPr>
            <w:tcW w:w="7940" w:type="dxa"/>
            <w:vAlign w:val="bottom"/>
            <w:gridSpan w:val="55"/>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4"/>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3060" w:type="dxa"/>
            <w:vAlign w:val="bottom"/>
            <w:gridSpan w:val="10"/>
            <w:shd w:val="clear" w:color="auto" w:fill="CCEEFF"/>
          </w:tcPr>
          <w:p>
            <w:pPr>
              <w:jc w:val="right"/>
              <w:ind w:right="2484"/>
              <w:spacing w:after="0"/>
              <w:rPr>
                <w:sz w:val="20"/>
                <w:szCs w:val="20"/>
                <w:color w:val="auto"/>
              </w:rPr>
            </w:pPr>
            <w:r>
              <w:rPr>
                <w:rFonts w:ascii="Arial" w:cs="Arial" w:eastAsia="Arial" w:hAnsi="Arial"/>
                <w:sz w:val="11"/>
                <w:szCs w:val="11"/>
                <w:color w:val="auto"/>
              </w:rPr>
              <w:t>28,802</w:t>
            </w:r>
          </w:p>
        </w:tc>
        <w:tc>
          <w:tcPr>
            <w:tcW w:w="0" w:type="dxa"/>
            <w:vAlign w:val="bottom"/>
          </w:tcPr>
          <w:p>
            <w:pPr>
              <w:spacing w:after="0"/>
              <w:rPr>
                <w:sz w:val="1"/>
                <w:szCs w:val="1"/>
                <w:color w:val="auto"/>
              </w:rPr>
            </w:pPr>
          </w:p>
        </w:tc>
      </w:tr>
      <w:tr>
        <w:trPr>
          <w:trHeight w:val="248"/>
        </w:trPr>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27"/>
          </w:tcPr>
          <w:p>
            <w:pPr>
              <w:jc w:val="right"/>
              <w:ind w:right="100"/>
              <w:spacing w:after="0"/>
              <w:rPr>
                <w:sz w:val="20"/>
                <w:szCs w:val="20"/>
                <w:color w:val="auto"/>
              </w:rPr>
            </w:pPr>
            <w:r>
              <w:rPr>
                <w:rFonts w:ascii="Arial" w:cs="Arial" w:eastAsia="Arial" w:hAnsi="Arial"/>
                <w:sz w:val="11"/>
                <w:szCs w:val="11"/>
                <w:color w:val="auto"/>
              </w:rPr>
              <w:t>Cumulative Paid Claims and Allocated LAE, Net of Reinsurance</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31"/>
          </w:tcPr>
          <w:p>
            <w:pPr>
              <w:jc w:val="right"/>
              <w:ind w:right="203"/>
              <w:spacing w:after="0"/>
              <w:rPr>
                <w:sz w:val="20"/>
                <w:szCs w:val="20"/>
                <w:color w:val="auto"/>
              </w:rPr>
            </w:pPr>
            <w:r>
              <w:rPr>
                <w:rFonts w:ascii="Arial" w:cs="Arial" w:eastAsia="Arial" w:hAnsi="Arial"/>
                <w:sz w:val="11"/>
                <w:szCs w:val="11"/>
                <w:color w:val="auto"/>
              </w:rPr>
              <w:t>For the Years Ended (2016–2024 is Supplementary Information and Unaudited)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Accident Year</w:t>
            </w:r>
          </w:p>
        </w:tc>
        <w:tc>
          <w:tcPr>
            <w:tcW w:w="100" w:type="dxa"/>
            <w:vAlign w:val="bottom"/>
            <w:tcBorders>
              <w:bottom w:val="single" w:sz="8" w:color="CCEEFF"/>
            </w:tcBorders>
            <w:gridSpan w:val="3"/>
          </w:tcPr>
          <w:p>
            <w:pPr>
              <w:spacing w:after="0"/>
              <w:rPr>
                <w:sz w:val="13"/>
                <w:szCs w:val="13"/>
                <w:color w:val="auto"/>
              </w:rPr>
            </w:pPr>
          </w:p>
        </w:tc>
        <w:tc>
          <w:tcPr>
            <w:tcW w:w="68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color w:val="auto"/>
              </w:rPr>
              <w:t>2016</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gridSpan w:val="3"/>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2018</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1"/>
                <w:szCs w:val="11"/>
                <w:color w:val="auto"/>
              </w:rPr>
              <w:t>2020</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gridSpan w:val="3"/>
          </w:tcPr>
          <w:p>
            <w:pPr>
              <w:spacing w:after="0"/>
              <w:rPr>
                <w:sz w:val="13"/>
                <w:szCs w:val="13"/>
                <w:color w:val="auto"/>
              </w:rPr>
            </w:pPr>
          </w:p>
        </w:tc>
        <w:tc>
          <w:tcPr>
            <w:tcW w:w="7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gridSpan w:val="2"/>
          </w:tcPr>
          <w:p>
            <w:pPr>
              <w:spacing w:after="0"/>
              <w:rPr>
                <w:sz w:val="13"/>
                <w:szCs w:val="13"/>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1"/>
                <w:szCs w:val="11"/>
                <w:color w:val="auto"/>
              </w:rPr>
              <w:t>% (a)</w:t>
            </w:r>
          </w:p>
        </w:tc>
        <w:tc>
          <w:tcPr>
            <w:tcW w:w="10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1,539</w:t>
            </w:r>
          </w:p>
        </w:tc>
        <w:tc>
          <w:tcPr>
            <w:tcW w:w="20" w:type="dxa"/>
            <w:vAlign w:val="bottom"/>
            <w:shd w:val="clear" w:color="auto" w:fill="CCEEFF"/>
          </w:tcPr>
          <w:p>
            <w:pPr>
              <w:spacing w:after="0"/>
              <w:rPr>
                <w:sz w:val="13"/>
                <w:szCs w:val="13"/>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1,662</w:t>
            </w:r>
          </w:p>
        </w:tc>
        <w:tc>
          <w:tcPr>
            <w:tcW w:w="6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1,750</w:t>
            </w: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1,806</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1,848</w:t>
            </w: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1,865</w:t>
            </w:r>
          </w:p>
        </w:tc>
        <w:tc>
          <w:tcPr>
            <w:tcW w:w="4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center"/>
              <w:ind w:right="23"/>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1,885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left="743"/>
              <w:spacing w:after="0"/>
              <w:rPr>
                <w:sz w:val="20"/>
                <w:szCs w:val="20"/>
                <w:color w:val="auto"/>
              </w:rPr>
            </w:pPr>
            <w:r>
              <w:rPr>
                <w:rFonts w:ascii="Arial" w:cs="Arial" w:eastAsia="Arial" w:hAnsi="Arial"/>
                <w:sz w:val="11"/>
                <w:szCs w:val="11"/>
                <w:color w:val="auto"/>
              </w:rPr>
              <w:t>95.3%</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gridSpan w:val="10"/>
          </w:tcPr>
          <w:p>
            <w:pPr>
              <w:jc w:val="center"/>
              <w:ind w:right="980"/>
              <w:spacing w:after="0"/>
              <w:rPr>
                <w:sz w:val="20"/>
                <w:szCs w:val="20"/>
                <w:color w:val="auto"/>
              </w:rPr>
            </w:pPr>
            <w:r>
              <w:rPr>
                <w:rFonts w:ascii="Arial" w:cs="Arial" w:eastAsia="Arial" w:hAnsi="Arial"/>
                <w:sz w:val="11"/>
                <w:szCs w:val="11"/>
                <w:color w:val="auto"/>
                <w:w w:val="97"/>
              </w:rPr>
              <w:t>2017</w:t>
            </w:r>
          </w:p>
        </w:tc>
        <w:tc>
          <w:tcPr>
            <w:tcW w:w="780" w:type="dxa"/>
            <w:vAlign w:val="bottom"/>
            <w:gridSpan w:val="7"/>
          </w:tcPr>
          <w:p>
            <w:pPr>
              <w:jc w:val="right"/>
              <w:ind w:right="280"/>
              <w:spacing w:after="0"/>
              <w:rPr>
                <w:sz w:val="20"/>
                <w:szCs w:val="20"/>
                <w:color w:val="auto"/>
              </w:rPr>
            </w:pPr>
            <w:r>
              <w:rPr>
                <w:rFonts w:ascii="Arial" w:cs="Arial" w:eastAsia="Arial" w:hAnsi="Arial"/>
                <w:sz w:val="11"/>
                <w:szCs w:val="11"/>
                <w:color w:val="auto"/>
              </w:rPr>
              <w:t>709</w:t>
            </w:r>
          </w:p>
        </w:tc>
        <w:tc>
          <w:tcPr>
            <w:tcW w:w="780" w:type="dxa"/>
            <w:vAlign w:val="bottom"/>
            <w:gridSpan w:val="6"/>
          </w:tcPr>
          <w:p>
            <w:pPr>
              <w:jc w:val="right"/>
              <w:ind w:right="300"/>
              <w:spacing w:after="0"/>
              <w:rPr>
                <w:sz w:val="20"/>
                <w:szCs w:val="20"/>
                <w:color w:val="auto"/>
              </w:rPr>
            </w:pPr>
            <w:r>
              <w:rPr>
                <w:rFonts w:ascii="Arial" w:cs="Arial" w:eastAsia="Arial" w:hAnsi="Arial"/>
                <w:sz w:val="11"/>
                <w:szCs w:val="11"/>
                <w:color w:val="auto"/>
              </w:rPr>
              <w:t>1,250</w:t>
            </w:r>
          </w:p>
        </w:tc>
        <w:tc>
          <w:tcPr>
            <w:tcW w:w="740" w:type="dxa"/>
            <w:vAlign w:val="bottom"/>
            <w:gridSpan w:val="6"/>
          </w:tcPr>
          <w:p>
            <w:pPr>
              <w:jc w:val="right"/>
              <w:ind w:right="203"/>
              <w:spacing w:after="0"/>
              <w:rPr>
                <w:sz w:val="20"/>
                <w:szCs w:val="20"/>
                <w:color w:val="auto"/>
              </w:rPr>
            </w:pPr>
            <w:r>
              <w:rPr>
                <w:rFonts w:ascii="Arial" w:cs="Arial" w:eastAsia="Arial" w:hAnsi="Arial"/>
                <w:sz w:val="11"/>
                <w:szCs w:val="11"/>
                <w:color w:val="auto"/>
              </w:rPr>
              <w:t>1,524</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1,736</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1,844</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1,953</w:t>
            </w:r>
          </w:p>
        </w:tc>
        <w:tc>
          <w:tcPr>
            <w:tcW w:w="800" w:type="dxa"/>
            <w:vAlign w:val="bottom"/>
            <w:gridSpan w:val="6"/>
          </w:tcPr>
          <w:p>
            <w:pPr>
              <w:jc w:val="right"/>
              <w:ind w:right="300"/>
              <w:spacing w:after="0"/>
              <w:rPr>
                <w:sz w:val="20"/>
                <w:szCs w:val="20"/>
                <w:color w:val="auto"/>
              </w:rPr>
            </w:pPr>
            <w:r>
              <w:rPr>
                <w:rFonts w:ascii="Arial" w:cs="Arial" w:eastAsia="Arial" w:hAnsi="Arial"/>
                <w:sz w:val="11"/>
                <w:szCs w:val="11"/>
                <w:color w:val="auto"/>
              </w:rPr>
              <w:t>2,030</w:t>
            </w:r>
          </w:p>
        </w:tc>
        <w:tc>
          <w:tcPr>
            <w:tcW w:w="840" w:type="dxa"/>
            <w:vAlign w:val="bottom"/>
            <w:gridSpan w:val="7"/>
          </w:tcPr>
          <w:p>
            <w:pPr>
              <w:jc w:val="right"/>
              <w:ind w:right="303"/>
              <w:spacing w:after="0"/>
              <w:rPr>
                <w:sz w:val="20"/>
                <w:szCs w:val="20"/>
                <w:color w:val="auto"/>
              </w:rPr>
            </w:pPr>
            <w:r>
              <w:rPr>
                <w:rFonts w:ascii="Arial" w:cs="Arial" w:eastAsia="Arial" w:hAnsi="Arial"/>
                <w:sz w:val="11"/>
                <w:szCs w:val="11"/>
                <w:color w:val="auto"/>
              </w:rPr>
              <w:t>2,100</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2,138</w:t>
            </w:r>
          </w:p>
        </w:tc>
        <w:tc>
          <w:tcPr>
            <w:tcW w:w="2180" w:type="dxa"/>
            <w:vAlign w:val="bottom"/>
            <w:gridSpan w:val="4"/>
          </w:tcPr>
          <w:p>
            <w:pPr>
              <w:jc w:val="center"/>
              <w:ind w:right="164"/>
              <w:spacing w:after="0"/>
              <w:rPr>
                <w:sz w:val="20"/>
                <w:szCs w:val="20"/>
                <w:color w:val="auto"/>
              </w:rPr>
            </w:pPr>
            <w:r>
              <w:rPr>
                <w:rFonts w:ascii="Arial" w:cs="Arial" w:eastAsia="Arial" w:hAnsi="Arial"/>
                <w:sz w:val="11"/>
                <w:szCs w:val="11"/>
                <w:color w:val="auto"/>
              </w:rPr>
              <w:t>93.2%</w:t>
            </w:r>
          </w:p>
        </w:tc>
        <w:tc>
          <w:tcPr>
            <w:tcW w:w="0" w:type="dxa"/>
            <w:vAlign w:val="bottom"/>
          </w:tcPr>
          <w:p>
            <w:pPr>
              <w:spacing w:after="0"/>
              <w:rPr>
                <w:sz w:val="1"/>
                <w:szCs w:val="1"/>
                <w:color w:val="auto"/>
              </w:rPr>
            </w:pPr>
          </w:p>
        </w:tc>
      </w:tr>
      <w:tr>
        <w:trPr>
          <w:trHeight w:val="162"/>
        </w:trPr>
        <w:tc>
          <w:tcPr>
            <w:tcW w:w="2680" w:type="dxa"/>
            <w:vAlign w:val="bottom"/>
            <w:gridSpan w:val="17"/>
            <w:shd w:val="clear" w:color="auto" w:fill="CCEEFF"/>
          </w:tcPr>
          <w:p>
            <w:pPr>
              <w:jc w:val="center"/>
              <w:ind w:right="1760"/>
              <w:spacing w:after="0"/>
              <w:rPr>
                <w:sz w:val="20"/>
                <w:szCs w:val="20"/>
                <w:color w:val="auto"/>
              </w:rPr>
            </w:pPr>
            <w:r>
              <w:rPr>
                <w:rFonts w:ascii="Arial" w:cs="Arial" w:eastAsia="Arial" w:hAnsi="Arial"/>
                <w:sz w:val="11"/>
                <w:szCs w:val="11"/>
                <w:color w:val="auto"/>
                <w:w w:val="97"/>
              </w:rPr>
              <w:t>2018</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730</w:t>
            </w:r>
          </w:p>
        </w:tc>
        <w:tc>
          <w:tcPr>
            <w:tcW w:w="740" w:type="dxa"/>
            <w:vAlign w:val="bottom"/>
            <w:gridSpan w:val="6"/>
            <w:shd w:val="clear" w:color="auto" w:fill="CCEEFF"/>
          </w:tcPr>
          <w:p>
            <w:pPr>
              <w:jc w:val="right"/>
              <w:ind w:right="203"/>
              <w:spacing w:after="0"/>
              <w:rPr>
                <w:sz w:val="20"/>
                <w:szCs w:val="20"/>
                <w:color w:val="auto"/>
              </w:rPr>
            </w:pPr>
            <w:r>
              <w:rPr>
                <w:rFonts w:ascii="Arial" w:cs="Arial" w:eastAsia="Arial" w:hAnsi="Arial"/>
                <w:sz w:val="11"/>
                <w:szCs w:val="11"/>
                <w:color w:val="auto"/>
              </w:rPr>
              <w:t>1,337</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1,606</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1,807</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1,977</w:t>
            </w:r>
          </w:p>
        </w:tc>
        <w:tc>
          <w:tcPr>
            <w:tcW w:w="80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7"/>
            <w:shd w:val="clear" w:color="auto" w:fill="CCEEFF"/>
          </w:tcPr>
          <w:p>
            <w:pPr>
              <w:jc w:val="right"/>
              <w:ind w:right="303"/>
              <w:spacing w:after="0"/>
              <w:rPr>
                <w:sz w:val="20"/>
                <w:szCs w:val="20"/>
                <w:color w:val="auto"/>
              </w:rPr>
            </w:pPr>
            <w:r>
              <w:rPr>
                <w:rFonts w:ascii="Arial" w:cs="Arial" w:eastAsia="Arial" w:hAnsi="Arial"/>
                <w:sz w:val="11"/>
                <w:szCs w:val="11"/>
                <w:color w:val="auto"/>
              </w:rPr>
              <w:t>2,178</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2,241</w:t>
            </w:r>
          </w:p>
        </w:tc>
        <w:tc>
          <w:tcPr>
            <w:tcW w:w="2180" w:type="dxa"/>
            <w:vAlign w:val="bottom"/>
            <w:gridSpan w:val="4"/>
            <w:shd w:val="clear" w:color="auto" w:fill="CCEEFF"/>
          </w:tcPr>
          <w:p>
            <w:pPr>
              <w:jc w:val="center"/>
              <w:ind w:right="164"/>
              <w:spacing w:after="0"/>
              <w:rPr>
                <w:sz w:val="20"/>
                <w:szCs w:val="20"/>
                <w:color w:val="auto"/>
              </w:rPr>
            </w:pPr>
            <w:r>
              <w:rPr>
                <w:rFonts w:ascii="Arial" w:cs="Arial" w:eastAsia="Arial" w:hAnsi="Arial"/>
                <w:sz w:val="11"/>
                <w:szCs w:val="11"/>
                <w:color w:val="auto"/>
              </w:rPr>
              <w:t>91.4%</w:t>
            </w:r>
          </w:p>
        </w:tc>
        <w:tc>
          <w:tcPr>
            <w:tcW w:w="0" w:type="dxa"/>
            <w:vAlign w:val="bottom"/>
          </w:tcPr>
          <w:p>
            <w:pPr>
              <w:spacing w:after="0"/>
              <w:rPr>
                <w:sz w:val="1"/>
                <w:szCs w:val="1"/>
                <w:color w:val="auto"/>
              </w:rPr>
            </w:pPr>
          </w:p>
        </w:tc>
      </w:tr>
      <w:tr>
        <w:trPr>
          <w:trHeight w:val="156"/>
        </w:trPr>
        <w:tc>
          <w:tcPr>
            <w:tcW w:w="3460" w:type="dxa"/>
            <w:vAlign w:val="bottom"/>
            <w:gridSpan w:val="23"/>
          </w:tcPr>
          <w:p>
            <w:pPr>
              <w:jc w:val="center"/>
              <w:ind w:right="2540"/>
              <w:spacing w:after="0"/>
              <w:rPr>
                <w:sz w:val="20"/>
                <w:szCs w:val="20"/>
                <w:color w:val="auto"/>
              </w:rPr>
            </w:pPr>
            <w:r>
              <w:rPr>
                <w:rFonts w:ascii="Arial" w:cs="Arial" w:eastAsia="Arial" w:hAnsi="Arial"/>
                <w:sz w:val="11"/>
                <w:szCs w:val="11"/>
                <w:color w:val="auto"/>
                <w:w w:val="97"/>
              </w:rPr>
              <w:t>2019</w:t>
            </w:r>
          </w:p>
        </w:tc>
        <w:tc>
          <w:tcPr>
            <w:tcW w:w="740" w:type="dxa"/>
            <w:vAlign w:val="bottom"/>
            <w:gridSpan w:val="6"/>
          </w:tcPr>
          <w:p>
            <w:pPr>
              <w:jc w:val="right"/>
              <w:ind w:right="203"/>
              <w:spacing w:after="0"/>
              <w:rPr>
                <w:sz w:val="20"/>
                <w:szCs w:val="20"/>
                <w:color w:val="auto"/>
              </w:rPr>
            </w:pPr>
            <w:r>
              <w:rPr>
                <w:rFonts w:ascii="Arial" w:cs="Arial" w:eastAsia="Arial" w:hAnsi="Arial"/>
                <w:sz w:val="11"/>
                <w:szCs w:val="11"/>
                <w:color w:val="auto"/>
              </w:rPr>
              <w:t>847</w:t>
            </w:r>
          </w:p>
        </w:tc>
        <w:tc>
          <w:tcPr>
            <w:tcW w:w="820" w:type="dxa"/>
            <w:vAlign w:val="bottom"/>
            <w:gridSpan w:val="6"/>
          </w:tcPr>
          <w:p>
            <w:pPr>
              <w:jc w:val="right"/>
              <w:ind w:right="300"/>
              <w:spacing w:after="0"/>
              <w:rPr>
                <w:sz w:val="20"/>
                <w:szCs w:val="20"/>
                <w:color w:val="auto"/>
              </w:rPr>
            </w:pPr>
            <w:r>
              <w:rPr>
                <w:rFonts w:ascii="Arial" w:cs="Arial" w:eastAsia="Arial" w:hAnsi="Arial"/>
                <w:sz w:val="11"/>
                <w:szCs w:val="11"/>
                <w:color w:val="auto"/>
              </w:rPr>
              <w:t>1,448</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1,768</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1,983</w:t>
            </w:r>
          </w:p>
        </w:tc>
        <w:tc>
          <w:tcPr>
            <w:tcW w:w="800" w:type="dxa"/>
            <w:vAlign w:val="bottom"/>
            <w:gridSpan w:val="6"/>
          </w:tcPr>
          <w:p>
            <w:pPr>
              <w:jc w:val="right"/>
              <w:ind w:right="300"/>
              <w:spacing w:after="0"/>
              <w:rPr>
                <w:sz w:val="20"/>
                <w:szCs w:val="20"/>
                <w:color w:val="auto"/>
              </w:rPr>
            </w:pPr>
            <w:r>
              <w:rPr>
                <w:rFonts w:ascii="Arial" w:cs="Arial" w:eastAsia="Arial" w:hAnsi="Arial"/>
                <w:sz w:val="11"/>
                <w:szCs w:val="11"/>
                <w:color w:val="auto"/>
              </w:rPr>
              <w:t>2,160</w:t>
            </w:r>
          </w:p>
        </w:tc>
        <w:tc>
          <w:tcPr>
            <w:tcW w:w="840" w:type="dxa"/>
            <w:vAlign w:val="bottom"/>
            <w:gridSpan w:val="7"/>
          </w:tcPr>
          <w:p>
            <w:pPr>
              <w:jc w:val="right"/>
              <w:ind w:right="303"/>
              <w:spacing w:after="0"/>
              <w:rPr>
                <w:sz w:val="20"/>
                <w:szCs w:val="20"/>
                <w:color w:val="auto"/>
              </w:rPr>
            </w:pPr>
            <w:r>
              <w:rPr>
                <w:rFonts w:ascii="Arial" w:cs="Arial" w:eastAsia="Arial" w:hAnsi="Arial"/>
                <w:sz w:val="11"/>
                <w:szCs w:val="11"/>
                <w:color w:val="auto"/>
              </w:rPr>
              <w:t>2,284</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2,385</w:t>
            </w:r>
          </w:p>
        </w:tc>
        <w:tc>
          <w:tcPr>
            <w:tcW w:w="2180" w:type="dxa"/>
            <w:vAlign w:val="bottom"/>
            <w:gridSpan w:val="4"/>
          </w:tcPr>
          <w:p>
            <w:pPr>
              <w:jc w:val="center"/>
              <w:ind w:right="164"/>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62"/>
        </w:trPr>
        <w:tc>
          <w:tcPr>
            <w:tcW w:w="4200" w:type="dxa"/>
            <w:vAlign w:val="bottom"/>
            <w:gridSpan w:val="29"/>
            <w:shd w:val="clear" w:color="auto" w:fill="CCEEFF"/>
          </w:tcPr>
          <w:p>
            <w:pPr>
              <w:jc w:val="center"/>
              <w:ind w:right="3223"/>
              <w:spacing w:after="0"/>
              <w:rPr>
                <w:sz w:val="20"/>
                <w:szCs w:val="20"/>
                <w:color w:val="auto"/>
              </w:rPr>
            </w:pPr>
            <w:r>
              <w:rPr>
                <w:rFonts w:ascii="Arial" w:cs="Arial" w:eastAsia="Arial" w:hAnsi="Arial"/>
                <w:sz w:val="11"/>
                <w:szCs w:val="11"/>
                <w:color w:val="auto"/>
                <w:w w:val="97"/>
              </w:rPr>
              <w:t>2020</w:t>
            </w: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758</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1"/>
                <w:szCs w:val="11"/>
                <w:color w:val="auto"/>
              </w:rPr>
              <w:t>1,337</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1,620</w:t>
            </w:r>
          </w:p>
        </w:tc>
        <w:tc>
          <w:tcPr>
            <w:tcW w:w="80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1,842</w:t>
            </w:r>
          </w:p>
        </w:tc>
        <w:tc>
          <w:tcPr>
            <w:tcW w:w="840" w:type="dxa"/>
            <w:vAlign w:val="bottom"/>
            <w:gridSpan w:val="7"/>
            <w:shd w:val="clear" w:color="auto" w:fill="CCEEFF"/>
          </w:tcPr>
          <w:p>
            <w:pPr>
              <w:jc w:val="right"/>
              <w:ind w:right="303"/>
              <w:spacing w:after="0"/>
              <w:rPr>
                <w:sz w:val="20"/>
                <w:szCs w:val="20"/>
                <w:color w:val="auto"/>
              </w:rPr>
            </w:pPr>
            <w:r>
              <w:rPr>
                <w:rFonts w:ascii="Arial" w:cs="Arial" w:eastAsia="Arial" w:hAnsi="Arial"/>
                <w:sz w:val="11"/>
                <w:szCs w:val="11"/>
                <w:color w:val="auto"/>
              </w:rPr>
              <w:t>2,043</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2,167</w:t>
            </w:r>
          </w:p>
        </w:tc>
        <w:tc>
          <w:tcPr>
            <w:tcW w:w="2180" w:type="dxa"/>
            <w:vAlign w:val="bottom"/>
            <w:gridSpan w:val="4"/>
            <w:shd w:val="clear" w:color="auto" w:fill="CCEEFF"/>
          </w:tcPr>
          <w:p>
            <w:pPr>
              <w:jc w:val="center"/>
              <w:ind w:right="164"/>
              <w:spacing w:after="0"/>
              <w:rPr>
                <w:sz w:val="20"/>
                <w:szCs w:val="20"/>
                <w:color w:val="auto"/>
              </w:rPr>
            </w:pPr>
            <w:r>
              <w:rPr>
                <w:rFonts w:ascii="Arial" w:cs="Arial" w:eastAsia="Arial" w:hAnsi="Arial"/>
                <w:sz w:val="11"/>
                <w:szCs w:val="11"/>
                <w:color w:val="auto"/>
              </w:rPr>
              <w:t>86.0%</w:t>
            </w:r>
          </w:p>
        </w:tc>
        <w:tc>
          <w:tcPr>
            <w:tcW w:w="0" w:type="dxa"/>
            <w:vAlign w:val="bottom"/>
          </w:tcPr>
          <w:p>
            <w:pPr>
              <w:spacing w:after="0"/>
              <w:rPr>
                <w:sz w:val="1"/>
                <w:szCs w:val="1"/>
                <w:color w:val="auto"/>
              </w:rPr>
            </w:pPr>
          </w:p>
        </w:tc>
      </w:tr>
      <w:tr>
        <w:trPr>
          <w:trHeight w:val="156"/>
        </w:trPr>
        <w:tc>
          <w:tcPr>
            <w:tcW w:w="5020" w:type="dxa"/>
            <w:vAlign w:val="bottom"/>
            <w:gridSpan w:val="35"/>
          </w:tcPr>
          <w:p>
            <w:pPr>
              <w:jc w:val="center"/>
              <w:ind w:right="4100"/>
              <w:spacing w:after="0"/>
              <w:rPr>
                <w:sz w:val="20"/>
                <w:szCs w:val="20"/>
                <w:color w:val="auto"/>
              </w:rPr>
            </w:pPr>
            <w:r>
              <w:rPr>
                <w:rFonts w:ascii="Arial" w:cs="Arial" w:eastAsia="Arial" w:hAnsi="Arial"/>
                <w:sz w:val="11"/>
                <w:szCs w:val="11"/>
                <w:color w:val="auto"/>
                <w:w w:val="97"/>
              </w:rPr>
              <w:t>2021</w:t>
            </w:r>
          </w:p>
        </w:tc>
        <w:tc>
          <w:tcPr>
            <w:tcW w:w="820" w:type="dxa"/>
            <w:vAlign w:val="bottom"/>
            <w:gridSpan w:val="6"/>
          </w:tcPr>
          <w:p>
            <w:pPr>
              <w:jc w:val="right"/>
              <w:ind w:right="340"/>
              <w:spacing w:after="0"/>
              <w:rPr>
                <w:sz w:val="20"/>
                <w:szCs w:val="20"/>
                <w:color w:val="auto"/>
              </w:rPr>
            </w:pPr>
            <w:r>
              <w:rPr>
                <w:rFonts w:ascii="Arial" w:cs="Arial" w:eastAsia="Arial" w:hAnsi="Arial"/>
                <w:sz w:val="11"/>
                <w:szCs w:val="11"/>
                <w:color w:val="auto"/>
              </w:rPr>
              <w:t>746</w:t>
            </w:r>
          </w:p>
        </w:tc>
        <w:tc>
          <w:tcPr>
            <w:tcW w:w="740" w:type="dxa"/>
            <w:vAlign w:val="bottom"/>
            <w:gridSpan w:val="5"/>
          </w:tcPr>
          <w:p>
            <w:pPr>
              <w:jc w:val="right"/>
              <w:ind w:right="300"/>
              <w:spacing w:after="0"/>
              <w:rPr>
                <w:sz w:val="20"/>
                <w:szCs w:val="20"/>
                <w:color w:val="auto"/>
              </w:rPr>
            </w:pPr>
            <w:r>
              <w:rPr>
                <w:rFonts w:ascii="Arial" w:cs="Arial" w:eastAsia="Arial" w:hAnsi="Arial"/>
                <w:sz w:val="11"/>
                <w:szCs w:val="11"/>
                <w:color w:val="auto"/>
              </w:rPr>
              <w:t>1,368</w:t>
            </w:r>
          </w:p>
        </w:tc>
        <w:tc>
          <w:tcPr>
            <w:tcW w:w="800" w:type="dxa"/>
            <w:vAlign w:val="bottom"/>
            <w:gridSpan w:val="6"/>
          </w:tcPr>
          <w:p>
            <w:pPr>
              <w:jc w:val="right"/>
              <w:ind w:right="300"/>
              <w:spacing w:after="0"/>
              <w:rPr>
                <w:sz w:val="20"/>
                <w:szCs w:val="20"/>
                <w:color w:val="auto"/>
              </w:rPr>
            </w:pPr>
            <w:r>
              <w:rPr>
                <w:rFonts w:ascii="Arial" w:cs="Arial" w:eastAsia="Arial" w:hAnsi="Arial"/>
                <w:sz w:val="11"/>
                <w:szCs w:val="11"/>
                <w:color w:val="auto"/>
              </w:rPr>
              <w:t>1,687</w:t>
            </w:r>
          </w:p>
        </w:tc>
        <w:tc>
          <w:tcPr>
            <w:tcW w:w="840" w:type="dxa"/>
            <w:vAlign w:val="bottom"/>
            <w:gridSpan w:val="7"/>
          </w:tcPr>
          <w:p>
            <w:pPr>
              <w:jc w:val="right"/>
              <w:ind w:right="303"/>
              <w:spacing w:after="0"/>
              <w:rPr>
                <w:sz w:val="20"/>
                <w:szCs w:val="20"/>
                <w:color w:val="auto"/>
              </w:rPr>
            </w:pPr>
            <w:r>
              <w:rPr>
                <w:rFonts w:ascii="Arial" w:cs="Arial" w:eastAsia="Arial" w:hAnsi="Arial"/>
                <w:sz w:val="11"/>
                <w:szCs w:val="11"/>
                <w:color w:val="auto"/>
              </w:rPr>
              <w:t>1,958</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2,147</w:t>
            </w:r>
          </w:p>
        </w:tc>
        <w:tc>
          <w:tcPr>
            <w:tcW w:w="2180" w:type="dxa"/>
            <w:vAlign w:val="bottom"/>
            <w:gridSpan w:val="4"/>
          </w:tcPr>
          <w:p>
            <w:pPr>
              <w:jc w:val="center"/>
              <w:ind w:right="164"/>
              <w:spacing w:after="0"/>
              <w:rPr>
                <w:sz w:val="20"/>
                <w:szCs w:val="20"/>
                <w:color w:val="auto"/>
              </w:rPr>
            </w:pPr>
            <w:r>
              <w:rPr>
                <w:rFonts w:ascii="Arial" w:cs="Arial" w:eastAsia="Arial" w:hAnsi="Arial"/>
                <w:sz w:val="11"/>
                <w:szCs w:val="11"/>
                <w:color w:val="auto"/>
              </w:rPr>
              <w:t>81.6%</w:t>
            </w:r>
          </w:p>
        </w:tc>
        <w:tc>
          <w:tcPr>
            <w:tcW w:w="0" w:type="dxa"/>
            <w:vAlign w:val="bottom"/>
          </w:tcPr>
          <w:p>
            <w:pPr>
              <w:spacing w:after="0"/>
              <w:rPr>
                <w:sz w:val="1"/>
                <w:szCs w:val="1"/>
                <w:color w:val="auto"/>
              </w:rPr>
            </w:pPr>
          </w:p>
        </w:tc>
      </w:tr>
      <w:tr>
        <w:trPr>
          <w:trHeight w:val="162"/>
        </w:trPr>
        <w:tc>
          <w:tcPr>
            <w:tcW w:w="5840" w:type="dxa"/>
            <w:vAlign w:val="bottom"/>
            <w:gridSpan w:val="41"/>
            <w:shd w:val="clear" w:color="auto" w:fill="CCEEFF"/>
          </w:tcPr>
          <w:p>
            <w:pPr>
              <w:jc w:val="center"/>
              <w:ind w:right="4920"/>
              <w:spacing w:after="0"/>
              <w:rPr>
                <w:sz w:val="20"/>
                <w:szCs w:val="20"/>
                <w:color w:val="auto"/>
              </w:rPr>
            </w:pPr>
            <w:r>
              <w:rPr>
                <w:rFonts w:ascii="Arial" w:cs="Arial" w:eastAsia="Arial" w:hAnsi="Arial"/>
                <w:sz w:val="11"/>
                <w:szCs w:val="11"/>
                <w:color w:val="auto"/>
                <w:w w:val="97"/>
              </w:rPr>
              <w:t>2022</w:t>
            </w:r>
          </w:p>
        </w:tc>
        <w:tc>
          <w:tcPr>
            <w:tcW w:w="740" w:type="dxa"/>
            <w:vAlign w:val="bottom"/>
            <w:gridSpan w:val="5"/>
            <w:shd w:val="clear" w:color="auto" w:fill="CCEEFF"/>
          </w:tcPr>
          <w:p>
            <w:pPr>
              <w:jc w:val="right"/>
              <w:ind w:right="300"/>
              <w:spacing w:after="0"/>
              <w:rPr>
                <w:sz w:val="20"/>
                <w:szCs w:val="20"/>
                <w:color w:val="auto"/>
              </w:rPr>
            </w:pPr>
            <w:r>
              <w:rPr>
                <w:rFonts w:ascii="Arial" w:cs="Arial" w:eastAsia="Arial" w:hAnsi="Arial"/>
                <w:sz w:val="11"/>
                <w:szCs w:val="11"/>
                <w:color w:val="auto"/>
              </w:rPr>
              <w:t>904</w:t>
            </w:r>
          </w:p>
        </w:tc>
        <w:tc>
          <w:tcPr>
            <w:tcW w:w="800" w:type="dxa"/>
            <w:vAlign w:val="bottom"/>
            <w:gridSpan w:val="6"/>
            <w:shd w:val="clear" w:color="auto" w:fill="CCEEFF"/>
          </w:tcPr>
          <w:p>
            <w:pPr>
              <w:jc w:val="right"/>
              <w:ind w:right="300"/>
              <w:spacing w:after="0"/>
              <w:rPr>
                <w:sz w:val="20"/>
                <w:szCs w:val="20"/>
                <w:color w:val="auto"/>
              </w:rPr>
            </w:pPr>
            <w:r>
              <w:rPr>
                <w:rFonts w:ascii="Arial" w:cs="Arial" w:eastAsia="Arial" w:hAnsi="Arial"/>
                <w:sz w:val="11"/>
                <w:szCs w:val="11"/>
                <w:color w:val="auto"/>
              </w:rPr>
              <w:t>1,724</w:t>
            </w:r>
          </w:p>
        </w:tc>
        <w:tc>
          <w:tcPr>
            <w:tcW w:w="840" w:type="dxa"/>
            <w:vAlign w:val="bottom"/>
            <w:gridSpan w:val="7"/>
            <w:shd w:val="clear" w:color="auto" w:fill="CCEEFF"/>
          </w:tcPr>
          <w:p>
            <w:pPr>
              <w:jc w:val="right"/>
              <w:ind w:right="303"/>
              <w:spacing w:after="0"/>
              <w:rPr>
                <w:sz w:val="20"/>
                <w:szCs w:val="20"/>
                <w:color w:val="auto"/>
              </w:rPr>
            </w:pPr>
            <w:r>
              <w:rPr>
                <w:rFonts w:ascii="Arial" w:cs="Arial" w:eastAsia="Arial" w:hAnsi="Arial"/>
                <w:sz w:val="11"/>
                <w:szCs w:val="11"/>
                <w:color w:val="auto"/>
              </w:rPr>
              <w:t>2,144</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2,415</w:t>
            </w:r>
          </w:p>
        </w:tc>
        <w:tc>
          <w:tcPr>
            <w:tcW w:w="2180" w:type="dxa"/>
            <w:vAlign w:val="bottom"/>
            <w:gridSpan w:val="4"/>
            <w:shd w:val="clear" w:color="auto" w:fill="CCEEFF"/>
          </w:tcPr>
          <w:p>
            <w:pPr>
              <w:jc w:val="center"/>
              <w:ind w:right="164"/>
              <w:spacing w:after="0"/>
              <w:rPr>
                <w:sz w:val="20"/>
                <w:szCs w:val="20"/>
                <w:color w:val="auto"/>
              </w:rPr>
            </w:pPr>
            <w:r>
              <w:rPr>
                <w:rFonts w:ascii="Arial" w:cs="Arial" w:eastAsia="Arial" w:hAnsi="Arial"/>
                <w:sz w:val="11"/>
                <w:szCs w:val="11"/>
                <w:color w:val="auto"/>
              </w:rPr>
              <w:t>75.3%</w:t>
            </w:r>
          </w:p>
        </w:tc>
        <w:tc>
          <w:tcPr>
            <w:tcW w:w="0" w:type="dxa"/>
            <w:vAlign w:val="bottom"/>
          </w:tcPr>
          <w:p>
            <w:pPr>
              <w:spacing w:after="0"/>
              <w:rPr>
                <w:sz w:val="1"/>
                <w:szCs w:val="1"/>
                <w:color w:val="auto"/>
              </w:rPr>
            </w:pPr>
          </w:p>
        </w:tc>
      </w:tr>
      <w:tr>
        <w:trPr>
          <w:trHeight w:val="156"/>
        </w:trPr>
        <w:tc>
          <w:tcPr>
            <w:tcW w:w="6580" w:type="dxa"/>
            <w:vAlign w:val="bottom"/>
            <w:gridSpan w:val="46"/>
          </w:tcPr>
          <w:p>
            <w:pPr>
              <w:jc w:val="center"/>
              <w:ind w:right="5660"/>
              <w:spacing w:after="0"/>
              <w:rPr>
                <w:sz w:val="20"/>
                <w:szCs w:val="20"/>
                <w:color w:val="auto"/>
              </w:rPr>
            </w:pPr>
            <w:r>
              <w:rPr>
                <w:rFonts w:ascii="Arial" w:cs="Arial" w:eastAsia="Arial" w:hAnsi="Arial"/>
                <w:sz w:val="11"/>
                <w:szCs w:val="11"/>
                <w:color w:val="auto"/>
                <w:w w:val="97"/>
              </w:rPr>
              <w:t>2023</w:t>
            </w:r>
          </w:p>
        </w:tc>
        <w:tc>
          <w:tcPr>
            <w:tcW w:w="800" w:type="dxa"/>
            <w:vAlign w:val="bottom"/>
            <w:gridSpan w:val="6"/>
          </w:tcPr>
          <w:p>
            <w:pPr>
              <w:jc w:val="right"/>
              <w:ind w:right="300"/>
              <w:spacing w:after="0"/>
              <w:rPr>
                <w:sz w:val="20"/>
                <w:szCs w:val="20"/>
                <w:color w:val="auto"/>
              </w:rPr>
            </w:pPr>
            <w:r>
              <w:rPr>
                <w:rFonts w:ascii="Arial" w:cs="Arial" w:eastAsia="Arial" w:hAnsi="Arial"/>
                <w:sz w:val="11"/>
                <w:szCs w:val="11"/>
                <w:color w:val="auto"/>
              </w:rPr>
              <w:t>989</w:t>
            </w:r>
          </w:p>
        </w:tc>
        <w:tc>
          <w:tcPr>
            <w:tcW w:w="840" w:type="dxa"/>
            <w:vAlign w:val="bottom"/>
            <w:gridSpan w:val="7"/>
          </w:tcPr>
          <w:p>
            <w:pPr>
              <w:jc w:val="right"/>
              <w:ind w:right="303"/>
              <w:spacing w:after="0"/>
              <w:rPr>
                <w:sz w:val="20"/>
                <w:szCs w:val="20"/>
                <w:color w:val="auto"/>
              </w:rPr>
            </w:pPr>
            <w:r>
              <w:rPr>
                <w:rFonts w:ascii="Arial" w:cs="Arial" w:eastAsia="Arial" w:hAnsi="Arial"/>
                <w:sz w:val="11"/>
                <w:szCs w:val="11"/>
                <w:color w:val="auto"/>
              </w:rPr>
              <w:t>1,950</w:t>
            </w:r>
          </w:p>
        </w:tc>
        <w:tc>
          <w:tcPr>
            <w:tcW w:w="880" w:type="dxa"/>
            <w:vAlign w:val="bottom"/>
            <w:gridSpan w:val="6"/>
          </w:tcPr>
          <w:p>
            <w:pPr>
              <w:jc w:val="right"/>
              <w:ind w:right="347"/>
              <w:spacing w:after="0"/>
              <w:rPr>
                <w:sz w:val="20"/>
                <w:szCs w:val="20"/>
                <w:color w:val="auto"/>
              </w:rPr>
            </w:pPr>
            <w:r>
              <w:rPr>
                <w:rFonts w:ascii="Arial" w:cs="Arial" w:eastAsia="Arial" w:hAnsi="Arial"/>
                <w:sz w:val="11"/>
                <w:szCs w:val="11"/>
                <w:color w:val="auto"/>
              </w:rPr>
              <w:t>2,349</w:t>
            </w:r>
          </w:p>
        </w:tc>
        <w:tc>
          <w:tcPr>
            <w:tcW w:w="2180" w:type="dxa"/>
            <w:vAlign w:val="bottom"/>
            <w:gridSpan w:val="4"/>
          </w:tcPr>
          <w:p>
            <w:pPr>
              <w:jc w:val="center"/>
              <w:ind w:right="164"/>
              <w:spacing w:after="0"/>
              <w:rPr>
                <w:sz w:val="20"/>
                <w:szCs w:val="20"/>
                <w:color w:val="auto"/>
              </w:rPr>
            </w:pPr>
            <w:r>
              <w:rPr>
                <w:rFonts w:ascii="Arial" w:cs="Arial" w:eastAsia="Arial" w:hAnsi="Arial"/>
                <w:sz w:val="11"/>
                <w:szCs w:val="11"/>
                <w:color w:val="auto"/>
              </w:rPr>
              <w:t>65.5%</w:t>
            </w:r>
          </w:p>
        </w:tc>
        <w:tc>
          <w:tcPr>
            <w:tcW w:w="0" w:type="dxa"/>
            <w:vAlign w:val="bottom"/>
          </w:tcPr>
          <w:p>
            <w:pPr>
              <w:spacing w:after="0"/>
              <w:rPr>
                <w:sz w:val="1"/>
                <w:szCs w:val="1"/>
                <w:color w:val="auto"/>
              </w:rPr>
            </w:pPr>
          </w:p>
        </w:tc>
      </w:tr>
      <w:tr>
        <w:trPr>
          <w:trHeight w:val="162"/>
        </w:trPr>
        <w:tc>
          <w:tcPr>
            <w:tcW w:w="7380" w:type="dxa"/>
            <w:vAlign w:val="bottom"/>
            <w:gridSpan w:val="52"/>
            <w:shd w:val="clear" w:color="auto" w:fill="CCEEFF"/>
          </w:tcPr>
          <w:p>
            <w:pPr>
              <w:jc w:val="center"/>
              <w:ind w:right="6460"/>
              <w:spacing w:after="0"/>
              <w:rPr>
                <w:sz w:val="20"/>
                <w:szCs w:val="20"/>
                <w:color w:val="auto"/>
              </w:rPr>
            </w:pPr>
            <w:r>
              <w:rPr>
                <w:rFonts w:ascii="Arial" w:cs="Arial" w:eastAsia="Arial" w:hAnsi="Arial"/>
                <w:sz w:val="11"/>
                <w:szCs w:val="11"/>
                <w:color w:val="auto"/>
                <w:w w:val="97"/>
              </w:rPr>
              <w:t>2024</w:t>
            </w:r>
          </w:p>
        </w:tc>
        <w:tc>
          <w:tcPr>
            <w:tcW w:w="840" w:type="dxa"/>
            <w:vAlign w:val="bottom"/>
            <w:gridSpan w:val="7"/>
            <w:shd w:val="clear" w:color="auto" w:fill="CCEEFF"/>
          </w:tcPr>
          <w:p>
            <w:pPr>
              <w:jc w:val="right"/>
              <w:ind w:right="303"/>
              <w:spacing w:after="0"/>
              <w:rPr>
                <w:sz w:val="20"/>
                <w:szCs w:val="20"/>
                <w:color w:val="auto"/>
              </w:rPr>
            </w:pPr>
            <w:r>
              <w:rPr>
                <w:rFonts w:ascii="Arial" w:cs="Arial" w:eastAsia="Arial" w:hAnsi="Arial"/>
                <w:sz w:val="11"/>
                <w:szCs w:val="11"/>
                <w:color w:val="auto"/>
              </w:rPr>
              <w:t>1,138</w:t>
            </w:r>
          </w:p>
        </w:tc>
        <w:tc>
          <w:tcPr>
            <w:tcW w:w="880" w:type="dxa"/>
            <w:vAlign w:val="bottom"/>
            <w:gridSpan w:val="6"/>
            <w:shd w:val="clear" w:color="auto" w:fill="CCEEFF"/>
          </w:tcPr>
          <w:p>
            <w:pPr>
              <w:jc w:val="right"/>
              <w:ind w:right="347"/>
              <w:spacing w:after="0"/>
              <w:rPr>
                <w:sz w:val="20"/>
                <w:szCs w:val="20"/>
                <w:color w:val="auto"/>
              </w:rPr>
            </w:pPr>
            <w:r>
              <w:rPr>
                <w:rFonts w:ascii="Arial" w:cs="Arial" w:eastAsia="Arial" w:hAnsi="Arial"/>
                <w:sz w:val="11"/>
                <w:szCs w:val="11"/>
                <w:color w:val="auto"/>
              </w:rPr>
              <w:t>2,067</w:t>
            </w:r>
          </w:p>
        </w:tc>
        <w:tc>
          <w:tcPr>
            <w:tcW w:w="2180" w:type="dxa"/>
            <w:vAlign w:val="bottom"/>
            <w:gridSpan w:val="4"/>
            <w:shd w:val="clear" w:color="auto" w:fill="CCEEFF"/>
          </w:tcPr>
          <w:p>
            <w:pPr>
              <w:jc w:val="center"/>
              <w:ind w:right="164"/>
              <w:spacing w:after="0"/>
              <w:rPr>
                <w:sz w:val="20"/>
                <w:szCs w:val="20"/>
                <w:color w:val="auto"/>
              </w:rPr>
            </w:pPr>
            <w:r>
              <w:rPr>
                <w:rFonts w:ascii="Arial" w:cs="Arial" w:eastAsia="Arial" w:hAnsi="Arial"/>
                <w:sz w:val="11"/>
                <w:szCs w:val="11"/>
                <w:color w:val="auto"/>
              </w:rPr>
              <w:t>55.1%</w:t>
            </w: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gridSpan w:val="57"/>
          </w:tcPr>
          <w:p>
            <w:pPr>
              <w:jc w:val="center"/>
              <w:ind w:right="7080"/>
              <w:spacing w:after="0"/>
              <w:rPr>
                <w:sz w:val="20"/>
                <w:szCs w:val="20"/>
                <w:color w:val="auto"/>
              </w:rPr>
            </w:pPr>
            <w:r>
              <w:rPr>
                <w:rFonts w:ascii="Arial" w:cs="Arial" w:eastAsia="Arial" w:hAnsi="Arial"/>
                <w:sz w:val="11"/>
                <w:szCs w:val="11"/>
                <w:color w:val="auto"/>
                <w:w w:val="97"/>
              </w:rPr>
              <w:t>2025</w:t>
            </w:r>
          </w:p>
        </w:tc>
        <w:tc>
          <w:tcPr>
            <w:tcW w:w="7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color w:val="auto"/>
              </w:rPr>
              <w:t>958</w:t>
            </w:r>
          </w:p>
        </w:tc>
        <w:tc>
          <w:tcPr>
            <w:tcW w:w="2520" w:type="dxa"/>
            <w:vAlign w:val="bottom"/>
            <w:tcBorders>
              <w:bottom w:val="single" w:sz="8" w:color="CCEEFF"/>
            </w:tcBorders>
            <w:gridSpan w:val="8"/>
          </w:tcPr>
          <w:p>
            <w:pPr>
              <w:jc w:val="right"/>
              <w:ind w:right="2464"/>
              <w:spacing w:after="0"/>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53"/>
        </w:trPr>
        <w:tc>
          <w:tcPr>
            <w:tcW w:w="7940" w:type="dxa"/>
            <w:vAlign w:val="bottom"/>
            <w:gridSpan w:val="55"/>
            <w:shd w:val="clear" w:color="auto" w:fill="CCEEFF"/>
          </w:tcPr>
          <w:p>
            <w:pPr>
              <w:spacing w:after="0"/>
              <w:rPr>
                <w:sz w:val="20"/>
                <w:szCs w:val="20"/>
                <w:color w:val="auto"/>
              </w:rPr>
            </w:pPr>
            <w:r>
              <w:rPr>
                <w:rFonts w:ascii="Arial" w:cs="Arial" w:eastAsia="Arial" w:hAnsi="Arial"/>
                <w:sz w:val="11"/>
                <w:szCs w:val="11"/>
                <w:color w:val="auto"/>
              </w:rPr>
              <w:t>Total</w:t>
            </w:r>
          </w:p>
        </w:tc>
        <w:tc>
          <w:tcPr>
            <w:tcW w:w="280" w:type="dxa"/>
            <w:vAlign w:val="bottom"/>
            <w:gridSpan w:val="4"/>
            <w:shd w:val="clear" w:color="auto" w:fill="CCEEFF"/>
          </w:tcPr>
          <w:p>
            <w:pPr>
              <w:jc w:val="center"/>
              <w:ind w:right="23"/>
              <w:spacing w:after="0"/>
              <w:rPr>
                <w:sz w:val="20"/>
                <w:szCs w:val="20"/>
                <w:color w:val="auto"/>
              </w:rPr>
            </w:pPr>
            <w:r>
              <w:rPr>
                <w:rFonts w:ascii="Arial" w:cs="Arial" w:eastAsia="Arial" w:hAnsi="Arial"/>
                <w:sz w:val="11"/>
                <w:szCs w:val="11"/>
                <w:color w:val="auto"/>
              </w:rPr>
              <w:t>$</w:t>
            </w:r>
          </w:p>
        </w:tc>
        <w:tc>
          <w:tcPr>
            <w:tcW w:w="3060" w:type="dxa"/>
            <w:vAlign w:val="bottom"/>
            <w:gridSpan w:val="10"/>
            <w:shd w:val="clear" w:color="auto" w:fill="CCEEFF"/>
          </w:tcPr>
          <w:p>
            <w:pPr>
              <w:jc w:val="right"/>
              <w:ind w:right="2524"/>
              <w:spacing w:after="0"/>
              <w:rPr>
                <w:sz w:val="20"/>
                <w:szCs w:val="20"/>
                <w:color w:val="auto"/>
              </w:rPr>
            </w:pPr>
            <w:r>
              <w:rPr>
                <w:rFonts w:ascii="Arial" w:cs="Arial" w:eastAsia="Arial" w:hAnsi="Arial"/>
                <w:sz w:val="11"/>
                <w:szCs w:val="11"/>
                <w:color w:val="auto"/>
              </w:rPr>
              <w:t>20,752</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0"/>
          </w:tcPr>
          <w:p>
            <w:pPr>
              <w:jc w:val="right"/>
              <w:ind w:right="40"/>
              <w:spacing w:after="0"/>
              <w:rPr>
                <w:sz w:val="20"/>
                <w:szCs w:val="20"/>
                <w:color w:val="auto"/>
              </w:rPr>
            </w:pPr>
            <w:r>
              <w:rPr>
                <w:rFonts w:ascii="Arial" w:cs="Arial" w:eastAsia="Arial" w:hAnsi="Arial"/>
                <w:sz w:val="11"/>
                <w:szCs w:val="11"/>
                <w:color w:val="auto"/>
              </w:rPr>
              <w:t>Unpaid losses and LAE — years 2016 through 2025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color w:val="auto"/>
              </w:rPr>
              <w:t>8,050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0" w:type="dxa"/>
            <w:vAlign w:val="bottom"/>
            <w:gridSpan w:val="27"/>
            <w:shd w:val="clear" w:color="auto" w:fill="CCEEFF"/>
          </w:tcPr>
          <w:p>
            <w:pPr>
              <w:jc w:val="right"/>
              <w:ind w:right="40"/>
              <w:spacing w:after="0"/>
              <w:rPr>
                <w:sz w:val="20"/>
                <w:szCs w:val="20"/>
                <w:color w:val="auto"/>
              </w:rPr>
            </w:pPr>
            <w:r>
              <w:rPr>
                <w:rFonts w:ascii="Arial" w:cs="Arial" w:eastAsia="Arial" w:hAnsi="Arial"/>
                <w:sz w:val="11"/>
                <w:szCs w:val="11"/>
                <w:color w:val="auto"/>
              </w:rPr>
              <w:t>Unpaid losses and LAE — 11th year and prior (excluding unallocated LAE)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434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40" w:type="dxa"/>
            <w:vAlign w:val="bottom"/>
            <w:gridSpan w:val="26"/>
          </w:tcPr>
          <w:p>
            <w:pPr>
              <w:jc w:val="right"/>
              <w:ind w:right="40"/>
              <w:spacing w:after="0"/>
              <w:rPr>
                <w:sz w:val="20"/>
                <w:szCs w:val="20"/>
                <w:color w:val="auto"/>
              </w:rPr>
            </w:pPr>
            <w:r>
              <w:rPr>
                <w:rFonts w:ascii="Arial" w:cs="Arial" w:eastAsia="Arial" w:hAnsi="Arial"/>
                <w:sz w:val="11"/>
                <w:szCs w:val="11"/>
                <w:color w:val="auto"/>
              </w:rPr>
              <w:t>Unpaid losses and LAE, net of reinsurance (excluding unallocated LAE)</w:t>
            </w:r>
          </w:p>
        </w:tc>
        <w:tc>
          <w:tcPr>
            <w:tcW w:w="280" w:type="dxa"/>
            <w:vAlign w:val="bottom"/>
            <w:gridSpan w:val="4"/>
          </w:tcPr>
          <w:p>
            <w:pPr>
              <w:jc w:val="center"/>
              <w:ind w:right="23"/>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3"/>
              <w:spacing w:after="0"/>
              <w:rPr>
                <w:sz w:val="20"/>
                <w:szCs w:val="20"/>
                <w:color w:val="auto"/>
              </w:rPr>
            </w:pPr>
            <w:r>
              <w:rPr>
                <w:rFonts w:ascii="Arial" w:cs="Arial" w:eastAsia="Arial" w:hAnsi="Arial"/>
                <w:sz w:val="11"/>
                <w:szCs w:val="11"/>
                <w:color w:val="auto"/>
              </w:rPr>
              <w:t>8,484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31"/>
            <w:vMerge w:val="restart"/>
          </w:tcPr>
          <w:p>
            <w:pPr>
              <w:jc w:val="right"/>
              <w:spacing w:after="0"/>
              <w:rPr>
                <w:sz w:val="20"/>
                <w:szCs w:val="20"/>
                <w:color w:val="auto"/>
              </w:rPr>
            </w:pPr>
            <w:r>
              <w:rPr>
                <w:rFonts w:ascii="Arial" w:cs="Arial" w:eastAsia="Arial" w:hAnsi="Arial"/>
                <w:sz w:val="11"/>
                <w:szCs w:val="11"/>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31"/>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20"/>
          </w:tcPr>
          <w:p>
            <w:pPr>
              <w:ind w:left="460"/>
              <w:spacing w:after="0"/>
              <w:rPr>
                <w:sz w:val="20"/>
                <w:szCs w:val="20"/>
                <w:color w:val="auto"/>
              </w:rPr>
            </w:pPr>
            <w:r>
              <w:rPr>
                <w:rFonts w:ascii="Arial" w:cs="Arial" w:eastAsia="Arial" w:hAnsi="Arial"/>
                <w:sz w:val="11"/>
                <w:szCs w:val="11"/>
                <w:color w:val="auto"/>
              </w:rPr>
              <w:t>(Supplementary Information and Unaudited)</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color w:val="auto"/>
                <w:w w:val="98"/>
              </w:rPr>
              <w:t>Year 1</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color w:val="auto"/>
              </w:rPr>
              <w:t>Year 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color w:val="auto"/>
              </w:rPr>
              <w:t>Year 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Year 4</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color w:val="auto"/>
              </w:rPr>
              <w:t>Year 5</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Year 6</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w w:val="98"/>
              </w:rPr>
              <w:t>Year 7</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color w:val="auto"/>
              </w:rPr>
              <w:t>Year 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6"/>
          </w:tcPr>
          <w:p>
            <w:pPr>
              <w:ind w:left="200"/>
              <w:spacing w:after="0"/>
              <w:rPr>
                <w:sz w:val="20"/>
                <w:szCs w:val="20"/>
                <w:color w:val="auto"/>
              </w:rPr>
            </w:pPr>
            <w:r>
              <w:rPr>
                <w:rFonts w:ascii="Arial" w:cs="Arial" w:eastAsia="Arial" w:hAnsi="Arial"/>
                <w:sz w:val="11"/>
                <w:szCs w:val="11"/>
                <w:color w:val="auto"/>
              </w:rPr>
              <w:t>Year 9</w:t>
            </w: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1"/>
                <w:szCs w:val="11"/>
                <w:color w:val="auto"/>
              </w:rPr>
              <w:t>Year 10</w:t>
            </w:r>
          </w:p>
        </w:tc>
        <w:tc>
          <w:tcPr>
            <w:tcW w:w="1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Annual</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center"/>
              <w:ind w:left="143"/>
              <w:spacing w:after="0"/>
              <w:rPr>
                <w:sz w:val="20"/>
                <w:szCs w:val="20"/>
                <w:color w:val="auto"/>
              </w:rPr>
            </w:pPr>
            <w:r>
              <w:rPr>
                <w:rFonts w:ascii="Arial" w:cs="Arial" w:eastAsia="Arial" w:hAnsi="Arial"/>
                <w:sz w:val="11"/>
                <w:szCs w:val="11"/>
                <w:color w:val="auto"/>
              </w:rPr>
              <w:t>29.2%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5"/>
              </w:rPr>
              <w:t>2.6%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center"/>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rPr>
                <w:sz w:val="20"/>
                <w:szCs w:val="20"/>
                <w:color w:val="auto"/>
              </w:rPr>
            </w:pPr>
            <w:r>
              <w:rPr>
                <w:rFonts w:ascii="Arial" w:cs="Arial" w:eastAsia="Arial" w:hAnsi="Arial"/>
                <w:sz w:val="11"/>
                <w:szCs w:val="11"/>
                <w:color w:val="auto"/>
              </w:rPr>
              <w:t>Cumulative</w:t>
            </w:r>
          </w:p>
        </w:tc>
        <w:tc>
          <w:tcPr>
            <w:tcW w:w="120" w:type="dxa"/>
            <w:vAlign w:val="bottom"/>
          </w:tcPr>
          <w:p>
            <w:pPr>
              <w:spacing w:after="0"/>
              <w:rPr>
                <w:sz w:val="13"/>
                <w:szCs w:val="13"/>
                <w:color w:val="auto"/>
              </w:rPr>
            </w:pPr>
          </w:p>
        </w:tc>
        <w:tc>
          <w:tcPr>
            <w:tcW w:w="560" w:type="dxa"/>
            <w:vAlign w:val="bottom"/>
          </w:tcPr>
          <w:p>
            <w:pPr>
              <w:jc w:val="center"/>
              <w:ind w:left="143"/>
              <w:spacing w:after="0"/>
              <w:rPr>
                <w:sz w:val="20"/>
                <w:szCs w:val="20"/>
                <w:color w:val="auto"/>
              </w:rPr>
            </w:pPr>
            <w:r>
              <w:rPr>
                <w:rFonts w:ascii="Arial" w:cs="Arial" w:eastAsia="Arial" w:hAnsi="Arial"/>
                <w:sz w:val="11"/>
                <w:szCs w:val="11"/>
                <w:color w:val="auto"/>
              </w:rPr>
              <w:t>29.2%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53.8%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65.7%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74.7%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81.3%</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86.1%</w:t>
            </w:r>
          </w:p>
        </w:tc>
        <w:tc>
          <w:tcPr>
            <w:tcW w:w="8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1"/>
                <w:szCs w:val="11"/>
                <w:color w:val="auto"/>
              </w:rPr>
              <w:t>89.4%</w:t>
            </w:r>
          </w:p>
        </w:tc>
        <w:tc>
          <w:tcPr>
            <w:tcW w:w="800" w:type="dxa"/>
            <w:vAlign w:val="bottom"/>
            <w:gridSpan w:val="6"/>
          </w:tcPr>
          <w:p>
            <w:pPr>
              <w:jc w:val="right"/>
              <w:spacing w:after="0"/>
              <w:rPr>
                <w:sz w:val="20"/>
                <w:szCs w:val="20"/>
                <w:color w:val="auto"/>
              </w:rPr>
            </w:pPr>
            <w:r>
              <w:rPr>
                <w:rFonts w:ascii="Arial" w:cs="Arial" w:eastAsia="Arial" w:hAnsi="Arial"/>
                <w:sz w:val="11"/>
                <w:szCs w:val="11"/>
                <w:color w:val="auto"/>
              </w:rPr>
              <w:t>92.0%</w:t>
            </w:r>
          </w:p>
        </w:tc>
        <w:tc>
          <w:tcPr>
            <w:tcW w:w="840" w:type="dxa"/>
            <w:vAlign w:val="bottom"/>
            <w:gridSpan w:val="7"/>
          </w:tcPr>
          <w:p>
            <w:pPr>
              <w:jc w:val="center"/>
              <w:ind w:left="423"/>
              <w:spacing w:after="0"/>
              <w:rPr>
                <w:sz w:val="20"/>
                <w:szCs w:val="20"/>
                <w:color w:val="auto"/>
              </w:rPr>
            </w:pPr>
            <w:r>
              <w:rPr>
                <w:rFonts w:ascii="Arial" w:cs="Arial" w:eastAsia="Arial" w:hAnsi="Arial"/>
                <w:sz w:val="11"/>
                <w:szCs w:val="11"/>
                <w:color w:val="auto"/>
              </w:rPr>
              <w:t>93.3%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gridSpan w:val="4"/>
          </w:tcPr>
          <w:p>
            <w:pPr>
              <w:jc w:val="right"/>
              <w:spacing w:after="0"/>
              <w:rPr>
                <w:sz w:val="20"/>
                <w:szCs w:val="20"/>
                <w:color w:val="auto"/>
              </w:rPr>
            </w:pPr>
            <w:r>
              <w:rPr>
                <w:rFonts w:ascii="Arial" w:cs="Arial" w:eastAsia="Arial" w:hAnsi="Arial"/>
                <w:sz w:val="11"/>
                <w:szCs w:val="11"/>
                <w:color w:val="auto"/>
                <w:w w:val="96"/>
              </w:rPr>
              <w:t>94.3%</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5"/>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cumulative percentage paid of incurred claims and allocated LAE (net of reinsurance, as estimated at December 31, 2025).</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78"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160"/>
        <w:spacing w:after="0"/>
        <w:rPr>
          <w:sz w:val="20"/>
          <w:szCs w:val="20"/>
          <w:color w:val="auto"/>
        </w:rPr>
      </w:pPr>
      <w:r>
        <w:rPr>
          <w:rFonts w:ascii="Arial" w:cs="Arial" w:eastAsia="Arial" w:hAnsi="Arial"/>
          <w:sz w:val="16"/>
          <w:szCs w:val="16"/>
          <w:b w:val="1"/>
          <w:bCs w:val="1"/>
          <w:color w:val="00274E"/>
        </w:rPr>
        <w:t xml:space="preserve">Deferred Policy Acquisition Costs </w:t>
      </w:r>
      <w:r>
        <w:rPr>
          <w:rFonts w:ascii="Arial" w:cs="Arial" w:eastAsia="Arial" w:hAnsi="Arial"/>
          <w:sz w:val="13"/>
          <w:szCs w:val="13"/>
          <w:color w:val="000000"/>
        </w:rPr>
        <w:t>Included in commissions and other underwriting expenses in AFG’s Statement of Earnings is amortization of deferred policy acquisition costs of</w:t>
      </w:r>
      <w:r>
        <w:rPr>
          <w:rFonts w:ascii="Arial" w:cs="Arial" w:eastAsia="Arial" w:hAnsi="Arial"/>
          <w:sz w:val="16"/>
          <w:szCs w:val="16"/>
          <w:b w:val="1"/>
          <w:bCs w:val="1"/>
          <w:color w:val="00274E"/>
        </w:rPr>
        <w:t xml:space="preserve"> </w:t>
      </w:r>
      <w:r>
        <w:rPr>
          <w:rFonts w:ascii="Arial" w:cs="Arial" w:eastAsia="Arial" w:hAnsi="Arial"/>
          <w:sz w:val="13"/>
          <w:szCs w:val="13"/>
          <w:color w:val="000000"/>
        </w:rPr>
        <w:t>$775 million, $766 million, and $720 million in 2025, 2024 and 2023, respectively.</w:t>
      </w:r>
    </w:p>
    <w:p>
      <w:pPr>
        <w:spacing w:after="0" w:line="173" w:lineRule="exact"/>
        <w:rPr>
          <w:sz w:val="20"/>
          <w:szCs w:val="20"/>
          <w:color w:val="auto"/>
        </w:rPr>
      </w:pPr>
    </w:p>
    <w:p>
      <w:pPr>
        <w:ind w:right="300"/>
        <w:spacing w:after="0" w:line="233" w:lineRule="auto"/>
        <w:rPr>
          <w:sz w:val="20"/>
          <w:szCs w:val="20"/>
          <w:color w:val="auto"/>
        </w:rPr>
      </w:pPr>
      <w:r>
        <w:rPr>
          <w:rFonts w:ascii="Arial" w:cs="Arial" w:eastAsia="Arial" w:hAnsi="Arial"/>
          <w:sz w:val="16"/>
          <w:szCs w:val="16"/>
          <w:b w:val="1"/>
          <w:bCs w:val="1"/>
          <w:color w:val="00274E"/>
        </w:rPr>
        <w:t xml:space="preserve">Statutory Information </w:t>
      </w:r>
      <w:r>
        <w:rPr>
          <w:rFonts w:ascii="Arial" w:cs="Arial" w:eastAsia="Arial" w:hAnsi="Arial"/>
          <w:sz w:val="13"/>
          <w:szCs w:val="13"/>
          <w:color w:val="000000"/>
        </w:rPr>
        <w:t>AFG’s U.S.-based insurance subsidiaries are required to file financial statements with state insurance regulatory authorities prepared on an accounting basis</w:t>
      </w:r>
      <w:r>
        <w:rPr>
          <w:rFonts w:ascii="Arial" w:cs="Arial" w:eastAsia="Arial" w:hAnsi="Arial"/>
          <w:sz w:val="16"/>
          <w:szCs w:val="16"/>
          <w:b w:val="1"/>
          <w:bCs w:val="1"/>
          <w:color w:val="00274E"/>
        </w:rPr>
        <w:t xml:space="preserve"> </w:t>
      </w:r>
      <w:r>
        <w:rPr>
          <w:rFonts w:ascii="Arial" w:cs="Arial" w:eastAsia="Arial" w:hAnsi="Arial"/>
          <w:sz w:val="13"/>
          <w:szCs w:val="13"/>
          <w:color w:val="000000"/>
        </w:rPr>
        <w:t>prescribed or permitted by such authorities (statutory basis). Net earnings and capital and surplus on a statutory basis for the insurance subsidiaries were as follows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color w:val="auto"/>
              </w:rPr>
              <w:t>Net Earnings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color w:val="auto"/>
              </w:rPr>
              <w:t>Capital and Surplus</w:t>
            </w:r>
          </w:p>
        </w:tc>
      </w:tr>
      <w:tr>
        <w:trPr>
          <w:trHeight w:val="150"/>
        </w:trPr>
        <w:tc>
          <w:tcPr>
            <w:tcW w:w="6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auto"/>
              </w:rPr>
              <w:t>2024</w:t>
            </w:r>
          </w:p>
        </w:tc>
      </w:tr>
      <w:tr>
        <w:trPr>
          <w:trHeight w:val="164"/>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casualty companies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4,968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4,614</w:t>
            </w:r>
          </w:p>
        </w:tc>
      </w:tr>
    </w:tbl>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The National Association of Insurance Commissioners’ (“NAIC”) model law for risk-based capital (“RBC”) applies to property and casualty insurance companies. RBC formulas determine the amount of capital that an insurance company needs so that it has an acceptable expectation of not becoming financially impaired. Companies below specific trigger points or ratios are subject to regulatory action. At December 31, 2025 and 2024, the capital ratios of all AFG insurance companies substantially exceeded the RBC requirements. AFG’s insurance companies did not use any prescribed or permitted statutory accounting practices that differed from the NAIC statutory accounting practices at December 31, 2025 or 2024.</w:t>
      </w:r>
    </w:p>
    <w:p>
      <w:pPr>
        <w:spacing w:after="0" w:line="168"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Payments of dividends by AFG’s insurance companies are subject to various state laws that limit the amount of dividends that can be paid. Under applicable restrictions, the maximum amount of dividends available to AFG in 2026 from its insurance subsidiaries without seeking regulatory approval is $1.08 billion. Additional amounts of dividends require regulatory approval.</w:t>
      </w:r>
    </w:p>
    <w:p>
      <w:pPr>
        <w:spacing w:after="0" w:line="139"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Cash and securities owned by U.S.-based insurance subsidiaries, having a carrying value of approximately $1.23 billion at December 31, 2025, were on deposit as required by regulatory authorities.</w:t>
      </w:r>
    </w:p>
    <w:p>
      <w:pPr>
        <w:spacing w:after="0" w:line="137"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b w:val="1"/>
          <w:bCs w:val="1"/>
          <w:color w:val="00274E"/>
        </w:rPr>
        <w:t xml:space="preserve">Holding Company Dividends </w:t>
      </w:r>
      <w:r>
        <w:rPr>
          <w:rFonts w:ascii="Arial" w:cs="Arial" w:eastAsia="Arial" w:hAnsi="Arial"/>
          <w:sz w:val="13"/>
          <w:szCs w:val="13"/>
          <w:color w:val="000000"/>
        </w:rPr>
        <w:t>AFG declared and paid Common Stock dividends to shareholders totaling $608 million, $791 million and $687 million in 2025, 2024 and 2023,</w:t>
      </w:r>
      <w:r>
        <w:rPr>
          <w:rFonts w:ascii="Arial" w:cs="Arial" w:eastAsia="Arial" w:hAnsi="Arial"/>
          <w:sz w:val="16"/>
          <w:szCs w:val="16"/>
          <w:b w:val="1"/>
          <w:bCs w:val="1"/>
          <w:color w:val="00274E"/>
        </w:rPr>
        <w:t xml:space="preserve"> </w:t>
      </w:r>
      <w:r>
        <w:rPr>
          <w:rFonts w:ascii="Arial" w:cs="Arial" w:eastAsia="Arial" w:hAnsi="Arial"/>
          <w:sz w:val="13"/>
          <w:szCs w:val="13"/>
          <w:color w:val="000000"/>
        </w:rPr>
        <w:t>respectively. Currently, there are no regulatory restrictions on AFG’s retained earnings or net earnings that materially impact its ability to pay dividends. Based on shareholders’ equity at December 31, 2025, AFG could pay dividends of approximately $1.80 billion without violating its most restrictive debt covenant. However, the payment of future dividends will be at the discretion of AFG’s Board of Directors and will be dependent on many factors including AFG’s financial condition and results of operations, the capital requirements of its insurance subsidiaries and rating agency commitments.</w:t>
      </w:r>
    </w:p>
    <w:p>
      <w:pPr>
        <w:spacing w:after="0" w:line="165"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b w:val="1"/>
          <w:bCs w:val="1"/>
          <w:color w:val="00274E"/>
        </w:rPr>
        <w:t xml:space="preserve">Reinsurance </w:t>
      </w:r>
      <w:r>
        <w:rPr>
          <w:rFonts w:ascii="Arial" w:cs="Arial" w:eastAsia="Arial" w:hAnsi="Arial"/>
          <w:sz w:val="13"/>
          <w:szCs w:val="13"/>
          <w:color w:val="000000"/>
        </w:rPr>
        <w:t>In the normal course of business, AFG cedes reinsurance to other companies to diversify risk and limit maximum loss arising from large claims. However, AFG remains</w:t>
      </w:r>
      <w:r>
        <w:rPr>
          <w:rFonts w:ascii="Arial" w:cs="Arial" w:eastAsia="Arial" w:hAnsi="Arial"/>
          <w:sz w:val="16"/>
          <w:szCs w:val="16"/>
          <w:b w:val="1"/>
          <w:bCs w:val="1"/>
          <w:color w:val="00274E"/>
        </w:rPr>
        <w:t xml:space="preserve"> </w:t>
      </w:r>
      <w:r>
        <w:rPr>
          <w:rFonts w:ascii="Arial" w:cs="Arial" w:eastAsia="Arial" w:hAnsi="Arial"/>
          <w:sz w:val="13"/>
          <w:szCs w:val="13"/>
          <w:color w:val="000000"/>
        </w:rPr>
        <w:t>liable to its insureds regardless of whether a reinsurer is able to meet its obligations. The following table shows (in millions) (i) amounts deducted from written and earned premiums in connection with reinsurance ceded, (ii) written and earned premiums included in income for reinsurance assumed and (iii) reinsurance recoveries, which represent ceded losses and loss adjustment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premiums written</w:t>
            </w:r>
          </w:p>
        </w:tc>
        <w:tc>
          <w:tcPr>
            <w:tcW w:w="740" w:type="dxa"/>
            <w:vAlign w:val="bottom"/>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10,342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8"/>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9,309</w:t>
            </w: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Reinsurance assumed</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347</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ceded</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(3,584)</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(3,394)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(2,964)</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Net written premiums</w:t>
            </w:r>
          </w:p>
        </w:tc>
        <w:tc>
          <w:tcPr>
            <w:tcW w:w="7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7,110</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3"/>
                <w:szCs w:val="13"/>
                <w:color w:val="auto"/>
              </w:rPr>
              <w:t>Direct premiums earned</w:t>
            </w:r>
          </w:p>
        </w:tc>
        <w:tc>
          <w:tcPr>
            <w:tcW w:w="740" w:type="dxa"/>
            <w:vAlign w:val="bottom"/>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10,213</w:t>
            </w:r>
          </w:p>
        </w:tc>
        <w:tc>
          <w:tcPr>
            <w:tcW w:w="80" w:type="dxa"/>
            <w:vAlign w:val="bottom"/>
          </w:tcPr>
          <w:p>
            <w:pPr>
              <w:spacing w:after="0"/>
              <w:rPr>
                <w:sz w:val="14"/>
                <w:szCs w:val="14"/>
                <w:color w:val="auto"/>
              </w:rPr>
            </w:pPr>
          </w:p>
        </w:tc>
        <w:tc>
          <w:tcPr>
            <w:tcW w:w="760" w:type="dxa"/>
            <w:vAlign w:val="bottom"/>
          </w:tcPr>
          <w:p>
            <w:pPr>
              <w:jc w:val="right"/>
              <w:ind w:right="618"/>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9,763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9,133</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Reinsurance assumed</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Reinsurance ceded</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(3,514)</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(3,338)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(2,923)</w:t>
            </w:r>
          </w:p>
        </w:tc>
      </w:tr>
      <w:tr>
        <w:trPr>
          <w:trHeight w:val="1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earned premiums</w:t>
            </w:r>
          </w:p>
        </w:tc>
        <w:tc>
          <w:tcPr>
            <w:tcW w:w="74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7,046</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9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Reinsurance recoveries</w:t>
            </w:r>
          </w:p>
        </w:tc>
        <w:tc>
          <w:tcPr>
            <w:tcW w:w="74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NOTES TO CONSOLIDATED FINANCIAL STATEMENTS — CONTINUED</w:t>
      </w:r>
    </w:p>
    <w:p>
      <w:pPr>
        <w:spacing w:after="0" w:line="341" w:lineRule="exact"/>
        <w:rPr>
          <w:sz w:val="20"/>
          <w:szCs w:val="20"/>
          <w:color w:val="auto"/>
        </w:rPr>
      </w:pPr>
    </w:p>
    <w:p>
      <w:pPr>
        <w:ind w:right="180"/>
        <w:spacing w:after="0"/>
        <w:rPr>
          <w:sz w:val="20"/>
          <w:szCs w:val="20"/>
          <w:color w:val="auto"/>
        </w:rPr>
      </w:pPr>
      <w:r>
        <w:rPr>
          <w:rFonts w:ascii="Arial" w:cs="Arial" w:eastAsia="Arial" w:hAnsi="Arial"/>
          <w:sz w:val="16"/>
          <w:szCs w:val="16"/>
          <w:b w:val="1"/>
          <w:bCs w:val="1"/>
          <w:color w:val="00274E"/>
        </w:rPr>
        <w:t xml:space="preserve">Recoverables from Reinsurers and Premiums Receivable </w:t>
      </w:r>
      <w:r>
        <w:rPr>
          <w:rFonts w:ascii="Arial" w:cs="Arial" w:eastAsia="Arial" w:hAnsi="Arial"/>
          <w:sz w:val="13"/>
          <w:szCs w:val="13"/>
          <w:color w:val="000000"/>
        </w:rPr>
        <w:t>Progressions of the allowance for expected credit losses on recoverables from reinsurers and premiums receivable</w:t>
      </w:r>
      <w:r>
        <w:rPr>
          <w:rFonts w:ascii="Arial" w:cs="Arial" w:eastAsia="Arial" w:hAnsi="Arial"/>
          <w:sz w:val="16"/>
          <w:szCs w:val="16"/>
          <w:b w:val="1"/>
          <w:bCs w:val="1"/>
          <w:color w:val="00274E"/>
        </w:rPr>
        <w:t xml:space="preserve"> </w:t>
      </w:r>
      <w:r>
        <w:rPr>
          <w:rFonts w:ascii="Arial" w:cs="Arial" w:eastAsia="Arial" w:hAnsi="Arial"/>
          <w:sz w:val="13"/>
          <w:szCs w:val="13"/>
          <w:color w:val="000000"/>
        </w:rPr>
        <w:t>are shown below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1"/>
                <w:szCs w:val="11"/>
                <w:color w:val="auto"/>
              </w:rPr>
              <w:t>Recoverables from Reinsurers</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Premiums Receivable</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51"/>
        </w:trPr>
        <w:tc>
          <w:tcPr>
            <w:tcW w:w="42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2025</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2024</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2023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2025</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color w:val="auto"/>
              </w:rPr>
              <w:t>2023</w:t>
            </w:r>
          </w:p>
        </w:tc>
      </w:tr>
      <w:tr>
        <w:trPr>
          <w:trHeight w:val="164"/>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4280" w:type="dxa"/>
            <w:vAlign w:val="bottom"/>
          </w:tcPr>
          <w:p>
            <w:pPr>
              <w:ind w:left="20"/>
              <w:spacing w:after="0"/>
              <w:rPr>
                <w:sz w:val="20"/>
                <w:szCs w:val="20"/>
                <w:color w:val="auto"/>
              </w:rPr>
            </w:pPr>
            <w:r>
              <w:rPr>
                <w:rFonts w:ascii="Arial" w:cs="Arial" w:eastAsia="Arial" w:hAnsi="Arial"/>
                <w:sz w:val="13"/>
                <w:szCs w:val="13"/>
                <w:color w:val="auto"/>
              </w:rPr>
              <w:t>Increase in allowance from acquisition of CRS</w:t>
            </w:r>
          </w:p>
        </w:tc>
        <w:tc>
          <w:tcPr>
            <w:tcW w:w="7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expected credit losses</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4280" w:type="dxa"/>
            <w:vAlign w:val="bottom"/>
          </w:tcPr>
          <w:p>
            <w:pPr>
              <w:ind w:left="20"/>
              <w:spacing w:after="0"/>
              <w:rPr>
                <w:sz w:val="20"/>
                <w:szCs w:val="20"/>
                <w:color w:val="auto"/>
              </w:rPr>
            </w:pPr>
            <w:r>
              <w:rPr>
                <w:rFonts w:ascii="Arial" w:cs="Arial" w:eastAsia="Arial" w:hAnsi="Arial"/>
                <w:sz w:val="13"/>
                <w:szCs w:val="13"/>
                <w:color w:val="auto"/>
              </w:rPr>
              <w:t>Write-offs charged against the allowance</w:t>
            </w:r>
          </w:p>
        </w:tc>
        <w:tc>
          <w:tcPr>
            <w:tcW w:w="7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w:t>
            </w:r>
          </w:p>
        </w:tc>
        <w:tc>
          <w:tcPr>
            <w:tcW w:w="7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80" w:hanging="475"/>
        <w:spacing w:after="0"/>
        <w:tabs>
          <w:tab w:leader="none" w:pos="480" w:val="left"/>
        </w:tabs>
        <w:numPr>
          <w:ilvl w:val="0"/>
          <w:numId w:val="61"/>
        </w:numPr>
        <w:rPr>
          <w:rFonts w:ascii="Arial" w:cs="Arial" w:eastAsia="Arial" w:hAnsi="Arial"/>
          <w:sz w:val="23"/>
          <w:szCs w:val="23"/>
          <w:b w:val="1"/>
          <w:bCs w:val="1"/>
          <w:color w:val="00274E"/>
        </w:rPr>
      </w:pPr>
      <w:r>
        <w:rPr>
          <w:rFonts w:ascii="Arial" w:cs="Arial" w:eastAsia="Arial" w:hAnsi="Arial"/>
          <w:sz w:val="23"/>
          <w:szCs w:val="23"/>
          <w:b w:val="1"/>
          <w:bCs w:val="1"/>
          <w:color w:val="00274E"/>
        </w:rPr>
        <w:t>Additional Information</w:t>
      </w:r>
    </w:p>
    <w:p>
      <w:pPr>
        <w:spacing w:after="0" w:line="209" w:lineRule="exact"/>
        <w:rPr>
          <w:sz w:val="20"/>
          <w:szCs w:val="20"/>
          <w:color w:val="auto"/>
        </w:rPr>
      </w:pPr>
    </w:p>
    <w:p>
      <w:pPr>
        <w:ind w:right="100"/>
        <w:spacing w:after="0"/>
        <w:rPr>
          <w:sz w:val="20"/>
          <w:szCs w:val="20"/>
          <w:color w:val="auto"/>
        </w:rPr>
      </w:pPr>
      <w:r>
        <w:rPr>
          <w:rFonts w:ascii="Arial" w:cs="Arial" w:eastAsia="Arial" w:hAnsi="Arial"/>
          <w:sz w:val="16"/>
          <w:szCs w:val="16"/>
          <w:b w:val="1"/>
          <w:bCs w:val="1"/>
          <w:color w:val="00274E"/>
        </w:rPr>
        <w:t xml:space="preserve">Financial Instruments — Unfunded Commitments </w:t>
      </w:r>
      <w:r>
        <w:rPr>
          <w:rFonts w:ascii="Arial" w:cs="Arial" w:eastAsia="Arial" w:hAnsi="Arial"/>
          <w:sz w:val="13"/>
          <w:szCs w:val="13"/>
          <w:color w:val="000000"/>
        </w:rPr>
        <w:t>On occasion, AFG and its subsidiaries have entered into financial instrument transactions that may present off-balance-sheet</w:t>
      </w:r>
      <w:r>
        <w:rPr>
          <w:rFonts w:ascii="Arial" w:cs="Arial" w:eastAsia="Arial" w:hAnsi="Arial"/>
          <w:sz w:val="16"/>
          <w:szCs w:val="16"/>
          <w:b w:val="1"/>
          <w:bCs w:val="1"/>
          <w:color w:val="00274E"/>
        </w:rPr>
        <w:t xml:space="preserve"> </w:t>
      </w:r>
      <w:r>
        <w:rPr>
          <w:rFonts w:ascii="Arial" w:cs="Arial" w:eastAsia="Arial" w:hAnsi="Arial"/>
          <w:sz w:val="13"/>
          <w:szCs w:val="13"/>
          <w:color w:val="000000"/>
        </w:rPr>
        <w:t>risks of both a credit and market risk nature. These transactions include commitments to fund loans, loan guarantees and commitments to purchase and sell securities or loans. At December 31, 2025, AFG and its subsidiaries had commitments to fund credit facilities and contribute capital to limited partnerships and limited liability corporations of approximately $616 million.</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00274E"/>
        </w:rPr>
        <w:t xml:space="preserve">Benefit Plans </w:t>
      </w:r>
      <w:r>
        <w:rPr>
          <w:rFonts w:ascii="Arial" w:cs="Arial" w:eastAsia="Arial" w:hAnsi="Arial"/>
          <w:sz w:val="13"/>
          <w:szCs w:val="13"/>
          <w:color w:val="000000"/>
        </w:rPr>
        <w:t>AFG expensed approximately $71 million in 2025, $68 million in 2024 and $63 million in 2023 for its retirement and employee savings plans.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III</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information required by the following Items will be included in AFG’s definitive Proxy Statement for the 2026 Annual Meeting of Shareholders, which will be filed with the Securities and Exchange Commission within 120 days after the end of the Registrant’s fiscal year and is incorporated herein by reference.</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10</w:t>
      </w:r>
      <w:r>
        <w:rPr>
          <w:sz w:val="20"/>
          <w:szCs w:val="20"/>
          <w:color w:val="auto"/>
        </w:rPr>
        <w:tab/>
      </w:r>
      <w:r>
        <w:rPr>
          <w:rFonts w:ascii="Arial" w:cs="Arial" w:eastAsia="Arial" w:hAnsi="Arial"/>
          <w:sz w:val="14"/>
          <w:szCs w:val="14"/>
          <w:b w:val="1"/>
          <w:bCs w:val="1"/>
          <w:color w:val="00274E"/>
        </w:rPr>
        <w:t>Directors, Executive Officers of the Registrant and Corporate Governance</w:t>
      </w:r>
    </w:p>
    <w:p>
      <w:pPr>
        <w:spacing w:after="0" w:line="9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00274E"/>
        </w:rPr>
        <w:t>ITEM 11</w:t>
      </w:r>
      <w:r>
        <w:rPr>
          <w:sz w:val="20"/>
          <w:szCs w:val="20"/>
          <w:color w:val="auto"/>
        </w:rPr>
        <w:tab/>
      </w:r>
      <w:r>
        <w:rPr>
          <w:rFonts w:ascii="Arial" w:cs="Arial" w:eastAsia="Arial" w:hAnsi="Arial"/>
          <w:sz w:val="14"/>
          <w:szCs w:val="14"/>
          <w:b w:val="1"/>
          <w:bCs w:val="1"/>
          <w:color w:val="00274E"/>
        </w:rPr>
        <w:t>Executive Compensation</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12</w:t>
      </w:r>
      <w:r>
        <w:rPr>
          <w:sz w:val="20"/>
          <w:szCs w:val="20"/>
          <w:color w:val="auto"/>
        </w:rPr>
        <w:tab/>
      </w:r>
      <w:r>
        <w:rPr>
          <w:rFonts w:ascii="Arial" w:cs="Arial" w:eastAsia="Arial" w:hAnsi="Arial"/>
          <w:sz w:val="14"/>
          <w:szCs w:val="14"/>
          <w:b w:val="1"/>
          <w:bCs w:val="1"/>
          <w:color w:val="00274E"/>
        </w:rPr>
        <w:t>Security Ownership of Certain Beneficial Owners and Management and Related Stockholder Matters</w:t>
      </w:r>
    </w:p>
    <w:p>
      <w:pPr>
        <w:spacing w:after="0" w:line="92"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13</w:t>
      </w:r>
      <w:r>
        <w:rPr>
          <w:sz w:val="20"/>
          <w:szCs w:val="20"/>
          <w:color w:val="auto"/>
        </w:rPr>
        <w:tab/>
      </w:r>
      <w:r>
        <w:rPr>
          <w:rFonts w:ascii="Arial" w:cs="Arial" w:eastAsia="Arial" w:hAnsi="Arial"/>
          <w:sz w:val="14"/>
          <w:szCs w:val="14"/>
          <w:b w:val="1"/>
          <w:bCs w:val="1"/>
          <w:color w:val="00274E"/>
        </w:rPr>
        <w:t>Certain Relationships and Related Transactions, and Director Independence</w:t>
      </w:r>
    </w:p>
    <w:p>
      <w:pPr>
        <w:spacing w:after="0" w:line="8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00274E"/>
        </w:rPr>
        <w:t>ITEM 14</w:t>
      </w:r>
      <w:r>
        <w:rPr>
          <w:sz w:val="20"/>
          <w:szCs w:val="20"/>
          <w:color w:val="auto"/>
        </w:rPr>
        <w:tab/>
      </w:r>
      <w:r>
        <w:rPr>
          <w:rFonts w:ascii="Arial" w:cs="Arial" w:eastAsia="Arial" w:hAnsi="Arial"/>
          <w:sz w:val="14"/>
          <w:szCs w:val="14"/>
          <w:b w:val="1"/>
          <w:bCs w:val="1"/>
          <w:color w:val="00274E"/>
        </w:rPr>
        <w:t>Principal Accountant Fees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28"/>
          <w:szCs w:val="28"/>
          <w:b w:val="1"/>
          <w:bCs w:val="1"/>
          <w:color w:val="00274E"/>
        </w:rPr>
        <w:t>Item 15. Exhibits and Financial Statement Schedules</w:t>
      </w:r>
    </w:p>
    <w:p>
      <w:pPr>
        <w:spacing w:after="0" w:line="68" w:lineRule="exact"/>
        <w:rPr>
          <w:sz w:val="20"/>
          <w:szCs w:val="20"/>
          <w:color w:val="auto"/>
        </w:rPr>
      </w:pPr>
    </w:p>
    <w:p>
      <w:pPr>
        <w:ind w:left="480" w:hanging="403"/>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Documents filed as part of this Report:</w:t>
      </w:r>
    </w:p>
    <w:p>
      <w:pPr>
        <w:spacing w:after="0" w:line="9" w:lineRule="exact"/>
        <w:rPr>
          <w:rFonts w:ascii="Arial" w:cs="Arial" w:eastAsia="Arial" w:hAnsi="Arial"/>
          <w:sz w:val="13"/>
          <w:szCs w:val="13"/>
          <w:color w:val="auto"/>
        </w:rPr>
      </w:pPr>
    </w:p>
    <w:p>
      <w:pPr>
        <w:ind w:left="800" w:hanging="320"/>
        <w:spacing w:after="0"/>
        <w:tabs>
          <w:tab w:leader="none" w:pos="800" w:val="left"/>
        </w:tabs>
        <w:numPr>
          <w:ilvl w:val="1"/>
          <w:numId w:val="62"/>
        </w:numPr>
        <w:rPr>
          <w:rFonts w:ascii="Arial" w:cs="Arial" w:eastAsia="Arial" w:hAnsi="Arial"/>
          <w:sz w:val="13"/>
          <w:szCs w:val="13"/>
          <w:color w:val="auto"/>
        </w:rPr>
      </w:pPr>
      <w:r>
        <w:rPr>
          <w:rFonts w:ascii="Arial" w:cs="Arial" w:eastAsia="Arial" w:hAnsi="Arial"/>
          <w:sz w:val="13"/>
          <w:szCs w:val="13"/>
          <w:color w:val="auto"/>
        </w:rPr>
        <w:t>Financial Statements are included in Part II, Item 8.</w:t>
      </w:r>
    </w:p>
    <w:p>
      <w:pPr>
        <w:spacing w:after="0" w:line="136" w:lineRule="exact"/>
        <w:rPr>
          <w:rFonts w:ascii="Arial" w:cs="Arial" w:eastAsia="Arial" w:hAnsi="Arial"/>
          <w:sz w:val="13"/>
          <w:szCs w:val="13"/>
          <w:color w:val="auto"/>
        </w:rPr>
      </w:pPr>
    </w:p>
    <w:p>
      <w:pPr>
        <w:ind w:left="800" w:hanging="320"/>
        <w:spacing w:after="0"/>
        <w:tabs>
          <w:tab w:leader="none" w:pos="800" w:val="left"/>
        </w:tabs>
        <w:numPr>
          <w:ilvl w:val="1"/>
          <w:numId w:val="62"/>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20"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Schedules filed herewith for 2025, 2024, and 2023:</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0"/>
        </w:trPr>
        <w:tc>
          <w:tcPr>
            <w:tcW w:w="2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Page</w:t>
            </w:r>
          </w:p>
        </w:tc>
      </w:tr>
      <w:tr>
        <w:trPr>
          <w:trHeight w:val="179"/>
        </w:trPr>
        <w:tc>
          <w:tcPr>
            <w:tcW w:w="220" w:type="dxa"/>
            <w:vAlign w:val="bottom"/>
          </w:tcPr>
          <w:p>
            <w:pPr>
              <w:spacing w:after="0"/>
              <w:rPr>
                <w:sz w:val="15"/>
                <w:szCs w:val="15"/>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II — Condensed Financial Information of Registrant</w:t>
            </w:r>
          </w:p>
        </w:tc>
        <w:tc>
          <w:tcPr>
            <w:tcW w:w="56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0000FF"/>
              </w:rPr>
              <w:t>S-3</w:t>
            </w:r>
          </w:p>
        </w:tc>
      </w:tr>
      <w:tr>
        <w:trPr>
          <w:trHeight w:val="170"/>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III — Supplementary Insurance Information</w:t>
            </w: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0000FF"/>
              </w:rPr>
              <w:t>S-5</w:t>
            </w:r>
          </w:p>
        </w:tc>
      </w:tr>
      <w:tr>
        <w:trPr>
          <w:trHeight w:val="247"/>
        </w:trPr>
        <w:tc>
          <w:tcPr>
            <w:tcW w:w="220" w:type="dxa"/>
            <w:vAlign w:val="bottom"/>
          </w:tcPr>
          <w:p>
            <w:pPr>
              <w:spacing w:after="0"/>
              <w:rPr>
                <w:sz w:val="21"/>
                <w:szCs w:val="21"/>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All other schedules for which provisions are made in the applicable regulation of the Securities and Exchange Commission have been omitted as they are</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67"/>
        </w:trPr>
        <w:tc>
          <w:tcPr>
            <w:tcW w:w="220" w:type="dxa"/>
            <w:vAlign w:val="bottom"/>
          </w:tcPr>
          <w:p>
            <w:pPr>
              <w:spacing w:after="0"/>
              <w:rPr>
                <w:sz w:val="14"/>
                <w:szCs w:val="14"/>
                <w:color w:val="auto"/>
              </w:rPr>
            </w:pPr>
          </w:p>
        </w:tc>
        <w:tc>
          <w:tcPr>
            <w:tcW w:w="9660" w:type="dxa"/>
            <w:vAlign w:val="bottom"/>
          </w:tcPr>
          <w:p>
            <w:pPr>
              <w:ind w:left="460"/>
              <w:spacing w:after="0"/>
              <w:rPr>
                <w:sz w:val="20"/>
                <w:szCs w:val="20"/>
                <w:color w:val="auto"/>
              </w:rPr>
            </w:pPr>
            <w:r>
              <w:rPr>
                <w:rFonts w:ascii="Arial" w:cs="Arial" w:eastAsia="Arial" w:hAnsi="Arial"/>
                <w:sz w:val="13"/>
                <w:szCs w:val="13"/>
                <w:color w:val="auto"/>
              </w:rPr>
              <w:t>not applicable, not required, or the information required thereby is set forth in the Financial Statements or the notes thereto.</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86"/>
        </w:trPr>
        <w:tc>
          <w:tcPr>
            <w:tcW w:w="220" w:type="dxa"/>
            <w:vAlign w:val="bottom"/>
          </w:tcPr>
          <w:p>
            <w:pPr>
              <w:jc w:val="right"/>
              <w:ind w:right="56"/>
              <w:spacing w:after="0"/>
              <w:rPr>
                <w:sz w:val="20"/>
                <w:szCs w:val="20"/>
                <w:color w:val="auto"/>
              </w:rPr>
            </w:pPr>
            <w:r>
              <w:rPr>
                <w:rFonts w:ascii="Arial" w:cs="Arial" w:eastAsia="Arial" w:hAnsi="Arial"/>
                <w:sz w:val="13"/>
                <w:szCs w:val="13"/>
                <w:color w:val="auto"/>
                <w:w w:val="73"/>
              </w:rPr>
              <w:t>3.</w:t>
            </w:r>
          </w:p>
        </w:tc>
        <w:tc>
          <w:tcPr>
            <w:tcW w:w="9660" w:type="dxa"/>
            <w:vAlign w:val="bottom"/>
          </w:tcPr>
          <w:p>
            <w:pPr>
              <w:ind w:left="100"/>
              <w:spacing w:after="0"/>
              <w:rPr>
                <w:sz w:val="20"/>
                <w:szCs w:val="20"/>
                <w:color w:val="auto"/>
              </w:rPr>
            </w:pPr>
            <w:r>
              <w:rPr>
                <w:rFonts w:ascii="Arial" w:cs="Arial" w:eastAsia="Arial" w:hAnsi="Arial"/>
                <w:sz w:val="13"/>
                <w:szCs w:val="13"/>
                <w:color w:val="auto"/>
              </w:rPr>
              <w:t>Exhibits — See Exhibit Index on the next page.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00274E"/>
        </w:rPr>
        <w:t>INDEX TO EXHIBITS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00274E"/>
        </w:rPr>
        <w:t>AMERICAN FINANCIAL GROUP, INC.</w:t>
      </w:r>
    </w:p>
    <w:p>
      <w:pPr>
        <w:sectPr>
          <w:pgSz w:w="11900" w:h="16838" w:orient="portrait"/>
          <w:cols w:equalWidth="0" w:num="1">
            <w:col w:w="11160"/>
          </w:cols>
          <w:pgMar w:left="300" w:top="121" w:right="439" w:bottom="1440" w:gutter="0" w:footer="0" w:header="0"/>
        </w:sectPr>
      </w:pP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Number</w:t>
            </w:r>
          </w:p>
        </w:tc>
        <w:tc>
          <w:tcPr>
            <w:tcW w:w="4880" w:type="dxa"/>
            <w:vAlign w:val="bottom"/>
          </w:tcPr>
          <w:p>
            <w:pPr>
              <w:spacing w:after="0"/>
              <w:rPr>
                <w:sz w:val="13"/>
                <w:szCs w:val="1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6"/>
              </w:rPr>
              <w:t>Exhibit Description</w:t>
            </w:r>
          </w:p>
        </w:tc>
        <w:tc>
          <w:tcPr>
            <w:tcW w:w="400" w:type="dxa"/>
            <w:vAlign w:val="bottom"/>
          </w:tcPr>
          <w:p>
            <w:pPr>
              <w:spacing w:after="0"/>
              <w:rPr>
                <w:sz w:val="13"/>
                <w:szCs w:val="13"/>
                <w:color w:val="auto"/>
              </w:rPr>
            </w:pPr>
          </w:p>
        </w:tc>
      </w:tr>
      <w:tr>
        <w:trPr>
          <w:trHeight w:val="179"/>
        </w:trPr>
        <w:tc>
          <w:tcPr>
            <w:tcW w:w="460" w:type="dxa"/>
            <w:vAlign w:val="bottom"/>
          </w:tcPr>
          <w:p>
            <w:pPr>
              <w:spacing w:after="0"/>
              <w:rPr>
                <w:rFonts w:ascii="Arial" w:cs="Arial" w:eastAsia="Arial" w:hAnsi="Arial"/>
                <w:sz w:val="13"/>
                <w:szCs w:val="13"/>
                <w:color w:val="0000FF"/>
              </w:rPr>
            </w:pPr>
            <w:hyperlink r:id="rId186">
              <w:r>
                <w:rPr>
                  <w:rFonts w:ascii="Arial" w:cs="Arial" w:eastAsia="Arial" w:hAnsi="Arial"/>
                  <w:sz w:val="13"/>
                  <w:szCs w:val="13"/>
                  <w:color w:val="0000FF"/>
                </w:rPr>
                <w:t>3(a)</w:t>
              </w:r>
            </w:hyperlink>
          </w:p>
        </w:tc>
        <w:tc>
          <w:tcPr>
            <w:tcW w:w="6340" w:type="dxa"/>
            <w:vAlign w:val="bottom"/>
            <w:gridSpan w:val="3"/>
          </w:tcPr>
          <w:p>
            <w:pPr>
              <w:ind w:left="560"/>
              <w:spacing w:after="0"/>
              <w:rPr>
                <w:sz w:val="20"/>
                <w:szCs w:val="20"/>
                <w:color w:val="auto"/>
              </w:rPr>
            </w:pPr>
            <w:r>
              <w:rPr>
                <w:rFonts w:ascii="Arial" w:cs="Arial" w:eastAsia="Arial" w:hAnsi="Arial"/>
                <w:sz w:val="13"/>
                <w:szCs w:val="13"/>
                <w:color w:val="auto"/>
              </w:rPr>
              <w:t>Amended and Restated Articles of Incorporation, filed as Exhibit 3.A to AFG’s Form 10-K for 2019.</w:t>
            </w:r>
          </w:p>
        </w:tc>
      </w:tr>
      <w:tr>
        <w:trPr>
          <w:trHeight w:val="170"/>
        </w:trPr>
        <w:tc>
          <w:tcPr>
            <w:tcW w:w="460" w:type="dxa"/>
            <w:vAlign w:val="bottom"/>
          </w:tcPr>
          <w:p>
            <w:pPr>
              <w:spacing w:after="0"/>
              <w:rPr>
                <w:rFonts w:ascii="Arial" w:cs="Arial" w:eastAsia="Arial" w:hAnsi="Arial"/>
                <w:sz w:val="13"/>
                <w:szCs w:val="13"/>
                <w:color w:val="0000FF"/>
              </w:rPr>
            </w:pPr>
            <w:hyperlink r:id="rId187">
              <w:r>
                <w:rPr>
                  <w:rFonts w:ascii="Arial" w:cs="Arial" w:eastAsia="Arial" w:hAnsi="Arial"/>
                  <w:sz w:val="13"/>
                  <w:szCs w:val="13"/>
                  <w:color w:val="0000FF"/>
                </w:rPr>
                <w:t>3(b)</w:t>
              </w:r>
            </w:hyperlink>
          </w:p>
        </w:tc>
        <w:tc>
          <w:tcPr>
            <w:tcW w:w="6340" w:type="dxa"/>
            <w:vAlign w:val="bottom"/>
            <w:gridSpan w:val="3"/>
          </w:tcPr>
          <w:p>
            <w:pPr>
              <w:ind w:left="560"/>
              <w:spacing w:after="0"/>
              <w:rPr>
                <w:sz w:val="20"/>
                <w:szCs w:val="20"/>
                <w:color w:val="auto"/>
              </w:rPr>
            </w:pPr>
            <w:r>
              <w:rPr>
                <w:rFonts w:ascii="Arial" w:cs="Arial" w:eastAsia="Arial" w:hAnsi="Arial"/>
                <w:sz w:val="13"/>
                <w:szCs w:val="13"/>
                <w:color w:val="auto"/>
                <w:w w:val="97"/>
              </w:rPr>
              <w:t>Amended and Restated Code of Regulations, filed as Exhibit 3.1 to the Form 8-K filed on April 1, 2020.</w:t>
            </w:r>
          </w:p>
        </w:tc>
      </w:tr>
    </w:tbl>
    <w:p>
      <w:pPr>
        <w:spacing w:after="0" w:line="3" w:lineRule="exact"/>
        <w:rPr>
          <w:sz w:val="20"/>
          <w:szCs w:val="20"/>
          <w:color w:val="auto"/>
        </w:rPr>
      </w:pPr>
    </w:p>
    <w:p>
      <w:pPr>
        <w:ind w:left="1060" w:hanging="1015"/>
        <w:spacing w:after="0"/>
        <w:tabs>
          <w:tab w:leader="none" w:pos="10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Instruments defining the rights of security 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ind w:left="23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Registrant has no outstanding debt issues exceeding 10% of the assets of Registrant and consolidated subsidiaries.</w:t>
      </w:r>
    </w:p>
    <w:p>
      <w:pPr>
        <w:spacing w:after="0" w:line="4" w:lineRule="exact"/>
        <w:rPr>
          <w:sz w:val="20"/>
          <w:szCs w:val="20"/>
          <w:color w:val="auto"/>
        </w:rPr>
      </w:pPr>
    </w:p>
    <w:p>
      <w:pPr>
        <w:sectPr>
          <w:pgSz w:w="11900" w:h="16838" w:orient="portrait"/>
          <w:cols w:equalWidth="0" w:num="2">
            <w:col w:w="7820" w:space="720"/>
            <w:col w:w="2620"/>
          </w:cols>
          <w:pgMar w:left="300" w:top="121" w:right="439" w:bottom="1440" w:gutter="0" w:footer="0" w:header="0"/>
          <w:type w:val="continuous"/>
        </w:sectPr>
      </w:pPr>
    </w:p>
    <w:tbl>
      <w:tblPr>
        <w:tblLayout w:type="fixed"/>
        <w:tblInd w:w="4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10060" w:type="dxa"/>
            <w:vAlign w:val="bottom"/>
          </w:tcPr>
          <w:p>
            <w:pPr>
              <w:ind w:left="360"/>
              <w:spacing w:after="0"/>
              <w:rPr>
                <w:sz w:val="20"/>
                <w:szCs w:val="20"/>
                <w:color w:val="auto"/>
              </w:rPr>
            </w:pPr>
            <w:r>
              <w:rPr>
                <w:rFonts w:ascii="Arial" w:cs="Arial" w:eastAsia="Arial" w:hAnsi="Arial"/>
                <w:sz w:val="13"/>
                <w:szCs w:val="13"/>
                <w:color w:val="auto"/>
              </w:rPr>
              <w:t>Material Contracts: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10(a)</w:t>
            </w:r>
          </w:p>
        </w:tc>
        <w:tc>
          <w:tcPr>
            <w:tcW w:w="10060" w:type="dxa"/>
            <w:vAlign w:val="bottom"/>
          </w:tcPr>
          <w:p>
            <w:pPr>
              <w:ind w:left="500"/>
              <w:spacing w:after="0"/>
              <w:rPr>
                <w:sz w:val="20"/>
                <w:szCs w:val="20"/>
                <w:color w:val="auto"/>
              </w:rPr>
            </w:pPr>
            <w:r>
              <w:rPr>
                <w:rFonts w:ascii="Arial" w:cs="Arial" w:eastAsia="Arial" w:hAnsi="Arial"/>
                <w:sz w:val="13"/>
                <w:szCs w:val="13"/>
                <w:color w:val="auto"/>
              </w:rPr>
              <w:t>Form of Amended and Restated Non-Employee Directors Compensation Plan</w:t>
            </w:r>
          </w:p>
        </w:tc>
        <w:tc>
          <w:tcPr>
            <w:tcW w:w="260" w:type="dxa"/>
            <w:vAlign w:val="bottom"/>
          </w:tcPr>
          <w:p>
            <w:pPr>
              <w:spacing w:after="0"/>
              <w:rPr>
                <w:sz w:val="14"/>
                <w:szCs w:val="14"/>
                <w:color w:val="auto"/>
              </w:rPr>
            </w:pPr>
          </w:p>
        </w:tc>
      </w:tr>
      <w:tr>
        <w:trPr>
          <w:trHeight w:val="130"/>
        </w:trPr>
        <w:tc>
          <w:tcPr>
            <w:tcW w:w="660" w:type="dxa"/>
            <w:vAlign w:val="bottom"/>
          </w:tcPr>
          <w:p>
            <w:pPr>
              <w:spacing w:after="0" w:line="130" w:lineRule="exact"/>
              <w:rPr>
                <w:rFonts w:ascii="Arial" w:cs="Arial" w:eastAsia="Arial" w:hAnsi="Arial"/>
                <w:sz w:val="13"/>
                <w:szCs w:val="13"/>
                <w:color w:val="0000FF"/>
              </w:rPr>
            </w:pPr>
            <w:hyperlink r:id="rId188">
              <w:r>
                <w:rPr>
                  <w:rFonts w:ascii="Arial" w:cs="Arial" w:eastAsia="Arial" w:hAnsi="Arial"/>
                  <w:sz w:val="13"/>
                  <w:szCs w:val="13"/>
                  <w:color w:val="0000FF"/>
                </w:rPr>
                <w:t>10(b)</w:t>
              </w:r>
            </w:hyperlink>
          </w:p>
        </w:tc>
        <w:tc>
          <w:tcPr>
            <w:tcW w:w="10060" w:type="dxa"/>
            <w:vAlign w:val="bottom"/>
          </w:tcPr>
          <w:p>
            <w:pPr>
              <w:ind w:left="500"/>
              <w:spacing w:after="0" w:line="130" w:lineRule="exact"/>
              <w:rPr>
                <w:sz w:val="20"/>
                <w:szCs w:val="20"/>
                <w:color w:val="auto"/>
              </w:rPr>
            </w:pPr>
            <w:r>
              <w:rPr>
                <w:rFonts w:ascii="Arial" w:cs="Arial" w:eastAsia="Arial" w:hAnsi="Arial"/>
                <w:sz w:val="13"/>
                <w:szCs w:val="13"/>
                <w:color w:val="auto"/>
              </w:rPr>
              <w:t>Deferred Compensation Plan Amended and Restated as of January 1, 2022 filed as Exhibit 10 to the Form S-8 Registration Statement (File No. 333-268292) filed by</w:t>
            </w:r>
          </w:p>
        </w:tc>
        <w:tc>
          <w:tcPr>
            <w:tcW w:w="26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r>
      <w:tr>
        <w:trPr>
          <w:trHeight w:val="167"/>
        </w:trPr>
        <w:tc>
          <w:tcPr>
            <w:tcW w:w="660" w:type="dxa"/>
            <w:vAlign w:val="bottom"/>
          </w:tcPr>
          <w:p>
            <w:pPr>
              <w:spacing w:after="0"/>
              <w:rPr>
                <w:sz w:val="14"/>
                <w:szCs w:val="14"/>
                <w:color w:val="auto"/>
              </w:rPr>
            </w:pPr>
          </w:p>
        </w:tc>
        <w:tc>
          <w:tcPr>
            <w:tcW w:w="10060" w:type="dxa"/>
            <w:vAlign w:val="bottom"/>
          </w:tcPr>
          <w:p>
            <w:pPr>
              <w:ind w:left="500"/>
              <w:spacing w:after="0"/>
              <w:rPr>
                <w:sz w:val="20"/>
                <w:szCs w:val="20"/>
                <w:color w:val="auto"/>
              </w:rPr>
            </w:pPr>
            <w:r>
              <w:rPr>
                <w:rFonts w:ascii="Arial" w:cs="Arial" w:eastAsia="Arial" w:hAnsi="Arial"/>
                <w:sz w:val="13"/>
                <w:szCs w:val="13"/>
                <w:color w:val="auto"/>
              </w:rPr>
              <w:t>AFG on November 10, 2022.</w:t>
            </w:r>
          </w:p>
        </w:tc>
        <w:tc>
          <w:tcPr>
            <w:tcW w:w="260" w:type="dxa"/>
            <w:vAlign w:val="bottom"/>
          </w:tcPr>
          <w:p>
            <w:pPr>
              <w:spacing w:after="0"/>
              <w:rPr>
                <w:sz w:val="14"/>
                <w:szCs w:val="14"/>
                <w:color w:val="auto"/>
              </w:rPr>
            </w:pPr>
          </w:p>
        </w:tc>
      </w:tr>
      <w:tr>
        <w:trPr>
          <w:trHeight w:val="170"/>
        </w:trPr>
        <w:tc>
          <w:tcPr>
            <w:tcW w:w="660" w:type="dxa"/>
            <w:vAlign w:val="bottom"/>
          </w:tcPr>
          <w:p>
            <w:pPr>
              <w:spacing w:after="0"/>
              <w:rPr>
                <w:rFonts w:ascii="Arial" w:cs="Arial" w:eastAsia="Arial" w:hAnsi="Arial"/>
                <w:sz w:val="13"/>
                <w:szCs w:val="13"/>
                <w:color w:val="0000FF"/>
              </w:rPr>
            </w:pPr>
            <w:hyperlink r:id="rId189">
              <w:r>
                <w:rPr>
                  <w:rFonts w:ascii="Arial" w:cs="Arial" w:eastAsia="Arial" w:hAnsi="Arial"/>
                  <w:sz w:val="13"/>
                  <w:szCs w:val="13"/>
                  <w:color w:val="0000FF"/>
                </w:rPr>
                <w:t>10(c)</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Annual Senior Executive Bonus Plan, filed as Exhibit 10(c) to AFG’s Form 10-K for 2024.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spacing w:after="0"/>
              <w:rPr>
                <w:rFonts w:ascii="Arial" w:cs="Arial" w:eastAsia="Arial" w:hAnsi="Arial"/>
                <w:sz w:val="13"/>
                <w:szCs w:val="13"/>
                <w:color w:val="0000FF"/>
              </w:rPr>
            </w:pPr>
            <w:hyperlink r:id="rId190">
              <w:r>
                <w:rPr>
                  <w:rFonts w:ascii="Arial" w:cs="Arial" w:eastAsia="Arial" w:hAnsi="Arial"/>
                  <w:sz w:val="13"/>
                  <w:szCs w:val="13"/>
                  <w:color w:val="0000FF"/>
                </w:rPr>
                <w:t>10(d)</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Amended and Restated Nonqualified Auxiliary RASP, filed as Exhibit 10(f) to AFG’s Form 10-K for 2008.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spacing w:after="0"/>
              <w:rPr>
                <w:rFonts w:ascii="Arial" w:cs="Arial" w:eastAsia="Arial" w:hAnsi="Arial"/>
                <w:sz w:val="13"/>
                <w:szCs w:val="13"/>
                <w:color w:val="0000FF"/>
              </w:rPr>
            </w:pPr>
            <w:hyperlink r:id="rId191">
              <w:r>
                <w:rPr>
                  <w:rFonts w:ascii="Arial" w:cs="Arial" w:eastAsia="Arial" w:hAnsi="Arial"/>
                  <w:sz w:val="13"/>
                  <w:szCs w:val="13"/>
                  <w:color w:val="0000FF"/>
                </w:rPr>
                <w:t>10(e)</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Amended and Restated 2015 Stock Incentive Plan, filed as Exhibit 10.1 to the Form 8-K filed by AFG on May 23, 2025.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spacing w:after="0"/>
              <w:rPr>
                <w:rFonts w:ascii="Arial" w:cs="Arial" w:eastAsia="Arial" w:hAnsi="Arial"/>
                <w:sz w:val="13"/>
                <w:szCs w:val="13"/>
                <w:color w:val="0000FF"/>
              </w:rPr>
            </w:pPr>
            <w:hyperlink r:id="rId192">
              <w:r>
                <w:rPr>
                  <w:rFonts w:ascii="Arial" w:cs="Arial" w:eastAsia="Arial" w:hAnsi="Arial"/>
                  <w:sz w:val="13"/>
                  <w:szCs w:val="13"/>
                  <w:color w:val="0000FF"/>
                </w:rPr>
                <w:t>10(f)</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Senior Executive Long Term Incentive Compensation Plan, filed as Appendix A to AFG’s Proxy Statement filed on April 1, 2016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spacing w:after="0"/>
              <w:rPr>
                <w:rFonts w:ascii="Arial" w:cs="Arial" w:eastAsia="Arial" w:hAnsi="Arial"/>
                <w:sz w:val="13"/>
                <w:szCs w:val="13"/>
                <w:color w:val="0000FF"/>
              </w:rPr>
            </w:pPr>
            <w:hyperlink r:id="rId193">
              <w:r>
                <w:rPr>
                  <w:rFonts w:ascii="Arial" w:cs="Arial" w:eastAsia="Arial" w:hAnsi="Arial"/>
                  <w:sz w:val="13"/>
                  <w:szCs w:val="13"/>
                  <w:color w:val="0000FF"/>
                </w:rPr>
                <w:t>10(g)</w:t>
              </w:r>
            </w:hyperlink>
          </w:p>
        </w:tc>
        <w:tc>
          <w:tcPr>
            <w:tcW w:w="10060" w:type="dxa"/>
            <w:vAlign w:val="bottom"/>
          </w:tcPr>
          <w:p>
            <w:pPr>
              <w:ind w:left="500"/>
              <w:spacing w:after="0"/>
              <w:rPr>
                <w:sz w:val="20"/>
                <w:szCs w:val="20"/>
                <w:color w:val="auto"/>
              </w:rPr>
            </w:pPr>
            <w:r>
              <w:rPr>
                <w:rFonts w:ascii="Arial" w:cs="Arial" w:eastAsia="Arial" w:hAnsi="Arial"/>
                <w:sz w:val="13"/>
                <w:szCs w:val="13"/>
                <w:color w:val="auto"/>
              </w:rPr>
              <w:t>2026 Senior Executive Long Term Incentive Compensation Plan, filed as Exhibit 10.1 to the Form 8-K filed by AFG on February 18, 2026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0"/>
        </w:trPr>
        <w:tc>
          <w:tcPr>
            <w:tcW w:w="660" w:type="dxa"/>
            <w:vAlign w:val="bottom"/>
          </w:tcPr>
          <w:p>
            <w:pPr>
              <w:spacing w:after="0" w:line="130" w:lineRule="exact"/>
              <w:rPr>
                <w:rFonts w:ascii="Arial" w:cs="Arial" w:eastAsia="Arial" w:hAnsi="Arial"/>
                <w:sz w:val="13"/>
                <w:szCs w:val="13"/>
                <w:color w:val="0000FF"/>
              </w:rPr>
            </w:pPr>
            <w:hyperlink r:id="rId194">
              <w:r>
                <w:rPr>
                  <w:rFonts w:ascii="Arial" w:cs="Arial" w:eastAsia="Arial" w:hAnsi="Arial"/>
                  <w:sz w:val="13"/>
                  <w:szCs w:val="13"/>
                  <w:color w:val="0000FF"/>
                </w:rPr>
                <w:t>10(h)</w:t>
              </w:r>
            </w:hyperlink>
          </w:p>
        </w:tc>
        <w:tc>
          <w:tcPr>
            <w:tcW w:w="10060" w:type="dxa"/>
            <w:vAlign w:val="bottom"/>
          </w:tcPr>
          <w:p>
            <w:pPr>
              <w:ind w:left="500"/>
              <w:spacing w:after="0" w:line="130" w:lineRule="exact"/>
              <w:rPr>
                <w:sz w:val="20"/>
                <w:szCs w:val="20"/>
                <w:color w:val="auto"/>
              </w:rPr>
            </w:pPr>
            <w:r>
              <w:rPr>
                <w:rFonts w:ascii="Arial" w:cs="Arial" w:eastAsia="Arial" w:hAnsi="Arial"/>
                <w:sz w:val="13"/>
                <w:szCs w:val="13"/>
                <w:color w:val="auto"/>
                <w:w w:val="98"/>
              </w:rPr>
              <w:t>Amended and Restated Credit Agreement entered into among American Financial Group, Inc., the Bank of America, N.A., as Administrative Agent, and several lenders,</w:t>
            </w:r>
          </w:p>
        </w:tc>
        <w:tc>
          <w:tcPr>
            <w:tcW w:w="26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r>
      <w:tr>
        <w:trPr>
          <w:trHeight w:val="167"/>
        </w:trPr>
        <w:tc>
          <w:tcPr>
            <w:tcW w:w="660" w:type="dxa"/>
            <w:vAlign w:val="bottom"/>
          </w:tcPr>
          <w:p>
            <w:pPr>
              <w:spacing w:after="0"/>
              <w:rPr>
                <w:sz w:val="14"/>
                <w:szCs w:val="14"/>
                <w:color w:val="auto"/>
              </w:rPr>
            </w:pPr>
          </w:p>
        </w:tc>
        <w:tc>
          <w:tcPr>
            <w:tcW w:w="10060" w:type="dxa"/>
            <w:vAlign w:val="bottom"/>
          </w:tcPr>
          <w:p>
            <w:pPr>
              <w:ind w:left="500"/>
              <w:spacing w:after="0"/>
              <w:rPr>
                <w:sz w:val="20"/>
                <w:szCs w:val="20"/>
                <w:color w:val="auto"/>
              </w:rPr>
            </w:pPr>
            <w:r>
              <w:rPr>
                <w:rFonts w:ascii="Arial" w:cs="Arial" w:eastAsia="Arial" w:hAnsi="Arial"/>
                <w:sz w:val="13"/>
                <w:szCs w:val="13"/>
                <w:color w:val="auto"/>
              </w:rPr>
              <w:t>filed as Exhibit 10.1 to AFG’s Form 8-K filed on June 27, 2023.</w:t>
            </w:r>
          </w:p>
        </w:tc>
        <w:tc>
          <w:tcPr>
            <w:tcW w:w="260" w:type="dxa"/>
            <w:vAlign w:val="bottom"/>
          </w:tcPr>
          <w:p>
            <w:pPr>
              <w:spacing w:after="0"/>
              <w:rPr>
                <w:sz w:val="14"/>
                <w:szCs w:val="14"/>
                <w:color w:val="auto"/>
              </w:rPr>
            </w:pPr>
          </w:p>
        </w:tc>
      </w:tr>
      <w:tr>
        <w:trPr>
          <w:trHeight w:val="170"/>
        </w:trPr>
        <w:tc>
          <w:tcPr>
            <w:tcW w:w="660" w:type="dxa"/>
            <w:vAlign w:val="bottom"/>
          </w:tcPr>
          <w:p>
            <w:pPr>
              <w:spacing w:after="0"/>
              <w:rPr>
                <w:rFonts w:ascii="Arial" w:cs="Arial" w:eastAsia="Arial" w:hAnsi="Arial"/>
                <w:sz w:val="13"/>
                <w:szCs w:val="13"/>
                <w:color w:val="0000FF"/>
              </w:rPr>
            </w:pPr>
            <w:hyperlink r:id="rId195">
              <w:r>
                <w:rPr>
                  <w:rFonts w:ascii="Arial" w:cs="Arial" w:eastAsia="Arial" w:hAnsi="Arial"/>
                  <w:sz w:val="13"/>
                  <w:szCs w:val="13"/>
                  <w:color w:val="0000FF"/>
                </w:rPr>
                <w:t>19</w:t>
              </w:r>
            </w:hyperlink>
          </w:p>
        </w:tc>
        <w:tc>
          <w:tcPr>
            <w:tcW w:w="10060" w:type="dxa"/>
            <w:vAlign w:val="bottom"/>
          </w:tcPr>
          <w:p>
            <w:pPr>
              <w:ind w:left="360"/>
              <w:spacing w:after="0"/>
              <w:rPr>
                <w:sz w:val="20"/>
                <w:szCs w:val="20"/>
                <w:color w:val="auto"/>
              </w:rPr>
            </w:pPr>
            <w:r>
              <w:rPr>
                <w:rFonts w:ascii="Arial" w:cs="Arial" w:eastAsia="Arial" w:hAnsi="Arial"/>
                <w:sz w:val="13"/>
                <w:szCs w:val="13"/>
                <w:color w:val="auto"/>
              </w:rPr>
              <w:t>AFG Insider Trading Policy, filed as Exhibit 19 to AFG’s Form 10-K for 2024.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3" w:lineRule="exact"/>
        <w:rPr>
          <w:sz w:val="20"/>
          <w:szCs w:val="20"/>
          <w:color w:val="auto"/>
        </w:rPr>
      </w:pPr>
    </w:p>
    <w:p>
      <w:pPr>
        <w:ind w:left="1060" w:hanging="1015"/>
        <w:spacing w:after="0"/>
        <w:tabs>
          <w:tab w:leader="none" w:pos="1060" w:val="left"/>
        </w:tabs>
        <w:numPr>
          <w:ilvl w:val="0"/>
          <w:numId w:val="64"/>
        </w:numPr>
        <w:rPr>
          <w:rFonts w:ascii="Arial" w:cs="Arial" w:eastAsia="Arial" w:hAnsi="Arial"/>
          <w:sz w:val="13"/>
          <w:szCs w:val="13"/>
          <w:color w:val="0000FF"/>
        </w:rPr>
      </w:pPr>
      <w:r>
        <w:rPr>
          <w:rFonts w:ascii="Arial" w:cs="Arial" w:eastAsia="Arial" w:hAnsi="Arial"/>
          <w:sz w:val="13"/>
          <w:szCs w:val="13"/>
          <w:color w:val="auto"/>
        </w:rPr>
        <w:t>Subsidiaries of the Registrant.</w:t>
      </w:r>
    </w:p>
    <w:p>
      <w:pPr>
        <w:spacing w:after="0" w:line="20" w:lineRule="exact"/>
        <w:rPr>
          <w:sz w:val="20"/>
          <w:szCs w:val="20"/>
          <w:color w:val="auto"/>
        </w:rPr>
      </w:pPr>
    </w:p>
    <w:p>
      <w:pPr>
        <w:ind w:left="1060" w:hanging="1015"/>
        <w:spacing w:after="0"/>
        <w:tabs>
          <w:tab w:leader="none" w:pos="1060" w:val="left"/>
        </w:tabs>
        <w:numPr>
          <w:ilvl w:val="0"/>
          <w:numId w:val="65"/>
        </w:numPr>
        <w:rPr>
          <w:rFonts w:ascii="Arial" w:cs="Arial" w:eastAsia="Arial" w:hAnsi="Arial"/>
          <w:sz w:val="13"/>
          <w:szCs w:val="13"/>
          <w:color w:val="0000FF"/>
        </w:rPr>
      </w:pPr>
      <w:r>
        <w:rPr>
          <w:rFonts w:ascii="Arial" w:cs="Arial" w:eastAsia="Arial" w:hAnsi="Arial"/>
          <w:sz w:val="13"/>
          <w:szCs w:val="13"/>
          <w:color w:val="auto"/>
        </w:rPr>
        <w:t>Consent of independent registered public accounting firm.</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Arial" w:cs="Arial" w:eastAsia="Arial" w:hAnsi="Arial"/>
                <w:sz w:val="13"/>
                <w:szCs w:val="13"/>
                <w:color w:val="0000FF"/>
              </w:rPr>
              <w:t>31(a)</w:t>
            </w:r>
          </w:p>
        </w:tc>
        <w:tc>
          <w:tcPr>
            <w:tcW w:w="6260" w:type="dxa"/>
            <w:vAlign w:val="bottom"/>
          </w:tcPr>
          <w:p>
            <w:pPr>
              <w:ind w:left="360"/>
              <w:spacing w:after="0"/>
              <w:rPr>
                <w:sz w:val="20"/>
                <w:szCs w:val="20"/>
                <w:color w:val="auto"/>
              </w:rPr>
            </w:pPr>
            <w:r>
              <w:rPr>
                <w:rFonts w:ascii="Arial" w:cs="Arial" w:eastAsia="Arial" w:hAnsi="Arial"/>
                <w:sz w:val="13"/>
                <w:szCs w:val="13"/>
                <w:color w:val="auto"/>
                <w:w w:val="97"/>
              </w:rPr>
              <w:t>Certification of Co-Chief Executive Officer pursuant to Section 302(a) of the Sarbanes-Oxley Act of 2002.</w:t>
            </w: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31(b)</w:t>
            </w:r>
          </w:p>
        </w:tc>
        <w:tc>
          <w:tcPr>
            <w:tcW w:w="6260" w:type="dxa"/>
            <w:vAlign w:val="bottom"/>
          </w:tcPr>
          <w:p>
            <w:pPr>
              <w:ind w:left="360"/>
              <w:spacing w:after="0"/>
              <w:rPr>
                <w:sz w:val="20"/>
                <w:szCs w:val="20"/>
                <w:color w:val="auto"/>
              </w:rPr>
            </w:pPr>
            <w:r>
              <w:rPr>
                <w:rFonts w:ascii="Arial" w:cs="Arial" w:eastAsia="Arial" w:hAnsi="Arial"/>
                <w:sz w:val="13"/>
                <w:szCs w:val="13"/>
                <w:color w:val="auto"/>
                <w:w w:val="97"/>
              </w:rPr>
              <w:t>Certification of Co-Chief Executive Officer pursuant to Section 302(a) of the Sarbanes-Oxley Act of 2002.</w:t>
            </w:r>
          </w:p>
        </w:tc>
      </w:tr>
      <w:tr>
        <w:trPr>
          <w:trHeight w:val="170"/>
        </w:trPr>
        <w:tc>
          <w:tcPr>
            <w:tcW w:w="660" w:type="dxa"/>
            <w:vAlign w:val="bottom"/>
          </w:tcPr>
          <w:p>
            <w:pPr>
              <w:spacing w:after="0"/>
              <w:rPr>
                <w:sz w:val="20"/>
                <w:szCs w:val="20"/>
                <w:color w:val="auto"/>
              </w:rPr>
            </w:pPr>
            <w:r>
              <w:rPr>
                <w:rFonts w:ascii="Arial" w:cs="Arial" w:eastAsia="Arial" w:hAnsi="Arial"/>
                <w:sz w:val="13"/>
                <w:szCs w:val="13"/>
                <w:color w:val="0000FF"/>
              </w:rPr>
              <w:t>31(c)</w:t>
            </w:r>
          </w:p>
        </w:tc>
        <w:tc>
          <w:tcPr>
            <w:tcW w:w="6260" w:type="dxa"/>
            <w:vAlign w:val="bottom"/>
          </w:tcPr>
          <w:p>
            <w:pPr>
              <w:ind w:left="360"/>
              <w:spacing w:after="0"/>
              <w:rPr>
                <w:sz w:val="20"/>
                <w:szCs w:val="20"/>
                <w:color w:val="auto"/>
              </w:rPr>
            </w:pPr>
            <w:r>
              <w:rPr>
                <w:rFonts w:ascii="Arial" w:cs="Arial" w:eastAsia="Arial" w:hAnsi="Arial"/>
                <w:sz w:val="13"/>
                <w:szCs w:val="13"/>
                <w:color w:val="auto"/>
              </w:rPr>
              <w:t>Certification of Chief Financial Officer pursuant to Section 302(a) of the Sarbanes-Oxley Act of 2002.</w:t>
            </w:r>
          </w:p>
        </w:tc>
      </w:tr>
    </w:tbl>
    <w:p>
      <w:pPr>
        <w:spacing w:after="0" w:line="3" w:lineRule="exact"/>
        <w:rPr>
          <w:sz w:val="20"/>
          <w:szCs w:val="20"/>
          <w:color w:val="auto"/>
        </w:rPr>
      </w:pPr>
    </w:p>
    <w:p>
      <w:pPr>
        <w:ind w:left="1060" w:hanging="1015"/>
        <w:spacing w:after="0"/>
        <w:tabs>
          <w:tab w:leader="none" w:pos="1060" w:val="left"/>
        </w:tabs>
        <w:numPr>
          <w:ilvl w:val="0"/>
          <w:numId w:val="66"/>
        </w:numPr>
        <w:rPr>
          <w:rFonts w:ascii="Arial" w:cs="Arial" w:eastAsia="Arial" w:hAnsi="Arial"/>
          <w:sz w:val="13"/>
          <w:szCs w:val="13"/>
          <w:color w:val="0000FF"/>
        </w:rPr>
      </w:pPr>
      <w:r>
        <w:rPr>
          <w:rFonts w:ascii="Arial" w:cs="Arial" w:eastAsia="Arial" w:hAnsi="Arial"/>
          <w:sz w:val="13"/>
          <w:szCs w:val="13"/>
          <w:color w:val="auto"/>
        </w:rPr>
        <w:t>Certification of Co-Chief Executive Officers and Chief Financial Officer pursuant to Section 906 of the Sarbanes-Oxley Act of 2002.</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0" w:type="dxa"/>
            <w:vAlign w:val="bottom"/>
          </w:tcPr>
          <w:p>
            <w:pPr>
              <w:spacing w:after="0"/>
              <w:rPr>
                <w:rFonts w:ascii="Arial" w:cs="Arial" w:eastAsia="Arial" w:hAnsi="Arial"/>
                <w:sz w:val="13"/>
                <w:szCs w:val="13"/>
                <w:color w:val="0000FF"/>
              </w:rPr>
            </w:pPr>
            <w:hyperlink r:id="rId196">
              <w:r>
                <w:rPr>
                  <w:rFonts w:ascii="Arial" w:cs="Arial" w:eastAsia="Arial" w:hAnsi="Arial"/>
                  <w:sz w:val="13"/>
                  <w:szCs w:val="13"/>
                  <w:color w:val="0000FF"/>
                </w:rPr>
                <w:t>97</w:t>
              </w:r>
            </w:hyperlink>
          </w:p>
        </w:tc>
        <w:tc>
          <w:tcPr>
            <w:tcW w:w="9860" w:type="dxa"/>
            <w:vAlign w:val="bottom"/>
          </w:tcPr>
          <w:p>
            <w:pPr>
              <w:ind w:left="240"/>
              <w:spacing w:after="0"/>
              <w:rPr>
                <w:sz w:val="20"/>
                <w:szCs w:val="20"/>
                <w:color w:val="auto"/>
              </w:rPr>
            </w:pPr>
            <w:r>
              <w:rPr>
                <w:rFonts w:ascii="Arial" w:cs="Arial" w:eastAsia="Arial" w:hAnsi="Arial"/>
                <w:sz w:val="13"/>
                <w:szCs w:val="13"/>
                <w:color w:val="auto"/>
              </w:rPr>
              <w:t>American Financial Group, Inc. Executive Officer Clawback Policy, filed as Exhibit 97 to AFG’s Form 10-K for 2023.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101.INS</w:t>
            </w:r>
          </w:p>
        </w:tc>
        <w:tc>
          <w:tcPr>
            <w:tcW w:w="9860" w:type="dxa"/>
            <w:vAlign w:val="bottom"/>
          </w:tcPr>
          <w:p>
            <w:pPr>
              <w:ind w:left="240"/>
              <w:spacing w:after="0"/>
              <w:rPr>
                <w:sz w:val="20"/>
                <w:szCs w:val="20"/>
                <w:color w:val="auto"/>
              </w:rPr>
            </w:pPr>
            <w:r>
              <w:rPr>
                <w:rFonts w:ascii="Arial" w:cs="Arial" w:eastAsia="Arial" w:hAnsi="Arial"/>
                <w:sz w:val="13"/>
                <w:szCs w:val="13"/>
                <w:color w:val="auto"/>
                <w:w w:val="99"/>
              </w:rPr>
              <w:t>XBRL Instance Document - the instance document does not appear in the Interactive Data File because its XBRL tags are embedded within the Inline XBRL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101.SCH</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Schema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101.CAL</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Calculation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101.DEF</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Definition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101.LAB</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Label Linkbase Document.</w:t>
            </w:r>
          </w:p>
        </w:tc>
        <w:tc>
          <w:tcPr>
            <w:tcW w:w="3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101.PRE</w:t>
            </w:r>
          </w:p>
        </w:tc>
        <w:tc>
          <w:tcPr>
            <w:tcW w:w="9860" w:type="dxa"/>
            <w:vAlign w:val="bottom"/>
          </w:tcPr>
          <w:p>
            <w:pPr>
              <w:ind w:left="240"/>
              <w:spacing w:after="0"/>
              <w:rPr>
                <w:sz w:val="20"/>
                <w:szCs w:val="20"/>
                <w:color w:val="auto"/>
              </w:rPr>
            </w:pPr>
            <w:r>
              <w:rPr>
                <w:rFonts w:ascii="Arial" w:cs="Arial" w:eastAsia="Arial" w:hAnsi="Arial"/>
                <w:sz w:val="13"/>
                <w:szCs w:val="13"/>
                <w:color w:val="auto"/>
              </w:rPr>
              <w:t>Inline XBRL Taxonomy Extension Presentation Linkbase Document.</w:t>
            </w:r>
          </w:p>
        </w:tc>
        <w:tc>
          <w:tcPr>
            <w:tcW w:w="340" w:type="dxa"/>
            <w:vAlign w:val="bottom"/>
          </w:tcPr>
          <w:p>
            <w:pPr>
              <w:spacing w:after="0"/>
              <w:rPr>
                <w:sz w:val="14"/>
                <w:szCs w:val="14"/>
                <w:color w:val="auto"/>
              </w:rPr>
            </w:pPr>
          </w:p>
        </w:tc>
      </w:tr>
    </w:tbl>
    <w:p>
      <w:pPr>
        <w:spacing w:after="0" w:line="3" w:lineRule="exact"/>
        <w:rPr>
          <w:sz w:val="20"/>
          <w:szCs w:val="20"/>
          <w:color w:val="auto"/>
        </w:rPr>
      </w:pPr>
    </w:p>
    <w:p>
      <w:pPr>
        <w:ind w:left="1060" w:hanging="1015"/>
        <w:spacing w:after="0"/>
        <w:tabs>
          <w:tab w:leader="none" w:pos="10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00" w:lineRule="exact"/>
        <w:rPr>
          <w:rFonts w:ascii="Arial" w:cs="Arial" w:eastAsia="Arial" w:hAnsi="Arial"/>
          <w:sz w:val="13"/>
          <w:szCs w:val="13"/>
          <w:color w:val="auto"/>
        </w:rPr>
      </w:pPr>
    </w:p>
    <w:p>
      <w:pPr>
        <w:spacing w:after="0" w:line="244"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color w:val="auto"/>
        </w:rPr>
        <w: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00274E"/>
        </w:rPr>
        <w:t>AMERICAN FINANCIAL GROUP, INC. — PARENT ONLY</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00274E"/>
        </w:rPr>
        <w:t>SCHEDULE II — CONDENSED FINANCIAL INFORMATION OF REGISTRANT</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Balance Sheet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8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color w:val="auto"/>
              </w:rPr>
              <w:t>December 31,</w:t>
            </w:r>
          </w:p>
        </w:tc>
        <w:tc>
          <w:tcPr>
            <w:tcW w:w="800" w:type="dxa"/>
            <w:vAlign w:val="bottom"/>
            <w:tcBorders>
              <w:bottom w:val="single" w:sz="8" w:color="auto"/>
            </w:tcBorders>
          </w:tcPr>
          <w:p>
            <w:pPr>
              <w:spacing w:after="0"/>
              <w:rPr>
                <w:sz w:val="13"/>
                <w:szCs w:val="13"/>
                <w:color w:val="auto"/>
              </w:rPr>
            </w:pPr>
          </w:p>
        </w:tc>
      </w:tr>
      <w:tr>
        <w:trPr>
          <w:trHeight w:val="150"/>
        </w:trPr>
        <w:tc>
          <w:tcPr>
            <w:tcW w:w="88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r>
      <w:tr>
        <w:trPr>
          <w:trHeight w:val="153"/>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780" w:type="dxa"/>
            <w:vAlign w:val="bottom"/>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335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in securities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Investment in subsidiaries (*)</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6,203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5,681</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Real estate and other investments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69"/>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assets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r>
      <w:tr>
        <w:trPr>
          <w:trHeight w:val="18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78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8800" w:type="dxa"/>
            <w:vAlign w:val="bottom"/>
          </w:tcPr>
          <w:p>
            <w:pPr>
              <w:ind w:left="120"/>
              <w:spacing w:after="0"/>
              <w:rPr>
                <w:sz w:val="20"/>
                <w:szCs w:val="20"/>
                <w:color w:val="auto"/>
              </w:rPr>
            </w:pPr>
            <w:r>
              <w:rPr>
                <w:rFonts w:ascii="Arial" w:cs="Arial" w:eastAsia="Arial" w:hAnsi="Arial"/>
                <w:sz w:val="13"/>
                <w:szCs w:val="13"/>
                <w:color w:val="auto"/>
              </w:rPr>
              <w:t>Long-term debt</w:t>
            </w:r>
          </w:p>
        </w:tc>
        <w:tc>
          <w:tcPr>
            <w:tcW w:w="780" w:type="dxa"/>
            <w:vAlign w:val="bottom"/>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1,820</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1,475</w:t>
            </w:r>
          </w:p>
        </w:tc>
      </w:tr>
      <w:tr>
        <w:trPr>
          <w:trHeight w:val="171"/>
        </w:trPr>
        <w:tc>
          <w:tcPr>
            <w:tcW w:w="8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liabilities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r>
      <w:tr>
        <w:trPr>
          <w:trHeight w:val="169"/>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Shareholders’ equity</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w:t>
            </w:r>
          </w:p>
        </w:tc>
      </w:tr>
      <w:tr>
        <w:trPr>
          <w:trHeight w:val="18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liabilities and equity</w:t>
            </w:r>
          </w:p>
        </w:tc>
        <w:tc>
          <w:tcPr>
            <w:tcW w:w="78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Earnings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Dividends from subsidiaries</w:t>
            </w:r>
          </w:p>
        </w:tc>
        <w:tc>
          <w:tcPr>
            <w:tcW w:w="780" w:type="dxa"/>
            <w:vAlign w:val="bottom"/>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731</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903</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in undistributed earnings of subsidiaries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Investment and other income</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r>
      <w:tr>
        <w:trPr>
          <w:trHeight w:val="162"/>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r>
      <w:tr>
        <w:trPr>
          <w:trHeight w:val="170"/>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Interest charges on intercompany borrowings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charges on other borrowings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expenses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r>
      <w:tr>
        <w:trPr>
          <w:trHeight w:val="160"/>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7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151"/>
        </w:trPr>
        <w:tc>
          <w:tcPr>
            <w:tcW w:w="7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before income taxes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8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Earnings</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2023</w:t>
            </w:r>
          </w:p>
        </w:tc>
      </w:tr>
      <w:tr>
        <w:trPr>
          <w:trHeight w:val="164"/>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r>
      <w:tr>
        <w:trPr>
          <w:trHeight w:val="16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income, net of tax</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r>
      <w:tr>
        <w:trPr>
          <w:trHeight w:val="182"/>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comprehensive income, net of tax</w:t>
            </w: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22" w:lineRule="exact"/>
        <w:rPr>
          <w:sz w:val="20"/>
          <w:szCs w:val="20"/>
          <w:color w:val="auto"/>
        </w:rPr>
      </w:pPr>
    </w:p>
    <w:p>
      <w:pPr>
        <w:ind w:left="320" w:hanging="315"/>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Investment in subsidiaries includes intercompany receivables and payables.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00274E"/>
        </w:rPr>
        <w:t>AMERICAN FINANCIAL GROUP, INC. — PARENT ONLY</w:t>
      </w:r>
    </w:p>
    <w:p>
      <w:pPr>
        <w:spacing w:after="0" w:line="19"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00274E"/>
        </w:rPr>
        <w:t>SCHEDULE II — CONDENSED FINANCIAL INFORMATION OF REGISTRANT — CONTINUED</w:t>
      </w: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Condensed Statement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color w:val="auto"/>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color w:val="auto"/>
              </w:rPr>
              <w:t>2023</w:t>
            </w:r>
          </w:p>
        </w:tc>
      </w:t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40" w:type="dxa"/>
            <w:vAlign w:val="bottom"/>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842</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852</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Equity in net earnings of subsidiaries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(967)</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Dividends from subsidiaries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r>
      <w:tr>
        <w:trPr>
          <w:trHeight w:val="16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operating activities, net</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r>
      <w:tr>
        <w:trPr>
          <w:trHeight w:val="160"/>
        </w:trPr>
        <w:tc>
          <w:tcPr>
            <w:tcW w:w="75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r>
      <w:tr>
        <w:trPr>
          <w:trHeight w:val="183"/>
        </w:trPr>
        <w:tc>
          <w:tcPr>
            <w:tcW w:w="7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Capital contributions to subsidiaries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Returns of capital from subsidiaries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Purchases of investments, property and equipment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520" w:type="dxa"/>
            <w:vAlign w:val="bottom"/>
          </w:tcPr>
          <w:p>
            <w:pPr>
              <w:ind w:left="280"/>
              <w:spacing w:after="0"/>
              <w:rPr>
                <w:sz w:val="20"/>
                <w:szCs w:val="20"/>
                <w:color w:val="auto"/>
              </w:rPr>
            </w:pPr>
            <w:r>
              <w:rPr>
                <w:rFonts w:ascii="Arial" w:cs="Arial" w:eastAsia="Arial" w:hAnsi="Arial"/>
                <w:sz w:val="13"/>
                <w:szCs w:val="13"/>
                <w:color w:val="auto"/>
              </w:rPr>
              <w:t>Maturities and redemptions of investments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w:t>
            </w:r>
          </w:p>
        </w:tc>
      </w:tr>
      <w:tr>
        <w:trPr>
          <w:trHeight w:val="171"/>
        </w:trPr>
        <w:tc>
          <w:tcPr>
            <w:tcW w:w="7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of investments, property and equipment</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59"/>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provided by (used in) investing activities</w:t>
            </w: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r>
      <w:tr>
        <w:trPr>
          <w:trHeight w:val="183"/>
        </w:trPr>
        <w:tc>
          <w:tcPr>
            <w:tcW w:w="7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long-term borrowings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Reductions of long-term debt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Issuances of Common Stock</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752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171"/>
        </w:trPr>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dividends paid on Common Stock</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59"/>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used in financing activities</w:t>
            </w: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w:t>
            </w:r>
          </w:p>
        </w:tc>
      </w:tr>
      <w:tr>
        <w:trPr>
          <w:trHeight w:val="183"/>
        </w:trPr>
        <w:tc>
          <w:tcPr>
            <w:tcW w:w="7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Net Change in Cash and Cash Equivalents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9"/>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162"/>
        </w:trPr>
        <w:tc>
          <w:tcPr>
            <w:tcW w:w="7520" w:type="dxa"/>
            <w:vAlign w:val="bottom"/>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740" w:type="dxa"/>
            <w:vAlign w:val="bottom"/>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335</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20"/>
        </w:trPr>
        <w:tc>
          <w:tcPr>
            <w:tcW w:w="7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274E"/>
        </w:rPr>
        <w:t>AMERICAN FINANCIAL GROUP, INC. AND SUBSIDIARIES</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00274E"/>
        </w:rPr>
        <w:t>SCHEDULE III — SUPPLEMENTARY INSURANCE INFORMATION</w:t>
      </w:r>
    </w:p>
    <w:p>
      <w:pPr>
        <w:jc w:val="center"/>
        <w:spacing w:after="0"/>
        <w:rPr>
          <w:sz w:val="20"/>
          <w:szCs w:val="20"/>
          <w:color w:val="auto"/>
        </w:rPr>
      </w:pPr>
      <w:r>
        <w:rPr>
          <w:rFonts w:ascii="Arial" w:cs="Arial" w:eastAsia="Arial" w:hAnsi="Arial"/>
          <w:sz w:val="16"/>
          <w:szCs w:val="16"/>
          <w:b w:val="1"/>
          <w:bCs w:val="1"/>
          <w:color w:val="00274E"/>
        </w:rPr>
        <w:t>THREE YEARS ENDED DECEMBER 31, 2025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(In Millions)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1"/>
                <w:szCs w:val="11"/>
                <w:color w:val="auto"/>
                <w:w w:val="97"/>
              </w:rPr>
              <w:t>Deferred policy</w:t>
            </w:r>
          </w:p>
        </w:tc>
        <w:tc>
          <w:tcPr>
            <w:tcW w:w="80" w:type="dxa"/>
            <w:vAlign w:val="bottom"/>
          </w:tcPr>
          <w:p>
            <w:pPr>
              <w:spacing w:after="0"/>
              <w:rPr>
                <w:sz w:val="10"/>
                <w:szCs w:val="1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w w:val="95"/>
              </w:rPr>
              <w:t>Reserves for claims</w:t>
            </w:r>
          </w:p>
        </w:tc>
        <w:tc>
          <w:tcPr>
            <w:tcW w:w="14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color w:val="auto"/>
              </w:rPr>
              <w:t>Unearned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9"/>
              </w:rPr>
              <w:t>Net earned</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w w:val="95"/>
              </w:rPr>
              <w:t>Net investment</w:t>
            </w:r>
          </w:p>
        </w:tc>
        <w:tc>
          <w:tcPr>
            <w:tcW w:w="1000" w:type="dxa"/>
            <w:vAlign w:val="bottom"/>
            <w:gridSpan w:val="3"/>
          </w:tcPr>
          <w:p>
            <w:pPr>
              <w:ind w:left="20"/>
              <w:spacing w:after="0"/>
              <w:rPr>
                <w:sz w:val="20"/>
                <w:szCs w:val="20"/>
                <w:color w:val="auto"/>
              </w:rPr>
            </w:pPr>
            <w:r>
              <w:rPr>
                <w:rFonts w:ascii="Arial" w:cs="Arial" w:eastAsia="Arial" w:hAnsi="Arial"/>
                <w:sz w:val="11"/>
                <w:szCs w:val="11"/>
                <w:color w:val="auto"/>
              </w:rPr>
              <w:t>Claims, losses and</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color w:val="auto"/>
                <w:w w:val="98"/>
              </w:rPr>
              <w:t>Amortization of</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1"/>
                <w:szCs w:val="11"/>
                <w:color w:val="auto"/>
                <w:w w:val="96"/>
              </w:rPr>
              <w:t>Other operating</w:t>
            </w:r>
          </w:p>
        </w:tc>
        <w:tc>
          <w:tcPr>
            <w:tcW w:w="140" w:type="dxa"/>
            <w:vAlign w:val="bottom"/>
          </w:tcPr>
          <w:p>
            <w:pPr>
              <w:spacing w:after="0"/>
              <w:rPr>
                <w:sz w:val="10"/>
                <w:szCs w:val="10"/>
                <w:color w:val="auto"/>
              </w:rPr>
            </w:pPr>
          </w:p>
        </w:tc>
        <w:tc>
          <w:tcPr>
            <w:tcW w:w="820" w:type="dxa"/>
            <w:vAlign w:val="bottom"/>
            <w:vMerge w:val="restart"/>
          </w:tcPr>
          <w:p>
            <w:pPr>
              <w:jc w:val="right"/>
              <w:ind w:right="184"/>
              <w:spacing w:after="0"/>
              <w:rPr>
                <w:sz w:val="20"/>
                <w:szCs w:val="20"/>
                <w:color w:val="auto"/>
              </w:rPr>
            </w:pPr>
            <w:r>
              <w:rPr>
                <w:rFonts w:ascii="Arial" w:cs="Arial" w:eastAsia="Arial" w:hAnsi="Arial"/>
                <w:sz w:val="11"/>
                <w:szCs w:val="11"/>
                <w:color w:val="auto"/>
              </w:rPr>
              <w:t>Net written</w:t>
            </w:r>
          </w:p>
        </w:tc>
        <w:tc>
          <w:tcPr>
            <w:tcW w:w="0" w:type="dxa"/>
            <w:vAlign w:val="bottom"/>
          </w:tcPr>
          <w:p>
            <w:pPr>
              <w:spacing w:after="0"/>
              <w:rPr>
                <w:sz w:val="1"/>
                <w:szCs w:val="1"/>
                <w:color w:val="auto"/>
              </w:rPr>
            </w:pPr>
          </w:p>
        </w:tc>
      </w:tr>
      <w:tr>
        <w:trPr>
          <w:trHeight w:val="106"/>
        </w:trPr>
        <w:tc>
          <w:tcPr>
            <w:tcW w:w="1900" w:type="dxa"/>
            <w:vAlign w:val="bottom"/>
            <w:gridSpan w:val="3"/>
            <w:vMerge w:val="restart"/>
          </w:tcPr>
          <w:p>
            <w:pPr>
              <w:spacing w:after="0"/>
              <w:rPr>
                <w:sz w:val="20"/>
                <w:szCs w:val="20"/>
                <w:color w:val="auto"/>
              </w:rPr>
            </w:pPr>
            <w:r>
              <w:rPr>
                <w:rFonts w:ascii="Arial" w:cs="Arial" w:eastAsia="Arial" w:hAnsi="Arial"/>
                <w:sz w:val="11"/>
                <w:szCs w:val="11"/>
                <w:color w:val="auto"/>
              </w:rPr>
              <w:t>Segment</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0" w:type="dxa"/>
            <w:vAlign w:val="bottom"/>
            <w:gridSpan w:val="3"/>
          </w:tcPr>
          <w:p>
            <w:pPr>
              <w:ind w:left="20"/>
              <w:spacing w:after="0" w:line="106" w:lineRule="exact"/>
              <w:rPr>
                <w:sz w:val="20"/>
                <w:szCs w:val="20"/>
                <w:color w:val="auto"/>
              </w:rPr>
            </w:pPr>
            <w:r>
              <w:rPr>
                <w:rFonts w:ascii="Arial" w:cs="Arial" w:eastAsia="Arial" w:hAnsi="Arial"/>
                <w:sz w:val="11"/>
                <w:szCs w:val="11"/>
                <w:color w:val="auto"/>
              </w:rPr>
              <w:t>and unpaid losses and</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20"/>
              <w:spacing w:after="0" w:line="106" w:lineRule="exact"/>
              <w:rPr>
                <w:sz w:val="20"/>
                <w:szCs w:val="20"/>
                <w:color w:val="auto"/>
              </w:rPr>
            </w:pPr>
            <w:r>
              <w:rPr>
                <w:rFonts w:ascii="Arial" w:cs="Arial" w:eastAsia="Arial" w:hAnsi="Arial"/>
                <w:sz w:val="11"/>
                <w:szCs w:val="11"/>
                <w:color w:val="auto"/>
                <w:w w:val="94"/>
              </w:rPr>
              <w:t>settlement</w:t>
            </w: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6" w:lineRule="exact"/>
              <w:rPr>
                <w:sz w:val="20"/>
                <w:szCs w:val="20"/>
                <w:color w:val="auto"/>
              </w:rPr>
            </w:pPr>
            <w:r>
              <w:rPr>
                <w:rFonts w:ascii="Arial" w:cs="Arial" w:eastAsia="Arial" w:hAnsi="Arial"/>
                <w:sz w:val="11"/>
                <w:szCs w:val="11"/>
                <w:color w:val="auto"/>
                <w:w w:val="96"/>
              </w:rPr>
              <w:t>deferred policy</w:t>
            </w:r>
          </w:p>
        </w:tc>
        <w:tc>
          <w:tcPr>
            <w:tcW w:w="9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auto"/>
                <w:w w:val="96"/>
              </w:rPr>
              <w:t>acquisition costs</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color w:val="auto"/>
                <w:w w:val="95"/>
              </w:rPr>
              <w:t>LAE</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color w:val="auto"/>
              </w:rPr>
              <w:t>premiums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premiums</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95"/>
              </w:rPr>
              <w:t>income</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expenses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color w:val="auto"/>
                <w:w w:val="96"/>
              </w:rPr>
              <w:t>acquisition costs</w:t>
            </w: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color w:val="auto"/>
                <w:w w:val="97"/>
              </w:rPr>
              <w:t>expenses</w:t>
            </w:r>
          </w:p>
        </w:tc>
        <w:tc>
          <w:tcPr>
            <w:tcW w:w="140" w:type="dxa"/>
            <w:vAlign w:val="bottom"/>
          </w:tcPr>
          <w:p>
            <w:pPr>
              <w:spacing w:after="0"/>
              <w:rPr>
                <w:sz w:val="12"/>
                <w:szCs w:val="12"/>
                <w:color w:val="auto"/>
              </w:rPr>
            </w:pPr>
          </w:p>
        </w:tc>
        <w:tc>
          <w:tcPr>
            <w:tcW w:w="820" w:type="dxa"/>
            <w:vAlign w:val="bottom"/>
          </w:tcPr>
          <w:p>
            <w:pPr>
              <w:jc w:val="right"/>
              <w:ind w:right="204"/>
              <w:spacing w:after="0"/>
              <w:rPr>
                <w:sz w:val="20"/>
                <w:szCs w:val="20"/>
                <w:color w:val="auto"/>
              </w:rPr>
            </w:pPr>
            <w:r>
              <w:rPr>
                <w:rFonts w:ascii="Arial" w:cs="Arial" w:eastAsia="Arial" w:hAnsi="Arial"/>
                <w:sz w:val="11"/>
                <w:szCs w:val="11"/>
                <w:color w:val="auto"/>
              </w:rPr>
              <w:t>premiums</w:t>
            </w:r>
          </w:p>
        </w:tc>
        <w:tc>
          <w:tcPr>
            <w:tcW w:w="0" w:type="dxa"/>
            <w:vAlign w:val="bottom"/>
          </w:tcPr>
          <w:p>
            <w:pPr>
              <w:spacing w:after="0"/>
              <w:rPr>
                <w:sz w:val="1"/>
                <w:szCs w:val="1"/>
                <w:color w:val="auto"/>
              </w:rPr>
            </w:pPr>
          </w:p>
        </w:tc>
      </w:tr>
      <w:tr>
        <w:trPr>
          <w:trHeight w:val="122"/>
        </w:trPr>
        <w:tc>
          <w:tcPr>
            <w:tcW w:w="1820" w:type="dxa"/>
            <w:vAlign w:val="bottom"/>
            <w:tcBorders>
              <w:top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60" w:type="dxa"/>
            <w:vAlign w:val="bottom"/>
            <w:shd w:val="clear" w:color="auto" w:fill="000000"/>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333</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15,094</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3,736</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7,046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725</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4,388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775</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1,333</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7,110</w:t>
            </w:r>
          </w:p>
        </w:tc>
        <w:tc>
          <w:tcPr>
            <w:tcW w:w="0" w:type="dxa"/>
            <w:vAlign w:val="bottom"/>
          </w:tcPr>
          <w:p>
            <w:pPr>
              <w:spacing w:after="0"/>
              <w:rPr>
                <w:sz w:val="1"/>
                <w:szCs w:val="1"/>
                <w:color w:val="auto"/>
              </w:rPr>
            </w:pPr>
          </w:p>
        </w:tc>
      </w:tr>
      <w:tr>
        <w:trPr>
          <w:trHeight w:val="159"/>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333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15,094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3,736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7,046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745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4,388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1,938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7,110</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6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7,036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7,139</w:t>
            </w:r>
          </w:p>
        </w:tc>
        <w:tc>
          <w:tcPr>
            <w:tcW w:w="0" w:type="dxa"/>
            <w:vAlign w:val="bottom"/>
          </w:tcPr>
          <w:p>
            <w:pPr>
              <w:spacing w:after="0"/>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695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7,036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7,139</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60" w:type="dxa"/>
            <w:vAlign w:val="bottom"/>
            <w:shd w:val="clear" w:color="auto" w:fill="000000"/>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3"/>
          </w:tcPr>
          <w:p>
            <w:pPr>
              <w:spacing w:after="0"/>
              <w:rPr>
                <w:sz w:val="20"/>
                <w:szCs w:val="20"/>
                <w:color w:val="auto"/>
              </w:rPr>
            </w:pPr>
            <w:r>
              <w:rPr>
                <w:rFonts w:ascii="Arial" w:cs="Arial" w:eastAsia="Arial" w:hAnsi="Arial"/>
                <w:sz w:val="11"/>
                <w:szCs w:val="11"/>
                <w:color w:val="auto"/>
              </w:rPr>
              <w:t>Property and casualty insurance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13,087</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3,451</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6,531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729</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4,017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720</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1,235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6,692</w:t>
            </w:r>
          </w:p>
        </w:tc>
        <w:tc>
          <w:tcPr>
            <w:tcW w:w="0" w:type="dxa"/>
            <w:vAlign w:val="bottom"/>
          </w:tcPr>
          <w:p>
            <w:pPr>
              <w:spacing w:after="0"/>
              <w:rPr>
                <w:sz w:val="1"/>
                <w:szCs w:val="1"/>
                <w:color w:val="auto"/>
              </w:rPr>
            </w:pPr>
          </w:p>
        </w:tc>
      </w:tr>
      <w:tr>
        <w:trPr>
          <w:trHeight w:val="159"/>
        </w:trPr>
        <w:tc>
          <w:tcPr>
            <w:tcW w:w="1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13,087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3,451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6,531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742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4,033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2,001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6,692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274E"/>
        </w:rPr>
        <w:t>Signatures</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8020" w:type="dxa"/>
            <w:vAlign w:val="bottom"/>
            <w:gridSpan w:val="2"/>
          </w:tcPr>
          <w:p>
            <w:pPr>
              <w:ind w:left="2200"/>
              <w:spacing w:after="0"/>
              <w:rPr>
                <w:sz w:val="20"/>
                <w:szCs w:val="20"/>
                <w:color w:val="auto"/>
              </w:rPr>
            </w:pPr>
            <w:r>
              <w:rPr>
                <w:rFonts w:ascii="Arial" w:cs="Arial" w:eastAsia="Arial" w:hAnsi="Arial"/>
                <w:sz w:val="13"/>
                <w:szCs w:val="13"/>
                <w:color w:val="auto"/>
              </w:rPr>
              <w:t>American Financial Group, Inc.</w:t>
            </w:r>
          </w:p>
        </w:tc>
      </w:tr>
      <w:tr>
        <w:trPr>
          <w:trHeight w:val="341"/>
        </w:trPr>
        <w:tc>
          <w:tcPr>
            <w:tcW w:w="3240" w:type="dxa"/>
            <w:vAlign w:val="bottom"/>
          </w:tcPr>
          <w:p>
            <w:pPr>
              <w:spacing w:after="0"/>
              <w:rPr>
                <w:sz w:val="20"/>
                <w:szCs w:val="20"/>
                <w:color w:val="auto"/>
              </w:rPr>
            </w:pPr>
            <w:r>
              <w:rPr>
                <w:rFonts w:ascii="Arial" w:cs="Arial" w:eastAsia="Arial" w:hAnsi="Arial"/>
                <w:sz w:val="13"/>
                <w:szCs w:val="13"/>
                <w:color w:val="auto"/>
              </w:rPr>
              <w:t>February 25, 2026</w:t>
            </w:r>
          </w:p>
        </w:tc>
        <w:tc>
          <w:tcPr>
            <w:tcW w:w="2820" w:type="dxa"/>
            <w:vAlign w:val="bottom"/>
          </w:tcPr>
          <w:p>
            <w:pPr>
              <w:ind w:left="2200"/>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S. Hertzman</w:t>
            </w:r>
          </w:p>
        </w:tc>
      </w:tr>
      <w:tr>
        <w:trPr>
          <w:trHeight w:val="159"/>
        </w:trPr>
        <w:tc>
          <w:tcPr>
            <w:tcW w:w="3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Brian S. Hertzman</w:t>
            </w:r>
          </w:p>
        </w:tc>
      </w:tr>
      <w:tr>
        <w:trPr>
          <w:trHeight w:val="170"/>
        </w:trPr>
        <w:tc>
          <w:tcPr>
            <w:tcW w:w="3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109220</wp:posOffset>
            </wp:positionV>
            <wp:extent cx="663638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6636385" cy="6985"/>
                    </a:xfrm>
                    <a:prstGeom prst="rect">
                      <a:avLst/>
                    </a:prstGeom>
                    <a:noFill/>
                  </pic:spPr>
                </pic:pic>
              </a:graphicData>
            </a:graphic>
          </wp:anchor>
        </w:drawing>
      </w:r>
    </w:p>
    <w:p>
      <w:pPr>
        <w:spacing w:after="0" w:line="337"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Signature</w:t>
            </w:r>
          </w:p>
        </w:tc>
        <w:tc>
          <w:tcPr>
            <w:tcW w:w="13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4"/>
              </w:rPr>
              <w:t>Capacity</w:t>
            </w:r>
          </w:p>
        </w:tc>
        <w:tc>
          <w:tcPr>
            <w:tcW w:w="356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3"/>
                <w:szCs w:val="13"/>
                <w:color w:val="auto"/>
              </w:rPr>
            </w:pPr>
          </w:p>
        </w:tc>
      </w:tr>
      <w:tr>
        <w:trPr>
          <w:trHeight w:val="349"/>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Carl H. Lindner III</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Co-Chief Executive Officer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Carl H. Lindner III</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Executive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0"/>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S. Craig Lindner</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Co-Chief Executive Officer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S. Craig Lindner</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Executive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0"/>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Brian S. Hertzman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Senior Vice President and Chief Financial Officer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6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Brian S. Hertzman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(Principal Financial and Accounting Officer)</w:t>
            </w: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John B. Berding</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President and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John B. Berding</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Gregory G. Joseph</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Lead Independent 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Gregory G. Joseph</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Craig Lindner Jr.</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Craig Lindner Jr.</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Mary Beth Martin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Mary Beth Martin</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Amy Y. Murray</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Amy Y. Murray</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Roger K. Newport</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Roger K. Newport</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Evans N. Nwankwo</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Evans N. Nwankwo</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David L. Thompson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David L. Thompson</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William W. Verity</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William W. Verity</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1"/>
        </w:trPr>
        <w:tc>
          <w:tcPr>
            <w:tcW w:w="3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/s/ John I. Von Lehman</w:t>
            </w: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c>
          <w:tcPr>
            <w:tcW w:w="4220" w:type="dxa"/>
            <w:vAlign w:val="bottom"/>
            <w:gridSpan w:val="3"/>
          </w:tcPr>
          <w:p>
            <w:pPr>
              <w:jc w:val="center"/>
              <w:ind w:left="3116"/>
              <w:spacing w:after="0"/>
              <w:rPr>
                <w:sz w:val="20"/>
                <w:szCs w:val="20"/>
                <w:color w:val="auto"/>
              </w:rPr>
            </w:pPr>
            <w:r>
              <w:rPr>
                <w:rFonts w:ascii="Arial" w:cs="Arial" w:eastAsia="Arial" w:hAnsi="Arial"/>
                <w:sz w:val="13"/>
                <w:szCs w:val="13"/>
                <w:color w:val="auto"/>
                <w:w w:val="97"/>
              </w:rPr>
              <w:t>February 25, 2026</w:t>
            </w:r>
          </w:p>
        </w:tc>
      </w:tr>
      <w:tr>
        <w:trPr>
          <w:trHeight w:val="159"/>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John I. Von Lehman</w:t>
            </w:r>
          </w:p>
        </w:tc>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40"/>
        </w:trPr>
        <w:tc>
          <w:tcPr>
            <w:tcW w:w="3320" w:type="dxa"/>
            <w:vAlign w:val="bottom"/>
            <w:gridSpan w:val="3"/>
          </w:tcPr>
          <w:p>
            <w:pPr>
              <w:ind w:left="20"/>
              <w:spacing w:after="0"/>
              <w:rPr>
                <w:sz w:val="20"/>
                <w:szCs w:val="20"/>
                <w:color w:val="auto"/>
              </w:rPr>
            </w:pPr>
            <w:r>
              <w:rPr>
                <w:rFonts w:ascii="Arial" w:cs="Arial" w:eastAsia="Arial" w:hAnsi="Arial"/>
                <w:sz w:val="13"/>
                <w:szCs w:val="13"/>
                <w:color w:val="auto"/>
              </w:rPr>
              <w:t>* Member of the Audit Committee</w:t>
            </w:r>
          </w:p>
        </w:tc>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S-6</w:t>
      </w:r>
    </w:p>
    <w:p>
      <w:pPr>
        <w:sectPr>
          <w:pgSz w:w="11900" w:h="16838" w:orient="portrait"/>
          <w:cols w:equalWidth="0" w:num="1">
            <w:col w:w="11280"/>
          </w:cols>
          <w:pgMar w:left="300" w:top="121" w:right="319" w:bottom="1440"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00274E"/>
        </w:rPr>
        <w:t>Exhibit 21</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00274E"/>
        </w:rPr>
        <w:t>AMERICAN FINANCIAL GROUP, INC.</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00274E"/>
        </w:rPr>
        <w:t>SUBSIDIARIES OF THE REGISTRANT</w:t>
      </w:r>
    </w:p>
    <w:p>
      <w:pPr>
        <w:spacing w:after="0" w:line="184"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The following is a list of subsidiaries of AFG at December 31, 2025. All corporations are subsidiaries of AFG and, if indented, subsidiaries of the company under which they are listed. The names of certain subsidiaries are omitted, as such subsidiaries in the aggregate would not constitute a significant subsidiary.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Name of Company</w:t>
            </w:r>
          </w:p>
        </w:tc>
        <w:tc>
          <w:tcPr>
            <w:tcW w:w="1700" w:type="dxa"/>
            <w:vAlign w:val="bottom"/>
            <w:gridSpan w:val="2"/>
          </w:tcPr>
          <w:p>
            <w:pPr>
              <w:ind w:left="420"/>
              <w:spacing w:after="0"/>
              <w:rPr>
                <w:sz w:val="20"/>
                <w:szCs w:val="20"/>
                <w:color w:val="auto"/>
              </w:rPr>
            </w:pPr>
            <w:r>
              <w:rPr>
                <w:rFonts w:ascii="Arial" w:cs="Arial" w:eastAsia="Arial" w:hAnsi="Arial"/>
                <w:sz w:val="11"/>
                <w:szCs w:val="11"/>
                <w:color w:val="auto"/>
              </w:rPr>
              <w:t>Incorporated</w:t>
            </w:r>
          </w:p>
        </w:tc>
        <w:tc>
          <w:tcPr>
            <w:tcW w:w="2300" w:type="dxa"/>
            <w:vAlign w:val="bottom"/>
          </w:tcPr>
          <w:p>
            <w:pPr>
              <w:jc w:val="center"/>
              <w:spacing w:after="0"/>
              <w:rPr>
                <w:sz w:val="20"/>
                <w:szCs w:val="20"/>
                <w:color w:val="auto"/>
              </w:rPr>
            </w:pPr>
            <w:r>
              <w:rPr>
                <w:rFonts w:ascii="Arial" w:cs="Arial" w:eastAsia="Arial" w:hAnsi="Arial"/>
                <w:sz w:val="11"/>
                <w:szCs w:val="11"/>
                <w:color w:val="auto"/>
              </w:rPr>
              <w:t>Percentage of Ownership</w:t>
            </w:r>
          </w:p>
        </w:tc>
      </w:tr>
      <w:tr>
        <w:trPr>
          <w:trHeight w:val="15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AFG Real Estate Holding Company, LLC</w:t>
            </w:r>
          </w:p>
        </w:tc>
        <w:tc>
          <w:tcPr>
            <w:tcW w:w="2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4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American Money Management Corporation</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American Real Estate Capital Company, LLC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APU Holding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APU Consolidated,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Pennsylvania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GAI Insurance Company, Ltd.</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Bermuda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Great American Financial Resources,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Delaware</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0"/>
              <w:spacing w:after="0"/>
              <w:rPr>
                <w:sz w:val="20"/>
                <w:szCs w:val="20"/>
                <w:color w:val="auto"/>
              </w:rPr>
            </w:pPr>
            <w:r>
              <w:rPr>
                <w:rFonts w:ascii="Arial" w:cs="Arial" w:eastAsia="Arial" w:hAnsi="Arial"/>
                <w:sz w:val="12"/>
                <w:szCs w:val="12"/>
                <w:color w:val="auto"/>
              </w:rPr>
              <w:t>Great American Holding,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ABA Insurance Services,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Farmers Crop Insurance Alliance,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Kansas</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Crop Risk Services,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Illinois</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Contemporary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Bridgefield Casualty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Bridgefield Employers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Bridgefield Indemnity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Republic Indemnity Company of America</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California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Republic Indemnity Company of California</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California</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Holding (Europe) Limited</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Great American Europe Limited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440"/>
              <w:spacing w:after="0"/>
              <w:rPr>
                <w:sz w:val="20"/>
                <w:szCs w:val="20"/>
                <w:color w:val="auto"/>
              </w:rPr>
            </w:pPr>
            <w:r>
              <w:rPr>
                <w:rFonts w:ascii="Arial" w:cs="Arial" w:eastAsia="Arial" w:hAnsi="Arial"/>
                <w:sz w:val="12"/>
                <w:szCs w:val="12"/>
                <w:color w:val="auto"/>
              </w:rPr>
              <w:t>Great American International Insurance (EU) Designated Activity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Ireland</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Great American International Insurance (UK) Limited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Mid-Continent Casualty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Mid-Continent Assurance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Mid-Continent Excess and Surplus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Oklahoma Surety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National Interstate Corporation</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Hudson Indemnity, Ltd.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Cayman Islands</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280"/>
              <w:spacing w:after="0"/>
              <w:rPr>
                <w:sz w:val="20"/>
                <w:szCs w:val="20"/>
                <w:color w:val="auto"/>
              </w:rPr>
            </w:pPr>
            <w:r>
              <w:rPr>
                <w:rFonts w:ascii="Arial" w:cs="Arial" w:eastAsia="Arial" w:hAnsi="Arial"/>
                <w:sz w:val="12"/>
                <w:szCs w:val="12"/>
                <w:color w:val="auto"/>
              </w:rPr>
              <w:t>National Interstate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National Interstate Insurance Company of Hawaii, Inc.</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440"/>
              <w:spacing w:after="0"/>
              <w:rPr>
                <w:sz w:val="20"/>
                <w:szCs w:val="20"/>
                <w:color w:val="auto"/>
              </w:rPr>
            </w:pPr>
            <w:r>
              <w:rPr>
                <w:rFonts w:ascii="Arial" w:cs="Arial" w:eastAsia="Arial" w:hAnsi="Arial"/>
                <w:sz w:val="12"/>
                <w:szCs w:val="12"/>
                <w:color w:val="auto"/>
              </w:rPr>
              <w:t>Triumphe Casualty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Vanliner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Summit Consulting, LLC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Florida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Great American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American Empire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El Aguila, Compañia de Seguros, S.A. de C.V.</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Mexico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Alliance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Assurance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Casualty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E&amp;S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Fidelity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Insurance Company of New York</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New York</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Protection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Risk Solutions Surplus Lines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Great American Security Insurance Company</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Ohio</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Great American Spirit Insurance Company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r>
      <w:tr>
        <w:trPr>
          <w:trHeight w:val="159"/>
        </w:trPr>
        <w:tc>
          <w:tcPr>
            <w:tcW w:w="7240" w:type="dxa"/>
            <w:vAlign w:val="bottom"/>
            <w:gridSpan w:val="2"/>
          </w:tcPr>
          <w:p>
            <w:pPr>
              <w:ind w:left="120"/>
              <w:spacing w:after="0"/>
              <w:rPr>
                <w:sz w:val="20"/>
                <w:szCs w:val="20"/>
                <w:color w:val="auto"/>
              </w:rPr>
            </w:pPr>
            <w:r>
              <w:rPr>
                <w:rFonts w:ascii="Arial" w:cs="Arial" w:eastAsia="Arial" w:hAnsi="Arial"/>
                <w:sz w:val="12"/>
                <w:szCs w:val="12"/>
                <w:color w:val="auto"/>
              </w:rPr>
              <w:t>Professional Risk Brokers, Inc.</w:t>
            </w:r>
          </w:p>
        </w:tc>
        <w:tc>
          <w:tcPr>
            <w:tcW w:w="1700" w:type="dxa"/>
            <w:vAlign w:val="bottom"/>
            <w:gridSpan w:val="2"/>
          </w:tcPr>
          <w:p>
            <w:pPr>
              <w:ind w:left="20"/>
              <w:spacing w:after="0"/>
              <w:rPr>
                <w:sz w:val="20"/>
                <w:szCs w:val="20"/>
                <w:color w:val="auto"/>
              </w:rPr>
            </w:pPr>
            <w:r>
              <w:rPr>
                <w:rFonts w:ascii="Arial" w:cs="Arial" w:eastAsia="Arial" w:hAnsi="Arial"/>
                <w:sz w:val="12"/>
                <w:szCs w:val="12"/>
                <w:color w:val="auto"/>
              </w:rPr>
              <w:t>Illinois</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100</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w:t>
      </w:r>
    </w:p>
    <w:p>
      <w:pPr>
        <w:sectPr>
          <w:pgSz w:w="11900" w:h="16838" w:orient="portrait"/>
          <w:cols w:equalWidth="0" w:num="1">
            <w:col w:w="11280"/>
          </w:cols>
          <w:pgMar w:left="300" w:top="638"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003366"/>
        </w:rPr>
        <w:t>Exhibit 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CONSENT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 and related Prospectuses of American Financial Group, Inc.:</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3"/>
                <w:szCs w:val="13"/>
                <w:color w:val="auto"/>
              </w:rPr>
              <w:t>Registration</w:t>
            </w:r>
          </w:p>
        </w:tc>
        <w:tc>
          <w:tcPr>
            <w:tcW w:w="7640" w:type="dxa"/>
            <w:vAlign w:val="bottom"/>
          </w:tcPr>
          <w:p>
            <w:pPr>
              <w:spacing w:after="0"/>
              <w:rPr>
                <w:sz w:val="14"/>
                <w:szCs w:val="14"/>
                <w:color w:val="auto"/>
              </w:rPr>
            </w:pPr>
          </w:p>
        </w:tc>
      </w:tr>
      <w:tr>
        <w:trPr>
          <w:trHeight w:val="171"/>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Form</w:t>
            </w:r>
          </w:p>
        </w:tc>
        <w:tc>
          <w:tcPr>
            <w:tcW w:w="340" w:type="dxa"/>
            <w:vAlign w:val="bottom"/>
          </w:tcPr>
          <w:p>
            <w:pPr>
              <w:spacing w:after="0"/>
              <w:rPr>
                <w:sz w:val="14"/>
                <w:szCs w:val="14"/>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Number</w:t>
            </w:r>
          </w:p>
        </w:tc>
        <w:tc>
          <w:tcPr>
            <w:tcW w:w="340" w:type="dxa"/>
            <w:vAlign w:val="bottom"/>
          </w:tcPr>
          <w:p>
            <w:pPr>
              <w:spacing w:after="0"/>
              <w:rPr>
                <w:sz w:val="14"/>
                <w:szCs w:val="14"/>
                <w:color w:val="auto"/>
              </w:rPr>
            </w:pPr>
          </w:p>
        </w:tc>
        <w:tc>
          <w:tcPr>
            <w:tcW w:w="7640" w:type="dxa"/>
            <w:vAlign w:val="bottom"/>
            <w:tcBorders>
              <w:bottom w:val="single" w:sz="8" w:color="auto"/>
            </w:tcBorders>
          </w:tcPr>
          <w:p>
            <w:pPr>
              <w:ind w:left="3500"/>
              <w:spacing w:after="0"/>
              <w:rPr>
                <w:sz w:val="20"/>
                <w:szCs w:val="20"/>
                <w:color w:val="auto"/>
              </w:rPr>
            </w:pPr>
            <w:r>
              <w:rPr>
                <w:rFonts w:ascii="Arial" w:cs="Arial" w:eastAsia="Arial" w:hAnsi="Arial"/>
                <w:sz w:val="13"/>
                <w:szCs w:val="13"/>
                <w:color w:val="auto"/>
              </w:rPr>
              <w:t>Description</w:t>
            </w:r>
          </w:p>
        </w:tc>
      </w:tr>
      <w:tr>
        <w:trPr>
          <w:trHeight w:val="159"/>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33-58827</w:t>
            </w:r>
          </w:p>
        </w:tc>
        <w:tc>
          <w:tcPr>
            <w:tcW w:w="340" w:type="dxa"/>
            <w:vAlign w:val="bottom"/>
          </w:tcPr>
          <w:p>
            <w:pPr>
              <w:spacing w:after="0"/>
              <w:rPr>
                <w:sz w:val="13"/>
                <w:szCs w:val="13"/>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Employee Stock Purchase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S-3</w:t>
            </w:r>
          </w:p>
        </w:tc>
        <w:tc>
          <w:tcPr>
            <w:tcW w:w="1260" w:type="dxa"/>
            <w:vAlign w:val="bottom"/>
          </w:tcPr>
          <w:p>
            <w:pPr>
              <w:ind w:left="20"/>
              <w:spacing w:after="0"/>
              <w:rPr>
                <w:sz w:val="20"/>
                <w:szCs w:val="20"/>
                <w:color w:val="auto"/>
              </w:rPr>
            </w:pPr>
            <w:r>
              <w:rPr>
                <w:rFonts w:ascii="Arial" w:cs="Arial" w:eastAsia="Arial" w:hAnsi="Arial"/>
                <w:sz w:val="13"/>
                <w:szCs w:val="13"/>
                <w:color w:val="auto"/>
              </w:rPr>
              <w:t>333-102567</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Dividend Reinvestment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333-117062</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Non-employee Directors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333-184913</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Non-employee Directors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333-14935</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Retirement and Savings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333-91945</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Deferred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333-268292</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Deferred Compensation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333-125304</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333-170343</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333-184914</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2005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333-206291</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2015 Stock Incentive Plan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S-3</w:t>
            </w:r>
          </w:p>
        </w:tc>
        <w:tc>
          <w:tcPr>
            <w:tcW w:w="1260" w:type="dxa"/>
            <w:vAlign w:val="bottom"/>
          </w:tcPr>
          <w:p>
            <w:pPr>
              <w:ind w:left="20"/>
              <w:spacing w:after="0"/>
              <w:rPr>
                <w:sz w:val="20"/>
                <w:szCs w:val="20"/>
                <w:color w:val="auto"/>
              </w:rPr>
            </w:pPr>
            <w:r>
              <w:rPr>
                <w:rFonts w:ascii="Arial" w:cs="Arial" w:eastAsia="Arial" w:hAnsi="Arial"/>
                <w:sz w:val="13"/>
                <w:szCs w:val="13"/>
                <w:color w:val="auto"/>
              </w:rPr>
              <w:t>333-277425</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Shelf Registration</w:t>
            </w:r>
          </w:p>
        </w:tc>
      </w:tr>
      <w:tr>
        <w:trPr>
          <w:trHeight w:val="170"/>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S-8</w:t>
            </w:r>
          </w:p>
        </w:tc>
        <w:tc>
          <w:tcPr>
            <w:tcW w:w="1260" w:type="dxa"/>
            <w:vAlign w:val="bottom"/>
          </w:tcPr>
          <w:p>
            <w:pPr>
              <w:ind w:left="20"/>
              <w:spacing w:after="0"/>
              <w:rPr>
                <w:sz w:val="20"/>
                <w:szCs w:val="20"/>
                <w:color w:val="auto"/>
              </w:rPr>
            </w:pPr>
            <w:r>
              <w:rPr>
                <w:rFonts w:ascii="Arial" w:cs="Arial" w:eastAsia="Arial" w:hAnsi="Arial"/>
                <w:sz w:val="13"/>
                <w:szCs w:val="13"/>
                <w:color w:val="auto"/>
              </w:rPr>
              <w:t>333-281389</w:t>
            </w:r>
          </w:p>
        </w:tc>
        <w:tc>
          <w:tcPr>
            <w:tcW w:w="340" w:type="dxa"/>
            <w:vAlign w:val="bottom"/>
          </w:tcPr>
          <w:p>
            <w:pPr>
              <w:spacing w:after="0"/>
              <w:rPr>
                <w:sz w:val="14"/>
                <w:szCs w:val="14"/>
                <w:color w:val="auto"/>
              </w:rPr>
            </w:pPr>
          </w:p>
        </w:tc>
        <w:tc>
          <w:tcPr>
            <w:tcW w:w="7640" w:type="dxa"/>
            <w:vAlign w:val="bottom"/>
          </w:tcPr>
          <w:p>
            <w:pPr>
              <w:ind w:left="20"/>
              <w:spacing w:after="0"/>
              <w:rPr>
                <w:sz w:val="20"/>
                <w:szCs w:val="20"/>
                <w:color w:val="auto"/>
              </w:rPr>
            </w:pPr>
            <w:r>
              <w:rPr>
                <w:rFonts w:ascii="Arial" w:cs="Arial" w:eastAsia="Arial" w:hAnsi="Arial"/>
                <w:sz w:val="13"/>
                <w:szCs w:val="13"/>
                <w:color w:val="auto"/>
              </w:rPr>
              <w:t>Amended and Restated 2015 Stock Incentive Plan</w:t>
            </w:r>
          </w:p>
        </w:tc>
      </w:tr>
    </w:tbl>
    <w:p>
      <w:pPr>
        <w:spacing w:after="0" w:line="257"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of our reports dated February 25, 2026, with respect to the consolidated financial statements and schedules of American Financial Group, Inc. and subsidiaries and the effectiveness of internal control over financial reporting of American Financial Group, Inc. and subsidiaries, included in this Annual Report (Form 10-K) of American Financial Group, Inc. and subsidiaries for the year ended December 31, 2025.</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Cincinnati, Ohio</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February 25, 2026</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w:t>
      </w:r>
    </w:p>
    <w:p>
      <w:pPr>
        <w:sectPr>
          <w:pgSz w:w="11900" w:h="16838" w:orient="portrait"/>
          <w:cols w:equalWidth="0" w:num="1">
            <w:col w:w="11280"/>
          </w:cols>
          <w:pgMar w:left="300" w:top="734"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003366"/>
        </w:rPr>
        <w:t>Exhibit 31(a)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Carl H. Lindner III, certify that:</w:t>
      </w:r>
    </w:p>
    <w:p>
      <w:pPr>
        <w:spacing w:after="0" w:line="11" w:lineRule="exact"/>
        <w:rPr>
          <w:sz w:val="20"/>
          <w:szCs w:val="20"/>
          <w:color w:val="auto"/>
        </w:rPr>
      </w:pPr>
    </w:p>
    <w:p>
      <w:pPr>
        <w:ind w:left="260" w:hanging="255"/>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20" w:hanging="380"/>
        <w:spacing w:after="0" w:line="327" w:lineRule="auto"/>
        <w:tabs>
          <w:tab w:leader="none" w:pos="640"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40" w:hanging="380"/>
        <w:spacing w:after="0" w:line="283" w:lineRule="auto"/>
        <w:tabs>
          <w:tab w:leader="none" w:pos="633" w:val="left"/>
        </w:tabs>
        <w:numPr>
          <w:ilvl w:val="1"/>
          <w:numId w:val="6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sz w:val="20"/>
          <w:szCs w:val="20"/>
          <w:color w:val="auto"/>
        </w:rPr>
      </w:pPr>
    </w:p>
    <w:p>
      <w:pPr>
        <w:ind w:left="640" w:right="60" w:hanging="380"/>
        <w:spacing w:after="0" w:line="266" w:lineRule="auto"/>
        <w:tabs>
          <w:tab w:leader="none" w:pos="636" w:val="left"/>
        </w:tabs>
        <w:numPr>
          <w:ilvl w:val="0"/>
          <w:numId w:val="7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840" w:val="left"/>
          <w:tab w:leader="none" w:pos="6280" w:val="left"/>
        </w:tabs>
        <w:rPr>
          <w:sz w:val="20"/>
          <w:szCs w:val="20"/>
          <w:color w:val="auto"/>
        </w:rPr>
      </w:pPr>
      <w:r>
        <w:rPr>
          <w:rFonts w:ascii="Arial" w:cs="Arial" w:eastAsia="Arial" w:hAnsi="Arial"/>
          <w:sz w:val="13"/>
          <w:szCs w:val="13"/>
          <w:color w:val="auto"/>
        </w:rPr>
        <w:t>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12700</wp:posOffset>
            </wp:positionV>
            <wp:extent cx="289052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Carl H. Lindner III</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Co-Chief Executive Officer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E-3</w:t>
      </w:r>
    </w:p>
    <w:p>
      <w:pPr>
        <w:sectPr>
          <w:pgSz w:w="11900" w:h="16838" w:orient="portrait"/>
          <w:cols w:equalWidth="0" w:num="1">
            <w:col w:w="11280"/>
          </w:cols>
          <w:pgMar w:left="300" w:top="734"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003366"/>
        </w:rPr>
        <w:t>Exhibit 31(b)</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S. Craig Lindner, certify that:</w:t>
      </w:r>
    </w:p>
    <w:p>
      <w:pPr>
        <w:spacing w:after="0" w:line="11" w:lineRule="exact"/>
        <w:rPr>
          <w:sz w:val="20"/>
          <w:szCs w:val="20"/>
          <w:color w:val="auto"/>
        </w:rPr>
      </w:pPr>
    </w:p>
    <w:p>
      <w:pPr>
        <w:ind w:left="260" w:hanging="255"/>
        <w:spacing w:after="0"/>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40" w:val="left"/>
        </w:tabs>
        <w:numPr>
          <w:ilvl w:val="1"/>
          <w:numId w:val="7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20" w:hanging="380"/>
        <w:spacing w:after="0" w:line="327" w:lineRule="auto"/>
        <w:tabs>
          <w:tab w:leader="none" w:pos="640"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40" w:hanging="380"/>
        <w:spacing w:after="0" w:line="283" w:lineRule="auto"/>
        <w:tabs>
          <w:tab w:leader="none" w:pos="633" w:val="left"/>
        </w:tabs>
        <w:numPr>
          <w:ilvl w:val="1"/>
          <w:numId w:val="7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40" w:val="left"/>
        </w:tabs>
        <w:numPr>
          <w:ilvl w:val="1"/>
          <w:numId w:val="7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sz w:val="20"/>
          <w:szCs w:val="20"/>
          <w:color w:val="auto"/>
        </w:rPr>
      </w:pPr>
    </w:p>
    <w:p>
      <w:pPr>
        <w:ind w:left="640" w:right="60" w:hanging="380"/>
        <w:spacing w:after="0" w:line="266" w:lineRule="auto"/>
        <w:tabs>
          <w:tab w:leader="none" w:pos="636" w:val="left"/>
        </w:tabs>
        <w:numPr>
          <w:ilvl w:val="0"/>
          <w:numId w:val="7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840" w:val="left"/>
          <w:tab w:leader="none" w:pos="6280" w:val="left"/>
        </w:tabs>
        <w:rPr>
          <w:sz w:val="20"/>
          <w:szCs w:val="20"/>
          <w:color w:val="auto"/>
        </w:rPr>
      </w:pPr>
      <w:r>
        <w:rPr>
          <w:rFonts w:ascii="Arial" w:cs="Arial" w:eastAsia="Arial" w:hAnsi="Arial"/>
          <w:sz w:val="13"/>
          <w:szCs w:val="13"/>
          <w:color w:val="auto"/>
        </w:rPr>
        <w:t>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12700</wp:posOffset>
            </wp:positionV>
            <wp:extent cx="289052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S. Craig Lindner</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Co-Chief Executive Officer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E-4</w:t>
      </w:r>
    </w:p>
    <w:p>
      <w:pPr>
        <w:sectPr>
          <w:pgSz w:w="11900" w:h="16838" w:orient="portrait"/>
          <w:cols w:equalWidth="0" w:num="1">
            <w:col w:w="11280"/>
          </w:cols>
          <w:pgMar w:left="300" w:top="734"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003366"/>
        </w:rPr>
        <w:t>Exhibit 31(c)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SARBANES-OXLEY SECTION 302(a) CERTIFICATIONS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Brian S. Hertzman, certify that:</w:t>
      </w:r>
    </w:p>
    <w:p>
      <w:pPr>
        <w:spacing w:after="0" w:line="11" w:lineRule="exact"/>
        <w:rPr>
          <w:sz w:val="20"/>
          <w:szCs w:val="20"/>
          <w:color w:val="auto"/>
        </w:rPr>
      </w:pPr>
    </w:p>
    <w:p>
      <w:pPr>
        <w:ind w:left="260" w:hanging="255"/>
        <w:spacing w:after="0"/>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Financial Group, Inc.;</w:t>
      </w:r>
    </w:p>
    <w:p>
      <w:pPr>
        <w:spacing w:after="0" w:line="178"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80" w:hanging="255"/>
        <w:spacing w:after="0" w:line="283" w:lineRule="auto"/>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80" w:hanging="255"/>
        <w:spacing w:after="0" w:line="266" w:lineRule="auto"/>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640" w:right="120" w:hanging="380"/>
        <w:spacing w:after="0" w:line="266" w:lineRule="auto"/>
        <w:tabs>
          <w:tab w:leader="none" w:pos="6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640" w:right="420" w:hanging="380"/>
        <w:spacing w:after="0" w:line="327"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2"/>
          <w:szCs w:val="12"/>
          <w:color w:val="auto"/>
        </w:rPr>
      </w:pPr>
    </w:p>
    <w:p>
      <w:pPr>
        <w:ind w:left="640" w:right="540" w:hanging="380"/>
        <w:spacing w:after="0" w:line="283" w:lineRule="auto"/>
        <w:tabs>
          <w:tab w:leader="none" w:pos="633" w:val="left"/>
        </w:tabs>
        <w:numPr>
          <w:ilvl w:val="1"/>
          <w:numId w:val="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640" w:right="100" w:hanging="380"/>
        <w:spacing w:after="0" w:line="266" w:lineRule="auto"/>
        <w:tabs>
          <w:tab w:leader="none" w:pos="6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sz w:val="20"/>
          <w:szCs w:val="20"/>
          <w:color w:val="auto"/>
        </w:rPr>
      </w:pPr>
    </w:p>
    <w:p>
      <w:pPr>
        <w:ind w:left="640" w:right="60" w:hanging="380"/>
        <w:spacing w:after="0" w:line="266" w:lineRule="auto"/>
        <w:tabs>
          <w:tab w:leader="none" w:pos="636" w:val="left"/>
        </w:tabs>
        <w:numPr>
          <w:ilvl w:val="0"/>
          <w:numId w:val="7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640" w:hanging="380"/>
        <w:spacing w:after="0"/>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60"/>
        <w:spacing w:after="0"/>
        <w:tabs>
          <w:tab w:leader="none" w:pos="5720" w:val="left"/>
          <w:tab w:leader="none" w:pos="6160" w:val="left"/>
        </w:tabs>
        <w:rPr>
          <w:sz w:val="20"/>
          <w:szCs w:val="20"/>
          <w:color w:val="auto"/>
        </w:rPr>
      </w:pPr>
      <w:r>
        <w:rPr>
          <w:rFonts w:ascii="Arial" w:cs="Arial" w:eastAsia="Arial" w:hAnsi="Arial"/>
          <w:sz w:val="13"/>
          <w:szCs w:val="13"/>
          <w:color w:val="auto"/>
        </w:rPr>
        <w:t>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12700</wp:posOffset>
            </wp:positionV>
            <wp:extent cx="297116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Brian S. Hertzman</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E-5</w:t>
      </w:r>
    </w:p>
    <w:p>
      <w:pPr>
        <w:sectPr>
          <w:pgSz w:w="11900" w:h="16838" w:orient="portrait"/>
          <w:cols w:equalWidth="0" w:num="1">
            <w:col w:w="11280"/>
          </w:cols>
          <w:pgMar w:left="300" w:top="733"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003366"/>
        </w:rPr>
        <w:t>Exhibit 32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AMERICAN FINANCIAL GROUP,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CERTIFICATION OF CHIEF EXECUTIVE OFFICER AND 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366"/>
        </w:rPr>
        <w:t>PURSUANT TO SECTION 906 OF THE SARBANES-OXLEY ACT OF 2002</w:t>
      </w:r>
    </w:p>
    <w:p>
      <w:pPr>
        <w:spacing w:after="0" w:line="371"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In connection with the filing with the Securities and Exchange Commission of the Annual Report of American Financial Group, Inc. (the “Company”) on Form 10-K for the period ended December 31, 2025 (the “Report”), the undersigned officers of the Company, certify, pursuant to section 906 of the Sarbanes-Oxley Act of 2002, that to the best of their knowledge:</w:t>
      </w:r>
    </w:p>
    <w:p>
      <w:pPr>
        <w:spacing w:after="0" w:line="146" w:lineRule="exact"/>
        <w:rPr>
          <w:sz w:val="20"/>
          <w:szCs w:val="20"/>
          <w:color w:val="auto"/>
        </w:rPr>
      </w:pPr>
    </w:p>
    <w:p>
      <w:pPr>
        <w:ind w:left="520" w:hanging="260"/>
        <w:spacing w:after="0"/>
        <w:tabs>
          <w:tab w:leader="none" w:pos="5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Act of 1934; and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ectPr>
          <w:pgSz w:w="11900" w:h="16838" w:orient="portrait"/>
          <w:cols w:equalWidth="0" w:num="1">
            <w:col w:w="11280"/>
          </w:cols>
          <w:pgMar w:left="300" w:top="734" w:right="319" w:bottom="1440" w:gutter="0" w:footer="0" w:header="0"/>
        </w:sect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91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1179195"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Carl H. Lindner III</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Co-Chief Executive Officer</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 Craig Lindner</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Co-Chief Executive Officer</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12700</wp:posOffset>
            </wp:positionV>
            <wp:extent cx="315277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Brian S. Hertzman</w:t>
      </w:r>
    </w:p>
    <w:p>
      <w:pPr>
        <w:spacing w:after="0" w:line="20"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Senior Vice President and Chief Financial Officer</w:t>
      </w:r>
    </w:p>
    <w:p>
      <w:pPr>
        <w:spacing w:after="0" w:line="200" w:lineRule="exact"/>
        <w:rPr>
          <w:sz w:val="20"/>
          <w:szCs w:val="20"/>
          <w:color w:val="auto"/>
        </w:rPr>
      </w:pPr>
    </w:p>
    <w:p>
      <w:pPr>
        <w:sectPr>
          <w:pgSz w:w="11900" w:h="16838" w:orient="portrait"/>
          <w:cols w:equalWidth="0" w:num="2">
            <w:col w:w="5220" w:space="720"/>
            <w:col w:w="5340"/>
          </w:cols>
          <w:pgMar w:left="300" w:top="73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20"/>
        <w:spacing w:after="0"/>
        <w:rPr>
          <w:sz w:val="20"/>
          <w:szCs w:val="20"/>
          <w:color w:val="auto"/>
        </w:rPr>
      </w:pPr>
      <w:r>
        <w:rPr>
          <w:rFonts w:ascii="Arial" w:cs="Arial" w:eastAsia="Arial" w:hAnsi="Arial"/>
          <w:sz w:val="12"/>
          <w:szCs w:val="12"/>
          <w:b w:val="1"/>
          <w:bCs w:val="1"/>
          <w:color w:val="auto"/>
        </w:rPr>
        <w:t>A signed original of this written statement will be retained by the Registrant and</w:t>
      </w:r>
    </w:p>
    <w:p>
      <w:pPr>
        <w:spacing w:after="0" w:line="33" w:lineRule="exact"/>
        <w:rPr>
          <w:sz w:val="20"/>
          <w:szCs w:val="20"/>
          <w:color w:val="auto"/>
        </w:rPr>
      </w:pPr>
    </w:p>
    <w:p>
      <w:pPr>
        <w:ind w:left="3220"/>
        <w:spacing w:after="0"/>
        <w:rPr>
          <w:sz w:val="20"/>
          <w:szCs w:val="20"/>
          <w:color w:val="auto"/>
        </w:rPr>
      </w:pPr>
      <w:r>
        <w:rPr>
          <w:rFonts w:ascii="Arial" w:cs="Arial" w:eastAsia="Arial" w:hAnsi="Arial"/>
          <w:sz w:val="12"/>
          <w:szCs w:val="12"/>
          <w:b w:val="1"/>
          <w:bCs w:val="1"/>
          <w:color w:val="auto"/>
        </w:rPr>
        <w:t>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E-6</w:t>
      </w:r>
    </w:p>
    <w:sectPr>
      <w:pgSz w:w="11900" w:h="16838" w:orient="portrait"/>
      <w:cols w:equalWidth="0" w:num="1">
        <w:col w:w="11280"/>
      </w:cols>
      <w:pgMar w:left="300" w:top="734"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lowerLetter"/>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upperLetter"/>
      <w:start w:val="8"/>
    </w:lvl>
  </w:abstractNum>
  <w:abstractNum w:abstractNumId="30">
    <w:nsid w:val="70C6A529"/>
    <w:multiLevelType w:val="hybridMultilevel"/>
    <w:lvl w:ilvl="0">
      <w:lvlJc w:val="left"/>
      <w:lvlText w:val="%1."/>
      <w:numFmt w:val="upperLetter"/>
      <w:start w:val="1"/>
    </w:lvl>
  </w:abstractNum>
  <w:abstractNum w:abstractNumId="31">
    <w:nsid w:val="520EEDD1"/>
    <w:multiLevelType w:val="hybridMultilevel"/>
    <w:lvl w:ilvl="0">
      <w:lvlJc w:val="left"/>
      <w:lvlText w:val="(%1)"/>
      <w:numFmt w:val="lowerRoman"/>
      <w:start w:val="4"/>
    </w:lvl>
  </w:abstractNum>
  <w:abstractNum w:abstractNumId="32">
    <w:nsid w:val="374A3FE6"/>
    <w:multiLevelType w:val="hybridMultilevel"/>
    <w:lvl w:ilvl="0">
      <w:lvlJc w:val="left"/>
      <w:lvlText w:val="%1."/>
      <w:numFmt w:val="upperLetter"/>
      <w:start w:val="2"/>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upperLetter"/>
      <w:start w:val="3"/>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upperLetter"/>
      <w:start w:val="4"/>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upperLetter"/>
      <w:start w:val="5"/>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upperLetter"/>
      <w:start w:val="6"/>
    </w:lvl>
  </w:abstractNum>
  <w:abstractNum w:abstractNumId="45">
    <w:nsid w:val="D34B6A8"/>
    <w:multiLevelType w:val="hybridMultilevel"/>
    <w:lvl w:ilvl="0">
      <w:lvlJc w:val="left"/>
      <w:lvlText w:val="%1."/>
      <w:numFmt w:val="upperLetter"/>
      <w:start w:val="7"/>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upperLetter"/>
      <w:start w:val="10"/>
    </w:lvl>
  </w:abstractNum>
  <w:abstractNum w:abstractNumId="48">
    <w:nsid w:val="61574095"/>
    <w:multiLevelType w:val="hybridMultilevel"/>
    <w:lvl w:ilvl="0">
      <w:lvlJc w:val="left"/>
      <w:lvlText w:val="%1."/>
      <w:numFmt w:val="upperLetter"/>
      <w:start w:val="1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upperLetter"/>
      <w:start w:val="12"/>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upperLetter"/>
      <w:start w:val="13"/>
    </w:lvl>
  </w:abstractNum>
  <w:abstractNum w:abstractNumId="53">
    <w:nsid w:val="5FF87E05"/>
    <w:multiLevelType w:val="hybridMultilevel"/>
    <w:lvl w:ilvl="0">
      <w:lvlJc w:val="left"/>
      <w:lvlText w:val="%1."/>
      <w:numFmt w:val="upperLetter"/>
      <w:start w:val="14"/>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upperLetter"/>
      <w:start w:val="15"/>
    </w:lvl>
  </w:abstractNum>
  <w:abstractNum w:abstractNumId="61">
    <w:nsid w:val="100F8FCA"/>
    <w:multiLevelType w:val="hybridMultilevel"/>
    <w:lvl w:ilvl="0">
      <w:lvlJc w:val="left"/>
      <w:lvlText w:val="(%1)"/>
      <w:numFmt w:val="lowerLetter"/>
      <w:start w:val="1"/>
    </w:lvl>
    <w:lvl w:ilvl="1">
      <w:lvlJc w:val="left"/>
      <w:lvlText w:val="%2."/>
      <w:numFmt w:val="decimal"/>
      <w:start w:val="1"/>
    </w:lvl>
  </w:abstractNum>
  <w:abstractNum w:abstractNumId="62">
    <w:nsid w:val="6590700B"/>
    <w:multiLevelType w:val="hybridMultilevel"/>
    <w:lvl w:ilvl="0">
      <w:lvlJc w:val="left"/>
      <w:lvlText w:val="4"/>
      <w:numFmt w:val="bullet"/>
      <w:start w:val="1"/>
    </w:lvl>
  </w:abstractNum>
  <w:abstractNum w:abstractNumId="63">
    <w:nsid w:val="15014ACB"/>
    <w:multiLevelType w:val="hybridMultilevel"/>
    <w:lvl w:ilvl="0">
      <w:lvlJc w:val="left"/>
      <w:lvlText w:val="%1"/>
      <w:numFmt w:val="decimal"/>
      <w:start w:val="21"/>
    </w:lvl>
  </w:abstractNum>
  <w:abstractNum w:abstractNumId="64">
    <w:nsid w:val="5F5E7FD0"/>
    <w:multiLevelType w:val="hybridMultilevel"/>
    <w:lvl w:ilvl="0">
      <w:lvlJc w:val="left"/>
      <w:lvlText w:val="%1"/>
      <w:numFmt w:val="decimal"/>
      <w:start w:val="23"/>
    </w:lvl>
  </w:abstractNum>
  <w:abstractNum w:abstractNumId="65">
    <w:nsid w:val="98A3148"/>
    <w:multiLevelType w:val="hybridMultilevel"/>
    <w:lvl w:ilvl="0">
      <w:lvlJc w:val="left"/>
      <w:lvlText w:val="%1"/>
      <w:numFmt w:val="decimal"/>
      <w:start w:val="32"/>
    </w:lvl>
  </w:abstractNum>
  <w:abstractNum w:abstractNumId="66">
    <w:nsid w:val="799D0247"/>
    <w:multiLevelType w:val="hybridMultilevel"/>
    <w:lvl w:ilvl="0">
      <w:lvlJc w:val="left"/>
      <w:lvlText w:val="%1"/>
      <w:numFmt w:val="decimal"/>
      <w:start w:val="104"/>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decimal"/>
      <w:start w:val="1"/>
    </w:lvl>
    <w:lvl w:ilvl="1">
      <w:lvlJc w:val="left"/>
      <w:lvlText w:val="%2."/>
      <w:numFmt w:val="lowerLetter"/>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186" Type="http://schemas.openxmlformats.org/officeDocument/2006/relationships/hyperlink" Target="https://www.sec.gov/Archives/edgar/data/1042046/000104204620000013/afg-20191231xex3a.htm" TargetMode="External"/><Relationship Id="rId187" Type="http://schemas.openxmlformats.org/officeDocument/2006/relationships/hyperlink" Target="https://www.sec.gov/Archives/edgar/data/1042046/000114036120007639/ex3_1.htm" TargetMode="External"/><Relationship Id="rId188" Type="http://schemas.openxmlformats.org/officeDocument/2006/relationships/hyperlink" Target="https://www.sec.gov/Archives/edgar/data/1042046/000114036122040892/brhc10043883_ex10.htm" TargetMode="External"/><Relationship Id="rId189" Type="http://schemas.openxmlformats.org/officeDocument/2006/relationships/hyperlink" Target="https://www.sec.gov/Archives/edgar/data/1042046/000104204625000011/afgseniorexecutiveannual.htm" TargetMode="External"/><Relationship Id="rId190" Type="http://schemas.openxmlformats.org/officeDocument/2006/relationships/hyperlink" Target="https://www.sec.gov/Archives/edgar/data/1042046/000104204609000011/auxrasp.htm" TargetMode="External"/><Relationship Id="rId191" Type="http://schemas.openxmlformats.org/officeDocument/2006/relationships/hyperlink" Target="https://www.sec.gov/Archives/edgar/data/1042046/000114036124027426/ef20029917_ex10-1.htm" TargetMode="External"/><Relationship Id="rId192" Type="http://schemas.openxmlformats.org/officeDocument/2006/relationships/hyperlink" Target="https://www.sec.gov/Archives/edgar/data/1042046/000114420416092193/v434516_def14a.htm" TargetMode="External"/><Relationship Id="rId193" Type="http://schemas.openxmlformats.org/officeDocument/2006/relationships/hyperlink" Target="https://www.sec.gov/Archives/edgar/data/1042046/000114036126006031/ef20065940_ex10-1.htm" TargetMode="External"/><Relationship Id="rId194" Type="http://schemas.openxmlformats.org/officeDocument/2006/relationships/hyperlink" Target="https://www.sec.gov/Archives/edgar/data/1042046/000114036123031731/brhc20055021_ex10-1.htm" TargetMode="External"/><Relationship Id="rId195" Type="http://schemas.openxmlformats.org/officeDocument/2006/relationships/hyperlink" Target="https://www.sec.gov/Archives/edgar/data/1042046/000104204625000011/afginsidertradingpolicy-.htm" TargetMode="External"/><Relationship Id="rId196" Type="http://schemas.openxmlformats.org/officeDocument/2006/relationships/hyperlink" Target="https://www.sec.gov/Archives/edgar/data/1042046/000104204624000009/americanfinancialgroup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2026-02-25T14:37:46Z</dcterms:created>
  <dcterms:modified xsi:type="dcterms:W3CDTF">2026-02-25T14:37:46Z</dcterms:modified>
</cp:coreProperties>
</file>