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 the Quarterly Period Ended June 30, 2025</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66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ind w:right="80"/>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80"/>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60"/>
          </w:cols>
          <w:pgMar w:left="320" w:top="1182" w:right="41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720"/>
          </w:cols>
          <w:pgMar w:left="320" w:top="1182" w:right="41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880"/>
          </w:cols>
          <w:pgMar w:left="320" w:top="1182" w:right="419" w:bottom="1440" w:gutter="0" w:footer="0" w:header="0"/>
          <w:type w:val="continuous"/>
        </w:sectPr>
      </w:pPr>
    </w:p>
    <w:p>
      <w:pPr>
        <w:ind w:right="1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As of August 1, 2025, there were 83,394,479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60"/>
          </w:cols>
          <w:pgMar w:left="320" w:top="118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5"/>
                <w:szCs w:val="15"/>
                <w:color w:val="auto"/>
              </w:rPr>
              <w:t>June 30,</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$10,632 and $10,687; allowance for</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10,489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$15 and $34)</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3,584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83,385,661 and 83,978,258 shares outstanding</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color w:val="auto"/>
              </w:rPr>
              <w:t>Six months ended June 30,</w:t>
            </w:r>
          </w:p>
        </w:tc>
      </w:tr>
      <w:tr>
        <w:trPr>
          <w:trHeight w:val="196"/>
        </w:trPr>
        <w:tc>
          <w:tcPr>
            <w:tcW w:w="5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r>
      <w:tr>
        <w:trPr>
          <w:trHeight w:val="20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Net earned premiums</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1,585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22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7"/>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r>
      <w:tr>
        <w:trPr>
          <w:trHeight w:val="216"/>
        </w:trPr>
        <w:tc>
          <w:tcPr>
            <w:tcW w:w="5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Losses and loss adjustment expenses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1,849</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Commissions and other underwriting expenses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Interest charges on borrowed money</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10"/>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1,629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3,231</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basic earnings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20" w:type="dxa"/>
            <w:vAlign w:val="bottom"/>
          </w:tcPr>
          <w:p>
            <w:pPr>
              <w:ind w:left="360"/>
              <w:spacing w:after="0"/>
              <w:rPr>
                <w:sz w:val="20"/>
                <w:szCs w:val="20"/>
                <w:color w:val="auto"/>
              </w:rPr>
            </w:pPr>
            <w:r>
              <w:rPr>
                <w:rFonts w:ascii="Arial" w:cs="Arial" w:eastAsia="Arial" w:hAnsi="Arial"/>
                <w:sz w:val="16"/>
                <w:szCs w:val="16"/>
                <w:color w:val="auto"/>
              </w:rPr>
              <w:t>Total diluted earnings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color w:val="auto"/>
              </w:rPr>
              <w:t>Three months ended June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5"/>
                <w:szCs w:val="15"/>
                <w:color w:val="auto"/>
              </w:rPr>
              <w:t>Six months ended June 30,</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rPr>
              <w:t>2024</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securities arising during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realized (gains) losses</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included in 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cash flow hedges arising</w:t>
            </w:r>
          </w:p>
        </w:tc>
        <w:tc>
          <w:tcPr>
            <w:tcW w:w="10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during the period</w:t>
            </w:r>
          </w:p>
        </w:tc>
        <w:tc>
          <w:tcPr>
            <w:tcW w:w="10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investment income included in</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83,668,453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($0.80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37,907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(319,736)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83,385,661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80" w:type="dxa"/>
            <w:vAlign w:val="bottom"/>
          </w:tcPr>
          <w:p>
            <w:pPr>
              <w:jc w:val="right"/>
              <w:spacing w:after="0"/>
              <w:rPr>
                <w:sz w:val="20"/>
                <w:szCs w:val="20"/>
                <w:color w:val="auto"/>
              </w:rPr>
            </w:pPr>
            <w:r>
              <w:rPr>
                <w:rFonts w:ascii="Arial" w:cs="Arial" w:eastAsia="Arial" w:hAnsi="Arial"/>
                <w:sz w:val="16"/>
                <w:szCs w:val="16"/>
                <w:color w:val="auto"/>
              </w:rPr>
              <w:t>83,857,354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($0.71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1,815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83,897,267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003366"/>
        </w:rPr>
        <w:t>CONSOLIDATED STATEMENT OF CHANGES IN EQUITY (UNAUDITED) — CONTINUED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83,978,258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($3.60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18,932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166,297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53,564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(782,134)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(42,950)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83,385,661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($3.92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157,681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10,068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(47,891)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(5,693)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83,897,267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tcPr>
          <w:p>
            <w:pPr>
              <w:spacing w:after="0"/>
              <w:rPr>
                <w:sz w:val="17"/>
                <w:szCs w:val="17"/>
                <w:color w:val="auto"/>
              </w:rPr>
            </w:pP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purchases of trading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(1,046)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Proceeds from:</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Repayments of mortgage loans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other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(1,078)</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Common Stock</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Repurchases of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Cash dividends paid on Common Stock</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(1,458)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(1,574)</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r>
      <w:tr>
        <w:trPr>
          <w:trHeight w:val="20"/>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7180" w:type="dxa"/>
            <w:vAlign w:val="bottom"/>
            <w:gridSpan w:val="2"/>
          </w:tcPr>
          <w:p>
            <w:pPr>
              <w:ind w:left="74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A.</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G.</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Goodwill and Other Intangibles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B.</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H.</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C.</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I.</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D.</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J.</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E.</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K.</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3366"/>
              </w:rPr>
              <w:t>F.</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Managed Investment Entities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L.</w:t>
            </w:r>
          </w:p>
        </w:tc>
        <w:tc>
          <w:tcPr>
            <w:tcW w:w="514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r>
        <w:trPr>
          <w:trHeight w:val="128"/>
        </w:trPr>
        <w:tc>
          <w:tcPr>
            <w:tcW w:w="4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5140" w:type="dxa"/>
            <w:vAlign w:val="bottom"/>
            <w:tcBorders>
              <w:bottom w:val="single" w:sz="8" w:color="auto"/>
            </w:tcBorders>
          </w:tcPr>
          <w:p>
            <w:pPr>
              <w:spacing w:after="0"/>
              <w:rPr>
                <w:sz w:val="11"/>
                <w:szCs w:val="11"/>
                <w:color w:val="auto"/>
              </w:rPr>
            </w:pPr>
          </w:p>
        </w:tc>
      </w:tr>
    </w:tbl>
    <w:p>
      <w:pPr>
        <w:spacing w:after="0" w:line="303" w:lineRule="exact"/>
        <w:rPr>
          <w:sz w:val="20"/>
          <w:szCs w:val="20"/>
          <w:color w:val="auto"/>
        </w:rPr>
      </w:pPr>
    </w:p>
    <w:p>
      <w:pPr>
        <w:ind w:left="600" w:hanging="592"/>
        <w:spacing w:after="0"/>
        <w:tabs>
          <w:tab w:leader="none" w:pos="600" w:val="left"/>
        </w:tabs>
        <w:numPr>
          <w:ilvl w:val="0"/>
          <w:numId w:val="3"/>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June 30, 2025, and prior to the filing of this Form 10-Q, have been evaluated for potential recognition or disclosure herein.</w:t>
      </w:r>
    </w:p>
    <w:p>
      <w:pPr>
        <w:spacing w:after="0" w:line="206" w:lineRule="exact"/>
        <w:rPr>
          <w:sz w:val="20"/>
          <w:szCs w:val="20"/>
          <w:color w:val="auto"/>
        </w:rPr>
      </w:pPr>
    </w:p>
    <w:p>
      <w:pPr>
        <w:jc w:val="both"/>
        <w:ind w:right="58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material nonrecurring fair value measurements in the first six months of 2025.</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Fixed maturity securities classified as “available for sale” are reported at fair value with unrealized gains and losses included in</w:t>
      </w:r>
      <w:r>
        <w:rPr>
          <w:rFonts w:ascii="Arial" w:cs="Arial" w:eastAsia="Arial" w:hAnsi="Arial"/>
          <w:sz w:val="20"/>
          <w:szCs w:val="20"/>
          <w:b w:val="1"/>
          <w:bCs w:val="1"/>
          <w:color w:val="003366"/>
        </w:rPr>
        <w:t xml:space="preserve"> </w:t>
      </w:r>
      <w:r>
        <w:rPr>
          <w:rFonts w:ascii="Arial" w:cs="Arial" w:eastAsia="Arial" w:hAnsi="Arial"/>
          <w:sz w:val="17"/>
          <w:szCs w:val="17"/>
          <w:color w:val="000000"/>
        </w:rPr>
        <w:t>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spacing w:after="0" w:line="199"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of the investee’s financial statements. AFG’s equity in the earnings (losses) of limited partnerships and similar investments is included in net investment income.</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mortgage-backed securities (“MBS”)) and a total return swap related to its deferred compensation obligations to employees.</w:t>
      </w:r>
    </w:p>
    <w:p>
      <w:pPr>
        <w:spacing w:after="0" w:line="21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14"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29"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05"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F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6"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0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At June 30, 2025, assets and liabilities of managed investment entities included $134 million in assets and $104 million in liabilities of temporary warehousing entities that were established to provide AFG the ability to form new CLOs. At closing, all warehoused assets will be transferred to the new CLOs and the liabilities will be repaid.</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firstLine="8"/>
        <w:spacing w:after="0" w:line="252"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27"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99" w:lineRule="exact"/>
        <w:rPr>
          <w:sz w:val="20"/>
          <w:szCs w:val="20"/>
          <w:color w:val="auto"/>
        </w:rPr>
      </w:pPr>
    </w:p>
    <w:p>
      <w:pPr>
        <w:jc w:val="both"/>
        <w:ind w:right="30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facility are included in other assets in AFG’s Balance Sheet.</w:t>
      </w:r>
    </w:p>
    <w:p>
      <w:pPr>
        <w:spacing w:after="0" w:line="211"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13"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At June 30, 2025, AFG has a $226 million lease liability included in other liabilities and a lease right-of-use asset of $205 million included in other assets compared to $232 million and $212 million, respectively, at December 31, 2024.</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70"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22"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70"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second quarter of both 2025 and 2024 — none; first six months of 2025 — less than 0.1 million and 2024 — 0.1 million.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second quarter or the first six months of 2025 or 2024.</w:t>
      </w:r>
    </w:p>
    <w:p>
      <w:pPr>
        <w:spacing w:after="0" w:line="26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assets and costs.</w:t>
      </w:r>
    </w:p>
    <w:p>
      <w:pPr>
        <w:spacing w:after="0" w:line="26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AFG’s reportable segments and their components were determined based primarily upon similar economic characteristics, products and services. Historically,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AFG reported the results of its internal reinsurance facility (that assumes business from several of AFG’s Specialty property and casualty businesses) in an Other Specialty sub-segment. Beginning in 2025, to be consistent with how the Chief Operating Decision Makers (“CODMs”) currently view and evaluate AFG’s Property and casualty sub-segments, the internal reinsurance results are included within the same sub-segments as the ceding businesses. The CODMs believe this presentation better reflects the performance of the underlying operating businesses and enhances the financial reporting. Information from prior periods has been recast for consistent presentation. The impacts of all intercompany transactions between segments have been eliminated.</w:t>
      </w:r>
    </w:p>
    <w:p>
      <w:pPr>
        <w:spacing w:after="0" w:line="206"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AFG’s CODMs are its Co-CEOs. The CODMs evaluate the performance of the Property and casualty insurance segment based on return on equity and underwriting profit. The CODMs use this measure to allocate resources and make capital decisions.</w:t>
      </w:r>
    </w:p>
    <w:p>
      <w:pPr>
        <w:spacing w:after="0" w:line="199"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Sales of property and casualty insurance outside of the United States represented 4% of AFG’s revenues in both the second quarter and first six months of 2025 and 2024.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assets, revenues and earnings before income taxes by segment and sub-segment.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5"/>
                <w:szCs w:val="15"/>
                <w:color w:val="auto"/>
              </w:rPr>
              <w:t>June 30,</w:t>
            </w:r>
          </w:p>
        </w:tc>
        <w:tc>
          <w:tcPr>
            <w:tcW w:w="200" w:type="dxa"/>
            <w:vAlign w:val="bottom"/>
          </w:tcPr>
          <w:p>
            <w:pPr>
              <w:spacing w:after="0"/>
              <w:rPr>
                <w:sz w:val="14"/>
                <w:szCs w:val="14"/>
                <w:color w:val="auto"/>
              </w:rPr>
            </w:pPr>
          </w:p>
        </w:tc>
        <w:tc>
          <w:tcPr>
            <w:tcW w:w="1340" w:type="dxa"/>
            <w:vAlign w:val="bottom"/>
          </w:tcPr>
          <w:p>
            <w:pPr>
              <w:jc w:val="right"/>
              <w:ind w:right="201"/>
              <w:spacing w:after="0"/>
              <w:rPr>
                <w:sz w:val="20"/>
                <w:szCs w:val="20"/>
                <w:color w:val="auto"/>
              </w:rPr>
            </w:pPr>
            <w:r>
              <w:rPr>
                <w:rFonts w:ascii="Arial" w:cs="Arial" w:eastAsia="Arial" w:hAnsi="Arial"/>
                <w:sz w:val="15"/>
                <w:szCs w:val="15"/>
                <w:color w:val="auto"/>
              </w:rPr>
              <w:t>December 31,</w:t>
            </w:r>
          </w:p>
        </w:tc>
      </w:tr>
      <w:tr>
        <w:trPr>
          <w:trHeight w:val="209"/>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2024</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 (*)</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26,089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25,913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4,923</w:t>
            </w: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30,836</w:t>
            </w:r>
          </w:p>
        </w:tc>
      </w:tr>
      <w:tr>
        <w:trPr>
          <w:trHeight w:val="21"/>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allocable to sub-segments.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color w:val="auto"/>
              </w:rPr>
              <w:t>Six months ended June 30,</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earned premiums: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15"/>
        </w:trPr>
        <w:tc>
          <w:tcPr>
            <w:tcW w:w="48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9"/>
        </w:trPr>
        <w:tc>
          <w:tcPr>
            <w:tcW w:w="4860" w:type="dxa"/>
            <w:vAlign w:val="bottom"/>
          </w:tcPr>
          <w:p>
            <w:pPr>
              <w:ind w:left="760"/>
              <w:spacing w:after="0"/>
              <w:rPr>
                <w:sz w:val="20"/>
                <w:szCs w:val="20"/>
                <w:color w:val="auto"/>
              </w:rPr>
            </w:pPr>
            <w:r>
              <w:rPr>
                <w:rFonts w:ascii="Arial" w:cs="Arial" w:eastAsia="Arial" w:hAnsi="Arial"/>
                <w:sz w:val="16"/>
                <w:szCs w:val="16"/>
                <w:color w:val="auto"/>
              </w:rPr>
              <w:t>Total net earned premiums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investment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5"/>
        </w:trPr>
        <w:tc>
          <w:tcPr>
            <w:tcW w:w="486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 before realized gains (losses)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Underwriting: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48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lines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underwriting (a)</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Investment and other income, net (b)</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43"/>
        </w:trPr>
        <w:tc>
          <w:tcPr>
            <w:tcW w:w="4860" w:type="dxa"/>
            <w:vAlign w:val="bottom"/>
            <w:shd w:val="clear" w:color="auto" w:fill="CCEEFF"/>
          </w:tcPr>
          <w:p>
            <w:pPr>
              <w:ind w:left="460"/>
              <w:spacing w:after="0" w:line="143" w:lineRule="exact"/>
              <w:rPr>
                <w:sz w:val="20"/>
                <w:szCs w:val="20"/>
                <w:color w:val="auto"/>
              </w:rPr>
            </w:pPr>
            <w:r>
              <w:rPr>
                <w:rFonts w:ascii="Arial" w:cs="Arial" w:eastAsia="Arial" w:hAnsi="Arial"/>
                <w:sz w:val="16"/>
                <w:szCs w:val="16"/>
                <w:color w:val="auto"/>
              </w:rPr>
              <w:t>Total earnings before realized gains (losses) and income</w:t>
            </w:r>
          </w:p>
        </w:tc>
        <w:tc>
          <w:tcPr>
            <w:tcW w:w="9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taxes</w:t>
            </w:r>
          </w:p>
        </w:tc>
        <w:tc>
          <w:tcPr>
            <w:tcW w:w="9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80" w:hanging="412"/>
        <w:spacing w:after="0" w:line="284" w:lineRule="auto"/>
        <w:tabs>
          <w:tab w:leader="none" w:pos="413"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segment expenses, which are losses and loss adjustment expenses and commissions and other underwriting expenses, are shown in the table below by sub-segment.</w:t>
      </w:r>
    </w:p>
    <w:p>
      <w:pPr>
        <w:spacing w:after="0" w:line="9" w:lineRule="exact"/>
        <w:rPr>
          <w:rFonts w:ascii="Arial" w:cs="Arial" w:eastAsia="Arial" w:hAnsi="Arial"/>
          <w:sz w:val="17"/>
          <w:szCs w:val="17"/>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amortization of intangibles and other miscellaneous expenses.</w:t>
      </w:r>
    </w:p>
    <w:p>
      <w:pPr>
        <w:spacing w:after="0" w:line="88" w:lineRule="exact"/>
        <w:rPr>
          <w:rFonts w:ascii="Arial" w:cs="Arial" w:eastAsia="Arial" w:hAnsi="Arial"/>
          <w:sz w:val="17"/>
          <w:szCs w:val="17"/>
          <w:color w:val="auto"/>
        </w:rPr>
      </w:pPr>
    </w:p>
    <w:p>
      <w:pPr>
        <w:ind w:left="420" w:right="480" w:hanging="412"/>
        <w:spacing w:after="0" w:line="284" w:lineRule="auto"/>
        <w:tabs>
          <w:tab w:leader="none" w:pos="417"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expenses of the managed investment entities, interest charges on borrowed money, salaries, depreciation and other general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92"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The following table shows the components of underwriting profit, including significant segment expenses, for the Property and casualty insurance segment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color w:val="auto"/>
              </w:rPr>
              <w:t>Six months ended June 30,</w:t>
            </w:r>
          </w:p>
        </w:tc>
      </w:tr>
      <w:tr>
        <w:trPr>
          <w:trHeight w:val="198"/>
        </w:trPr>
        <w:tc>
          <w:tcPr>
            <w:tcW w:w="48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casualty insurance:</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Specialty:</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casualty:</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1,574</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financial:</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lines: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 (loss)</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property and casualty insurance segment: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r>
      <w:tr>
        <w:trPr>
          <w:trHeight w:val="215"/>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r>
      <w:tr>
        <w:trPr>
          <w:trHeight w:val="235"/>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group includes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9"/>
              </w:rPr>
              <w:t>June 30, 2025</w:t>
            </w:r>
          </w:p>
        </w:tc>
        <w:tc>
          <w:tcPr>
            <w:tcW w:w="5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3,467</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CCEEFF"/>
            </w:tcBorders>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10,489</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3,833</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13,137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10,398</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Approximately 7% of the total assets carried at fair value at June 30, 2025,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85% ($897 million) of the total fair value of Level 3 assets at June 30, 2025. Approximately 67% ($605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model suggests a higher price, management caps the fair value at par value. The remainder of the internally developed Level 3 investments</w:t>
      </w:r>
    </w:p>
    <w:p>
      <w:pPr>
        <w:spacing w:after="0" w:line="23"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($292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Approximately 11% ($118 million) of the Level 3 assets were investments whose prices were determined based on financial information provided by third party asset managers. Approximately 4% ($47 million) of Level 3 assets were priced using non-binding broker quotes or pricing services, for which there is a lack of transparency as to the inputs used to determine fair value.</w:t>
      </w:r>
    </w:p>
    <w:p>
      <w:pPr>
        <w:spacing w:after="0" w:line="201"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Changes in balances of Level 3 financial assets and liabilities carried at fair value during the second quarter and first six months of 2025 and 2024 are presented below (in millions). The transfers into and out of Level 3 were due to changes in the availability of market observable inputs. All transfers are reflected in the table at fair value as of the end of the reporting period.</w:t>
      </w:r>
    </w:p>
    <w:p>
      <w:pPr>
        <w:spacing w:after="0" w:line="3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March</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Net</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00" w:type="dxa"/>
            <w:vAlign w:val="bottom"/>
          </w:tcPr>
          <w:p>
            <w:pPr>
              <w:spacing w:after="0"/>
              <w:rPr>
                <w:sz w:val="13"/>
                <w:szCs w:val="13"/>
                <w:color w:val="auto"/>
              </w:rPr>
            </w:pPr>
          </w:p>
        </w:tc>
        <w:tc>
          <w:tcPr>
            <w:tcW w:w="1040" w:type="dxa"/>
            <w:vAlign w:val="bottom"/>
            <w:vMerge w:val="restart"/>
          </w:tcPr>
          <w:p>
            <w:pPr>
              <w:jc w:val="center"/>
              <w:ind w:right="29"/>
              <w:spacing w:after="0"/>
              <w:rPr>
                <w:sz w:val="20"/>
                <w:szCs w:val="20"/>
                <w:color w:val="auto"/>
              </w:rPr>
            </w:pPr>
            <w:r>
              <w:rPr>
                <w:rFonts w:ascii="Arial" w:cs="Arial" w:eastAsia="Arial" w:hAnsi="Arial"/>
                <w:sz w:val="13"/>
                <w:szCs w:val="13"/>
                <w:color w:val="auto"/>
                <w:w w:val="96"/>
              </w:rPr>
              <w:t>Balance at June</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6"/>
              </w:rPr>
              <w:t>earnings</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and</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into</w:t>
            </w: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8"/>
              </w:rPr>
              <w:t>out of</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29"/>
              <w:spacing w:after="0"/>
              <w:rPr>
                <w:sz w:val="20"/>
                <w:szCs w:val="20"/>
                <w:color w:val="auto"/>
              </w:rPr>
            </w:pPr>
            <w:r>
              <w:rPr>
                <w:rFonts w:ascii="Arial" w:cs="Arial" w:eastAsia="Arial" w:hAnsi="Arial"/>
                <w:sz w:val="13"/>
                <w:szCs w:val="13"/>
                <w:color w:val="auto"/>
                <w:w w:val="94"/>
              </w:rPr>
              <w:t>31, 2025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(loss)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settlements</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2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Level 3</w:t>
            </w:r>
          </w:p>
        </w:tc>
        <w:tc>
          <w:tcPr>
            <w:tcW w:w="100" w:type="dxa"/>
            <w:vAlign w:val="bottom"/>
          </w:tcPr>
          <w:p>
            <w:pPr>
              <w:spacing w:after="0"/>
              <w:rPr>
                <w:sz w:val="15"/>
                <w:szCs w:val="15"/>
                <w:color w:val="auto"/>
              </w:rPr>
            </w:pPr>
          </w:p>
        </w:tc>
        <w:tc>
          <w:tcPr>
            <w:tcW w:w="1040" w:type="dxa"/>
            <w:vAlign w:val="bottom"/>
          </w:tcPr>
          <w:p>
            <w:pPr>
              <w:jc w:val="center"/>
              <w:ind w:right="29"/>
              <w:spacing w:after="0"/>
              <w:rPr>
                <w:sz w:val="20"/>
                <w:szCs w:val="20"/>
                <w:color w:val="auto"/>
              </w:rPr>
            </w:pPr>
            <w:r>
              <w:rPr>
                <w:rFonts w:ascii="Arial" w:cs="Arial" w:eastAsia="Arial" w:hAnsi="Arial"/>
                <w:sz w:val="13"/>
                <w:szCs w:val="13"/>
                <w:color w:val="auto"/>
                <w:w w:val="98"/>
              </w:rPr>
              <w:t>30, 2025</w:t>
            </w:r>
          </w:p>
        </w:tc>
        <w:tc>
          <w:tcPr>
            <w:tcW w:w="0" w:type="dxa"/>
            <w:vAlign w:val="bottom"/>
          </w:tcPr>
          <w:p>
            <w:pPr>
              <w:spacing w:after="0"/>
              <w:rPr>
                <w:sz w:val="1"/>
                <w:szCs w:val="1"/>
                <w:color w:val="auto"/>
              </w:rPr>
            </w:pPr>
          </w:p>
        </w:tc>
      </w:tr>
      <w:tr>
        <w:trPr>
          <w:trHeight w:val="18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3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314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3"/>
                <w:szCs w:val="13"/>
                <w:color w:val="auto"/>
                <w:w w:val="96"/>
              </w:rPr>
              <w:t>Total realized/unrealized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3"/>
                <w:szCs w:val="13"/>
                <w:color w:val="auto"/>
                <w:w w:val="97"/>
              </w:rPr>
              <w:t>gains (losses) included in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March</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8"/>
              </w:rPr>
              <w:t>Net</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2" w:lineRule="exact"/>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4"/>
              </w:rPr>
              <w:t>Transfer</w:t>
            </w:r>
          </w:p>
        </w:tc>
        <w:tc>
          <w:tcPr>
            <w:tcW w:w="100" w:type="dxa"/>
            <w:vAlign w:val="bottom"/>
          </w:tcPr>
          <w:p>
            <w:pPr>
              <w:spacing w:after="0"/>
              <w:rPr>
                <w:sz w:val="12"/>
                <w:szCs w:val="12"/>
                <w:color w:val="auto"/>
              </w:rPr>
            </w:pPr>
          </w:p>
        </w:tc>
        <w:tc>
          <w:tcPr>
            <w:tcW w:w="1040" w:type="dxa"/>
            <w:vAlign w:val="bottom"/>
            <w:vMerge w:val="restart"/>
          </w:tcPr>
          <w:p>
            <w:pPr>
              <w:jc w:val="center"/>
              <w:ind w:right="29"/>
              <w:spacing w:after="0"/>
              <w:rPr>
                <w:sz w:val="20"/>
                <w:szCs w:val="20"/>
                <w:color w:val="auto"/>
              </w:rPr>
            </w:pPr>
            <w:r>
              <w:rPr>
                <w:rFonts w:ascii="Arial" w:cs="Arial" w:eastAsia="Arial" w:hAnsi="Arial"/>
                <w:sz w:val="13"/>
                <w:szCs w:val="13"/>
                <w:color w:val="auto"/>
                <w:w w:val="96"/>
              </w:rPr>
              <w:t>Balance at June</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6"/>
              </w:rPr>
              <w:t>earnings</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and</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into</w:t>
            </w: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8"/>
              </w:rPr>
              <w:t>out of</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29"/>
              <w:spacing w:after="0"/>
              <w:rPr>
                <w:sz w:val="20"/>
                <w:szCs w:val="20"/>
                <w:color w:val="auto"/>
              </w:rPr>
            </w:pPr>
            <w:r>
              <w:rPr>
                <w:rFonts w:ascii="Arial" w:cs="Arial" w:eastAsia="Arial" w:hAnsi="Arial"/>
                <w:sz w:val="13"/>
                <w:szCs w:val="13"/>
                <w:color w:val="auto"/>
                <w:w w:val="94"/>
              </w:rPr>
              <w:t>31, 2024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(loss)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Level 3</w:t>
            </w: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Arial" w:cs="Arial" w:eastAsia="Arial" w:hAnsi="Arial"/>
                <w:sz w:val="13"/>
                <w:szCs w:val="13"/>
                <w:color w:val="auto"/>
                <w:w w:val="98"/>
              </w:rPr>
              <w:t>30, 2024</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314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Purchases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3"/>
                <w:szCs w:val="13"/>
                <w:color w:val="auto"/>
              </w:rPr>
              <w:t>Balance at June</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w w:val="93"/>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9"/>
              <w:spacing w:after="0"/>
              <w:rPr>
                <w:sz w:val="20"/>
                <w:szCs w:val="20"/>
                <w:color w:val="auto"/>
              </w:rPr>
            </w:pPr>
            <w:r>
              <w:rPr>
                <w:rFonts w:ascii="Arial" w:cs="Arial" w:eastAsia="Arial" w:hAnsi="Arial"/>
                <w:sz w:val="13"/>
                <w:szCs w:val="13"/>
                <w:color w:val="auto"/>
              </w:rPr>
              <w:t>30, 2025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State and municipal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Balance at June</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0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29"/>
              <w:spacing w:after="0"/>
              <w:rPr>
                <w:sz w:val="20"/>
                <w:szCs w:val="20"/>
                <w:color w:val="auto"/>
              </w:rPr>
            </w:pPr>
            <w:r>
              <w:rPr>
                <w:rFonts w:ascii="Arial" w:cs="Arial" w:eastAsia="Arial" w:hAnsi="Arial"/>
                <w:sz w:val="13"/>
                <w:szCs w:val="13"/>
                <w:color w:val="auto"/>
              </w:rPr>
              <w:t>30, 2024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99"/>
              </w:rPr>
              <w:t>June 30, 2025</w:t>
            </w:r>
          </w:p>
        </w:tc>
        <w:tc>
          <w:tcPr>
            <w:tcW w:w="45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June 30, 2025 and December 31, 2024,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9"/>
              </w:rPr>
              <w:t>June 30, 2025</w:t>
            </w:r>
          </w:p>
        </w:tc>
        <w:tc>
          <w:tcPr>
            <w:tcW w:w="36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maturities: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 June 30, 2025 and December 31, 2024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5"/>
                <w:szCs w:val="15"/>
                <w:color w:val="auto"/>
              </w:rPr>
              <w:t>June 30, 2025</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color w:val="auto"/>
              </w:rPr>
              <w:t>December 31, 2024</w:t>
            </w:r>
          </w:p>
        </w:tc>
        <w:tc>
          <w:tcPr>
            <w:tcW w:w="840" w:type="dxa"/>
            <w:vAlign w:val="bottom"/>
            <w:tcBorders>
              <w:bottom w:val="single" w:sz="8" w:color="auto"/>
            </w:tcBorders>
          </w:tcPr>
          <w:p>
            <w:pPr>
              <w:spacing w:after="0"/>
              <w:rPr>
                <w:sz w:val="17"/>
                <w:szCs w:val="17"/>
                <w:color w:val="auto"/>
              </w:rPr>
            </w:pPr>
          </w:p>
        </w:tc>
      </w:tr>
      <w:tr>
        <w:trPr>
          <w:trHeight w:val="145"/>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28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5"/>
                <w:szCs w:val="15"/>
                <w:color w:val="auto"/>
              </w:rPr>
              <w:t>Cost</w:t>
            </w:r>
          </w:p>
        </w:tc>
        <w:tc>
          <w:tcPr>
            <w:tcW w:w="16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5"/>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investments accounted for using the equity method, by strategy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Net Investment Income</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5"/>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ind w:left="20"/>
              <w:spacing w:after="0" w:line="145" w:lineRule="exact"/>
              <w:rPr>
                <w:sz w:val="20"/>
                <w:szCs w:val="20"/>
                <w:color w:val="auto"/>
              </w:rPr>
            </w:pPr>
            <w:r>
              <w:rPr>
                <w:rFonts w:ascii="Arial" w:cs="Arial" w:eastAsia="Arial" w:hAnsi="Arial"/>
                <w:sz w:val="15"/>
                <w:szCs w:val="15"/>
                <w:color w:val="auto"/>
              </w:rPr>
              <w:t>Three months ended June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3"/>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Arial" w:cs="Arial" w:eastAsia="Arial" w:hAnsi="Arial"/>
                <w:sz w:val="15"/>
                <w:szCs w:val="15"/>
                <w:color w:val="auto"/>
              </w:rPr>
              <w:t>Carrying Value</w:t>
            </w:r>
          </w:p>
        </w:tc>
        <w:tc>
          <w:tcPr>
            <w:tcW w:w="120" w:type="dxa"/>
            <w:vAlign w:val="bottom"/>
          </w:tcPr>
          <w:p>
            <w:pPr>
              <w:spacing w:after="0"/>
              <w:rPr>
                <w:sz w:val="18"/>
                <w:szCs w:val="18"/>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5"/>
                <w:szCs w:val="15"/>
                <w:color w:val="auto"/>
              </w:rPr>
              <w:t>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jc w:val="right"/>
              <w:ind w:right="20"/>
              <w:spacing w:after="0"/>
              <w:rPr>
                <w:sz w:val="20"/>
                <w:szCs w:val="20"/>
                <w:color w:val="auto"/>
              </w:rPr>
            </w:pPr>
            <w:r>
              <w:rPr>
                <w:rFonts w:ascii="Arial" w:cs="Arial" w:eastAsia="Arial" w:hAnsi="Arial"/>
                <w:sz w:val="15"/>
                <w:szCs w:val="15"/>
                <w:color w:val="auto"/>
              </w:rPr>
              <w:t>Six months ended June 30,</w:t>
            </w:r>
          </w:p>
        </w:tc>
      </w:tr>
      <w:tr>
        <w:trPr>
          <w:trHeight w:val="145"/>
        </w:trPr>
        <w:tc>
          <w:tcPr>
            <w:tcW w:w="4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1"/>
              <w:spacing w:after="0" w:line="145" w:lineRule="exact"/>
              <w:rPr>
                <w:sz w:val="20"/>
                <w:szCs w:val="20"/>
                <w:color w:val="auto"/>
              </w:rPr>
            </w:pPr>
            <w:r>
              <w:rPr>
                <w:rFonts w:ascii="Arial" w:cs="Arial" w:eastAsia="Arial" w:hAnsi="Arial"/>
                <w:sz w:val="15"/>
                <w:szCs w:val="15"/>
                <w:color w:val="auto"/>
              </w:rPr>
              <w:t>December 31,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3"/>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color w:val="auto"/>
              </w:rPr>
              <w:t>June 30, 2025</w:t>
            </w:r>
          </w:p>
        </w:tc>
        <w:tc>
          <w:tcPr>
            <w:tcW w:w="140" w:type="dxa"/>
            <w:vAlign w:val="bottom"/>
          </w:tcPr>
          <w:p>
            <w:pPr>
              <w:spacing w:after="0"/>
              <w:rPr>
                <w:sz w:val="18"/>
                <w:szCs w:val="18"/>
                <w:color w:val="auto"/>
              </w:rPr>
            </w:pPr>
          </w:p>
        </w:tc>
        <w:tc>
          <w:tcPr>
            <w:tcW w:w="1160" w:type="dxa"/>
            <w:vAlign w:val="bottom"/>
          </w:tcPr>
          <w:p>
            <w:pPr>
              <w:jc w:val="right"/>
              <w:ind w:right="401"/>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41"/>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21"/>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5"/>
                <w:szCs w:val="15"/>
                <w:color w:val="auto"/>
              </w:rPr>
              <w:t>2025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color w:val="auto"/>
              </w:rPr>
              <w:t>2024</w:t>
            </w:r>
          </w:p>
        </w:tc>
      </w:tr>
      <w:tr>
        <w:trPr>
          <w:trHeight w:val="212"/>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4300" w:type="dxa"/>
            <w:vAlign w:val="bottom"/>
          </w:tcPr>
          <w:p>
            <w:pPr>
              <w:ind w:left="180"/>
              <w:spacing w:after="0"/>
              <w:rPr>
                <w:sz w:val="20"/>
                <w:szCs w:val="20"/>
                <w:color w:val="auto"/>
              </w:rPr>
            </w:pPr>
            <w:r>
              <w:rPr>
                <w:rFonts w:ascii="Arial" w:cs="Arial" w:eastAsia="Arial" w:hAnsi="Arial"/>
                <w:sz w:val="16"/>
                <w:szCs w:val="16"/>
                <w:color w:val="auto"/>
              </w:rPr>
              <w:t>Total investments accounted for using the equity method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88% of the carrying value relates to underlying investments in multi-family properties as of June 30, 2025 and December 31, 2024.</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$492 million and $457 million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68"/>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9"/>
              </w:rPr>
              <w:t>June 30, 2025</w:t>
            </w:r>
          </w:p>
        </w:tc>
        <w:tc>
          <w:tcPr>
            <w:tcW w:w="35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192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298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0"/>
        </w:trPr>
        <w:tc>
          <w:tcPr>
            <w:tcW w:w="2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maturities: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95%</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June 30, 2025, the gross unrealized losses on fixed maturities of $270 million relate to approximately 1,100 securities. Investment grade securities (as determined by nationally recognized rating agencies) represented approximately 96% of the gross unrealized loss and 96%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spacing w:after="0" w:line="195"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AFG analyzes its residential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June 30,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residential MBS, CLOs and other asset-backed securities (“ABS”).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first six months of 2025 and 2024, AFG did not purchase any securities with expected credit losses.</w:t>
      </w:r>
    </w:p>
    <w:p>
      <w:pPr>
        <w:spacing w:after="0" w:line="25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June 30, 2025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CLOs and other ABS (average life of approximately 3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Residential MBS (average life of approximately 6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June 30, 2025 or December 31, 2024.</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investment income earned and investment expenses incurred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5"/>
                <w:szCs w:val="15"/>
                <w:color w:val="auto"/>
              </w:rPr>
              <w:t>Three months ended 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color w:val="auto"/>
              </w:rPr>
              <w:t>Six months ended June 30,</w:t>
            </w:r>
          </w:p>
        </w:tc>
        <w:tc>
          <w:tcPr>
            <w:tcW w:w="0" w:type="dxa"/>
            <w:vAlign w:val="bottom"/>
          </w:tcPr>
          <w:p>
            <w:pPr>
              <w:spacing w:after="0"/>
              <w:rPr>
                <w:sz w:val="1"/>
                <w:szCs w:val="1"/>
                <w:color w:val="auto"/>
              </w:rPr>
            </w:pPr>
          </w:p>
        </w:tc>
      </w:tr>
      <w:tr>
        <w:trPr>
          <w:trHeight w:val="198"/>
        </w:trPr>
        <w:tc>
          <w:tcPr>
            <w:tcW w:w="4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Change in fair value (*)</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2"/>
        </w:trPr>
        <w:tc>
          <w:tcPr>
            <w:tcW w:w="4840" w:type="dxa"/>
            <w:vAlign w:val="bottom"/>
          </w:tcPr>
          <w:p>
            <w:pPr>
              <w:ind w:left="360"/>
              <w:spacing w:after="0" w:line="162" w:lineRule="exact"/>
              <w:rPr>
                <w:sz w:val="20"/>
                <w:szCs w:val="20"/>
                <w:color w:val="auto"/>
              </w:rPr>
            </w:pPr>
            <w:r>
              <w:rPr>
                <w:rFonts w:ascii="Arial" w:cs="Arial" w:eastAsia="Arial" w:hAnsi="Arial"/>
                <w:sz w:val="16"/>
                <w:szCs w:val="16"/>
                <w:color w:val="auto"/>
              </w:rPr>
              <w:t>Equity in earnings (losses) of partnerships and similar</w:t>
            </w:r>
          </w:p>
        </w:tc>
        <w:tc>
          <w:tcPr>
            <w:tcW w:w="10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4840" w:type="dxa"/>
            <w:vAlign w:val="bottom"/>
          </w:tcPr>
          <w:p>
            <w:pPr>
              <w:ind w:left="520"/>
              <w:spacing w:after="0"/>
              <w:rPr>
                <w:sz w:val="20"/>
                <w:szCs w:val="20"/>
                <w:color w:val="auto"/>
              </w:rPr>
            </w:pPr>
            <w:r>
              <w:rPr>
                <w:rFonts w:ascii="Arial" w:cs="Arial" w:eastAsia="Arial" w:hAnsi="Arial"/>
                <w:sz w:val="16"/>
                <w:szCs w:val="16"/>
                <w:color w:val="auto"/>
              </w:rPr>
              <w:t>investments, net</w:t>
            </w:r>
          </w:p>
        </w:tc>
        <w:tc>
          <w:tcPr>
            <w:tcW w:w="10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Gross investment income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expenses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investment income</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99"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jc w:val="center"/>
              <w:ind w:left="767"/>
              <w:spacing w:after="0"/>
              <w:rPr>
                <w:sz w:val="20"/>
                <w:szCs w:val="20"/>
                <w:color w:val="auto"/>
              </w:rPr>
            </w:pPr>
            <w:r>
              <w:rPr>
                <w:rFonts w:ascii="Arial" w:cs="Arial" w:eastAsia="Arial" w:hAnsi="Arial"/>
                <w:sz w:val="13"/>
                <w:szCs w:val="13"/>
                <w:color w:val="auto"/>
              </w:rPr>
              <w:t>Three months ended June 30, 2025</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center"/>
              <w:ind w:left="787"/>
              <w:spacing w:after="0"/>
              <w:rPr>
                <w:sz w:val="20"/>
                <w:szCs w:val="20"/>
                <w:color w:val="auto"/>
              </w:rPr>
            </w:pPr>
            <w:r>
              <w:rPr>
                <w:rFonts w:ascii="Arial" w:cs="Arial" w:eastAsia="Arial" w:hAnsi="Arial"/>
                <w:sz w:val="13"/>
                <w:szCs w:val="13"/>
                <w:color w:val="auto"/>
              </w:rPr>
              <w:t>Three months ended June 30, 2024</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920" w:type="dxa"/>
            <w:vAlign w:val="bottom"/>
          </w:tcPr>
          <w:p>
            <w:pPr>
              <w:jc w:val="center"/>
              <w:ind w:right="2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w w:val="97"/>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3"/>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ind w:left="720"/>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720"/>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4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4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3"/>
                <w:szCs w:val="13"/>
                <w:color w:val="auto"/>
              </w:rPr>
              <w:t>Six months ended June 30, 2025</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3"/>
                <w:szCs w:val="13"/>
                <w:color w:val="auto"/>
              </w:rPr>
              <w:t>Six months ended June 30, 2024</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920" w:type="dxa"/>
            <w:vAlign w:val="bottom"/>
          </w:tcPr>
          <w:p>
            <w:pPr>
              <w:jc w:val="center"/>
              <w:ind w:right="2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w w:val="97"/>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5"/>
                <w:szCs w:val="15"/>
                <w:color w:val="auto"/>
                <w:w w:val="97"/>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All equity securities are carried at fair value through net earnings. AFG recorded net holding gains (losses) on equity securities during the second quarter and first six months of 2025 and 2024 on securities that were still owned at June 30, 2025 and June 30, 2024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5"/>
                <w:szCs w:val="15"/>
                <w:color w:val="auto"/>
              </w:rPr>
              <w:t>Three months ended June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5"/>
                <w:szCs w:val="15"/>
                <w:color w:val="auto"/>
              </w:rPr>
              <w:t>Six months ended June 30,</w:t>
            </w:r>
          </w:p>
        </w:tc>
        <w:tc>
          <w:tcPr>
            <w:tcW w:w="420" w:type="dxa"/>
            <w:vAlign w:val="bottom"/>
            <w:tcBorders>
              <w:bottom w:val="single" w:sz="8" w:color="auto"/>
            </w:tcBorders>
          </w:tcPr>
          <w:p>
            <w:pPr>
              <w:spacing w:after="0"/>
              <w:rPr>
                <w:sz w:val="17"/>
                <w:szCs w:val="17"/>
                <w:color w:val="auto"/>
              </w:rPr>
            </w:pPr>
          </w:p>
        </w:tc>
      </w:tr>
      <w:tr>
        <w:trPr>
          <w:trHeight w:val="198"/>
        </w:trPr>
        <w:tc>
          <w:tcPr>
            <w:tcW w:w="48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4"/>
        </w:trPr>
        <w:tc>
          <w:tcPr>
            <w:tcW w:w="48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5"/>
                <w:szCs w:val="15"/>
                <w:color w:val="auto"/>
              </w:rPr>
              <w:t>Six months ended June 30,</w:t>
            </w:r>
          </w:p>
        </w:tc>
        <w:tc>
          <w:tcPr>
            <w:tcW w:w="40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2024</w:t>
            </w:r>
          </w:p>
        </w:tc>
        <w:tc>
          <w:tcPr>
            <w:tcW w:w="40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(4)</w:t>
            </w:r>
          </w:p>
        </w:tc>
      </w:tr>
    </w:tbl>
    <w:p>
      <w:pPr>
        <w:spacing w:after="0" w:line="305"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59"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color w:val="auto"/>
              </w:rPr>
              <w:t>June 30,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2024</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swaps expire between July 2025 and October 2034) in anticipation of the expected decline in AFG’s portfolio of fixed maturity securities with floating interest rates based on SOFR. The total outstanding notional amount of AFG’s interest rate swaps was $768 million at June 30, 2025 compared to $1.05 billion at December 31, 2024, reflecting scheduled amortization, partially offset by one new swap entered into in the first six months of 2025 ($12 million notional amount at issuance). Amounts reclassified from AOCI to net earnings were losses of $2 million and $7 million in the second quarter of 2025 and 2024 and losses of</w:t>
      </w:r>
    </w:p>
    <w:p>
      <w:pPr>
        <w:spacing w:after="0" w:line="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$5 million and $14 million in the first six months of 2025 and 2024, respectively. Based on forward interest rate curves at June 30, 2025, management estimates that it will reclassify approximately $6 million of pre-tax net losses on interest rate swaps in AOCI to net investment income over the next twelve months. The actual amount will vary based on changes in SOFR. A collateral receivable supporting these swaps of $17 million and $27 million at June 30, 2025 and December 31, 2024, respectively, is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214"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AFG’s Balance Sheet includes a $3 million liability to return collateral related to the swap (included in other liabilities) and a $4 million receivable for collateral posted related to the swap (included in other assets) at June 30, 2025 and December 31, 2024,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80"/>
              <w:spacing w:after="0"/>
              <w:rPr>
                <w:sz w:val="20"/>
                <w:szCs w:val="20"/>
                <w:color w:val="auto"/>
              </w:rPr>
            </w:pPr>
            <w:r>
              <w:rPr>
                <w:rFonts w:ascii="Arial" w:cs="Arial" w:eastAsia="Arial" w:hAnsi="Arial"/>
                <w:sz w:val="14"/>
                <w:szCs w:val="14"/>
                <w:color w:val="auto"/>
              </w:rPr>
              <w:t>Three months ended June 30,</w:t>
            </w:r>
          </w:p>
        </w:tc>
        <w:tc>
          <w:tcPr>
            <w:tcW w:w="260" w:type="dxa"/>
            <w:vAlign w:val="bottom"/>
          </w:tcPr>
          <w:p>
            <w:pPr>
              <w:spacing w:after="0"/>
              <w:rPr>
                <w:sz w:val="16"/>
                <w:szCs w:val="16"/>
                <w:color w:val="auto"/>
              </w:rPr>
            </w:pPr>
          </w:p>
        </w:tc>
        <w:tc>
          <w:tcPr>
            <w:tcW w:w="2340" w:type="dxa"/>
            <w:vAlign w:val="bottom"/>
            <w:gridSpan w:val="4"/>
          </w:tcPr>
          <w:p>
            <w:pPr>
              <w:jc w:val="right"/>
              <w:ind w:right="36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99"/>
        </w:trPr>
        <w:tc>
          <w:tcPr>
            <w:tcW w:w="3740" w:type="dxa"/>
            <w:vAlign w:val="bottom"/>
          </w:tcPr>
          <w:p>
            <w:pPr>
              <w:spacing w:after="0"/>
              <w:rPr>
                <w:sz w:val="17"/>
                <w:szCs w:val="17"/>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w:t>
            </w:r>
          </w:p>
        </w:tc>
        <w:tc>
          <w:tcPr>
            <w:tcW w:w="2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2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center"/>
              <w:ind w:left="66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ind w:left="6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740" w:type="dxa"/>
            <w:vAlign w:val="bottom"/>
            <w:vMerge w:val="continue"/>
            <w:shd w:val="clear" w:color="auto" w:fill="CCEEFF"/>
          </w:tcPr>
          <w:p>
            <w:pPr>
              <w:spacing w:after="0"/>
              <w:rPr>
                <w:sz w:val="18"/>
                <w:szCs w:val="18"/>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2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68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left="68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center"/>
              <w:ind w:left="68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AFG is the investment manager and it has investments ranging from 5.4% to 100% of the most subordinate debt tranche of thirteen active CLOs, which are considered variable interest entities. AFG also owns portions of the senior debt tranches of certain of these CLOs. Upon formation,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$148 million (including $101 million invested in the most subordinate tranches and $30 million invested in temporary warehousing entities) at June 30, 2025.</w:t>
      </w:r>
    </w:p>
    <w:p>
      <w:pPr>
        <w:spacing w:after="0" w:line="21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 February 2025, AFG formed one new CLO, which issued $406 million face amount of liabilities (including $40 million face amount purchased by AFG). In the first six months of 2024, AFG formed two new CLOs, which issued $813 million face amount of liabilities (including $73 million face amount purchased by AFG). In the first six months of 2025, one CLO was substantially liquidated in accordance with the CLO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and temporary warehousing entities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2024</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40"/>
              <w:spacing w:after="0"/>
              <w:rPr>
                <w:sz w:val="20"/>
                <w:szCs w:val="20"/>
                <w:color w:val="auto"/>
              </w:rPr>
            </w:pPr>
            <w:r>
              <w:rPr>
                <w:rFonts w:ascii="Arial" w:cs="Arial" w:eastAsia="Arial" w:hAnsi="Arial"/>
                <w:sz w:val="16"/>
                <w:szCs w:val="16"/>
                <w:color w:val="auto"/>
              </w:rPr>
              <w:t>Assets</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r>
    </w:tbl>
    <w:p>
      <w:pPr>
        <w:spacing w:after="0" w:line="140"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$73 million and</w:t>
      </w:r>
    </w:p>
    <w:p>
      <w:pPr>
        <w:spacing w:after="0" w:line="23"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$66 million at June 30, 2025 and December 31, 2024, respectively. The aggregate unpaid principal balance of the CLOs’ debt exceeded its carrying value by $198 million and $172 million at those dates, respectively. At June 30, 2025, the CLOs assets did not include any loans in default for which the CLOs are not accruing interest compared to an aggregate fair value of $3 million of loans in default (with an aggregate unpaid principal balance of $5 million) at December 31, 2024.</w:t>
      </w:r>
    </w:p>
    <w:p>
      <w:pPr>
        <w:spacing w:after="0" w:line="207" w:lineRule="exact"/>
        <w:rPr>
          <w:sz w:val="20"/>
          <w:szCs w:val="20"/>
          <w:color w:val="auto"/>
        </w:rPr>
      </w:pPr>
    </w:p>
    <w:p>
      <w:pPr>
        <w:jc w:val="both"/>
        <w:ind w:right="340"/>
        <w:spacing w:after="0" w:line="284"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$1.09 billion at June 30, 2025 and $1.24 billion December 31, 2024.</w:t>
      </w:r>
    </w:p>
    <w:p>
      <w:pPr>
        <w:spacing w:after="0" w:line="18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$305 million during the first six months of 2025.</w:t>
      </w:r>
    </w:p>
    <w:p>
      <w:pPr>
        <w:spacing w:after="0" w:line="25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Included in other assets in AFG’s Balance Sheet is $193 million at June 30, 2025 and $203 million at December 31, 2024 in amortizable intangible assets related to acquisitions. These amounts are net of accumulated amortization of $69 million and $59 million, respectively. Amortization of intangibles was $5 million and $4 million in the second quarter of 2025 and 2024 and $10 million and $9 million in the first six months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460" w:type="dxa"/>
            <w:vAlign w:val="bottom"/>
          </w:tcPr>
          <w:p>
            <w:pPr>
              <w:spacing w:after="0"/>
              <w:rPr>
                <w:sz w:val="20"/>
                <w:szCs w:val="20"/>
                <w:color w:val="auto"/>
              </w:rPr>
            </w:pPr>
            <w:r>
              <w:rPr>
                <w:rFonts w:ascii="Arial" w:cs="Arial" w:eastAsia="Arial" w:hAnsi="Arial"/>
                <w:sz w:val="29"/>
                <w:szCs w:val="29"/>
                <w:b w:val="1"/>
                <w:bCs w:val="1"/>
                <w:color w:val="003366"/>
              </w:rPr>
              <w:t>H.</w:t>
            </w:r>
          </w:p>
        </w:tc>
        <w:tc>
          <w:tcPr>
            <w:tcW w:w="4900" w:type="dxa"/>
            <w:vAlign w:val="bottom"/>
          </w:tcPr>
          <w:p>
            <w:pPr>
              <w:ind w:left="16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June 30,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2024</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color w:val="auto"/>
              </w:rPr>
              <w:t>Principal</w:t>
            </w: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1"/>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6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46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34"/>
        </w:trPr>
        <w:tc>
          <w:tcPr>
            <w:tcW w:w="46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2025, the subsequent five years and thereafter are as follows: 2025 — none; 2026 — none; 2027 — none; 2028 — none; 2029 — none; 2030 — $253 million and thereafter — $1.25 billion.</w:t>
      </w:r>
    </w:p>
    <w:p>
      <w:pPr>
        <w:spacing w:after="0" w:line="18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June 30, 2025 or December 31, 2024.</w:t>
      </w:r>
    </w:p>
    <w:p>
      <w:pPr>
        <w:spacing w:after="0" w:line="183"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is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Quarter ended June 30, 2025</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Quarter ended June 30, 2024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Six months ended June 30, 2025</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Six months ended June 30, 2024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wp:posOffset>
            </wp:positionV>
            <wp:extent cx="30257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21"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32658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5" w:right="339" w:bottom="1440" w:gutter="0" w:footer="0" w:header="0"/>
          <w:type w:val="continuous"/>
        </w:sectPr>
      </w:pP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six months of 2025, AFG issued 166,297 shares of restricted Common Stock (fair value of $121.89 per share) under the stock incentive plans.</w:t>
      </w:r>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Total compensation expense related to stock incentive plans of AFG and its subsidiaries was $5 million in both the second quarter of 2025 and 2024 and $9 million in both the first six months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7"/>
          </w:tcPr>
          <w:p>
            <w:pPr>
              <w:ind w:left="80"/>
              <w:spacing w:after="0"/>
              <w:rPr>
                <w:sz w:val="20"/>
                <w:szCs w:val="20"/>
                <w:color w:val="auto"/>
              </w:rPr>
            </w:pPr>
            <w:r>
              <w:rPr>
                <w:rFonts w:ascii="Arial" w:cs="Arial" w:eastAsia="Arial" w:hAnsi="Arial"/>
                <w:sz w:val="15"/>
                <w:szCs w:val="15"/>
                <w:color w:val="auto"/>
              </w:rPr>
              <w:t>Three months ended 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color w:val="auto"/>
              </w:rPr>
              <w:t>Six months ended June 30,</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5"/>
                <w:szCs w:val="15"/>
                <w:color w:val="auto"/>
                <w:w w:val="95"/>
              </w:rPr>
              <w:t>2025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5"/>
                <w:szCs w:val="15"/>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5"/>
                <w:szCs w:val="15"/>
                <w:color w:val="auto"/>
              </w:rPr>
              <w:t>Amount</w:t>
            </w:r>
          </w:p>
        </w:tc>
        <w:tc>
          <w:tcPr>
            <w:tcW w:w="840" w:type="dxa"/>
            <w:vAlign w:val="bottom"/>
          </w:tcPr>
          <w:p>
            <w:pPr>
              <w:jc w:val="right"/>
              <w:ind w:right="59"/>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00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Amount</w:t>
            </w:r>
          </w:p>
        </w:tc>
        <w:tc>
          <w:tcPr>
            <w:tcW w:w="102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Employee stock ownership plan dividend</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paid deduction</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Tax exempt interest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Dividends received deduction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Nondeductible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Adjustment related to sale of subsidiary</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34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Provision for income taxes as shown in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statement of earnings</w:t>
            </w: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the second quarter of 2025, AFG recorded $7 million in net tax expense related to a pending state income tax examination regarding the sale of a subsidiary in a prior year. In the second quarter of 2024, AFG recorded $4 million in net tax expense related to a pending IRS settlement regarding the sale of a different subsidiary in a prior year.</w:t>
      </w:r>
    </w:p>
    <w:p>
      <w:pPr>
        <w:spacing w:after="0" w:line="174"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One Big Beautiful Bill Act (enacted on July 4, 2025), among other things, extends many of the federal tax provisions of the 2017 Tax Cuts and Jobs Act and contains provisions that will accelerate the timing of certain tax deductions beginning in 2025 with an offsetting impact to deferred taxes and no impact on total income tax expense. While management is still evaluating the full impact of the bill, there was no impact on AFG’s financial statements at June 30, 2025 and the tax provisions of the bill are not expected to be material to AFG’s results of operations in future periods.</w:t>
      </w:r>
    </w:p>
    <w:p>
      <w:pPr>
        <w:spacing w:after="0" w:line="197"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M — “Contingencies”</w:t>
      </w:r>
      <w:r>
        <w:rPr>
          <w:rFonts w:ascii="Arial" w:cs="Arial" w:eastAsia="Arial" w:hAnsi="Arial"/>
          <w:sz w:val="17"/>
          <w:szCs w:val="17"/>
          <w:color w:val="auto"/>
        </w:rPr>
        <w:t xml:space="preserve"> of AFG’s 2024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003366"/>
        </w:rPr>
        <w:t xml:space="preserve">Insurance Reserves </w:t>
      </w:r>
      <w:r>
        <w:rPr>
          <w:rFonts w:ascii="Arial" w:cs="Arial" w:eastAsia="Arial" w:hAnsi="Arial"/>
          <w:sz w:val="17"/>
          <w:szCs w:val="17"/>
          <w:color w:val="000000"/>
        </w:rPr>
        <w:t>The following table provides an analysis of changes in the liability for losses and loss adjustment expenses during the first</w:t>
      </w:r>
      <w:r>
        <w:rPr>
          <w:rFonts w:ascii="Arial" w:cs="Arial" w:eastAsia="Arial" w:hAnsi="Arial"/>
          <w:sz w:val="20"/>
          <w:szCs w:val="20"/>
          <w:b w:val="1"/>
          <w:bCs w:val="1"/>
          <w:color w:val="003366"/>
        </w:rPr>
        <w:t xml:space="preserve"> </w:t>
      </w:r>
      <w:r>
        <w:rPr>
          <w:rFonts w:ascii="Arial" w:cs="Arial" w:eastAsia="Arial" w:hAnsi="Arial"/>
          <w:sz w:val="17"/>
          <w:szCs w:val="17"/>
          <w:color w:val="000000"/>
        </w:rPr>
        <w:t>six months of 2025 and 2024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8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14,179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13,087</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1,934</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1,849</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(1,958)</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9,286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8,689</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13,834</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12,607</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net decrease in the provision for claims of prior years during the first six months of 2025 reflects (i) lower than anticipated losses in the crop business, lower than anticipated claim severity in the aviation and agribusiness operations and lower than expected claim frequency in the property and inland marine business (within the Property and transportation sub-segment), (ii) lower than anticipated claim severity in the workers’ compensation businesses (within the Specialty casualty sub-segment) and (iii) lower than anticipated claim frequency in the financial institutions business and lower than expected claim severity in the trade credit, surety and fidelity businesses (within the Specialty financial sub-segment). This favorable development was partially offset by higher than anticipated claim severity in the excess and surplus and social services businesses (within the Specialty casualty sub-segment).</w:t>
      </w:r>
    </w:p>
    <w:p>
      <w:pPr>
        <w:spacing w:after="0" w:line="209"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net decrease in the provision for claims of prior years during the first six months of 2024 reflects (i) lower than anticipated losses in the crop business and lower than expected claim severity in the property and inland marine business (within the Property and transportation sub-segment),</w:t>
      </w:r>
    </w:p>
    <w:p>
      <w:pPr>
        <w:spacing w:after="0" w:line="1" w:lineRule="exact"/>
        <w:rPr>
          <w:sz w:val="20"/>
          <w:szCs w:val="20"/>
          <w:color w:val="auto"/>
        </w:rPr>
      </w:pPr>
    </w:p>
    <w:p>
      <w:pPr>
        <w:jc w:val="both"/>
        <w:ind w:right="140" w:firstLine="8"/>
        <w:spacing w:after="0" w:line="255" w:lineRule="auto"/>
        <w:tabs>
          <w:tab w:leader="none" w:pos="237"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lower than anticipated claim severity in the workers’ compensation businesses and lower than expected claim frequency in the executive liability business (within the Specialty casualty sub-segment) and (iii) lower than anticipated claim frequency in the fidelity and trade credit businesses and lower than expected claim frequency and severity in the financial institutions business (within the Specialty financial sub-segment). This favorable development was partially offset by (i) higher than anticipated claim severity in the excess and surplus businesses and higher than expected claim frequency and severity in the social services business (within the Specialty casualty sub-segment) and (ii) higher than anticipated claim severity in the innovative markets and surety businesses (within the Specialty financial sub-segment).</w:t>
      </w:r>
    </w:p>
    <w:p>
      <w:pPr>
        <w:spacing w:after="0" w:line="22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2025 and 2024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color w:val="auto"/>
              </w:rPr>
              <w:t>Recoverables from Reinsurers</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2024</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96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32</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Second Quarter</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45</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53</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First Six Months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55</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36</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55</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39</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56</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64</w:t>
            </w:r>
          </w:p>
        </w:tc>
        <w:tc>
          <w:tcPr>
            <w:tcW w:w="20" w:type="dxa"/>
            <w:vAlign w:val="bottom"/>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65</w:t>
            </w: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spacing w:after="0" w:line="2" w:lineRule="exact"/>
        <w:rPr>
          <w:sz w:val="20"/>
          <w:szCs w:val="20"/>
          <w:color w:val="auto"/>
        </w:rPr>
      </w:pPr>
    </w:p>
    <w:p>
      <w:pPr>
        <w:ind w:left="580" w:right="40" w:hanging="329"/>
        <w:spacing w:after="0" w:line="248" w:lineRule="auto"/>
        <w:tabs>
          <w:tab w:leader="none" w:pos="5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and impacts from tariffs or other trade actions,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3" w:lineRule="exact"/>
        <w:rPr>
          <w:rFonts w:ascii="Arial" w:cs="Arial" w:eastAsia="Arial" w:hAnsi="Arial"/>
          <w:sz w:val="17"/>
          <w:szCs w:val="17"/>
          <w:color w:val="auto"/>
        </w:rPr>
      </w:pPr>
    </w:p>
    <w:p>
      <w:pPr>
        <w:ind w:left="580" w:right="800" w:hanging="329"/>
        <w:spacing w:after="0" w:line="253" w:lineRule="auto"/>
        <w:tabs>
          <w:tab w:leader="none" w:pos="5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or reputation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 and</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28"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AFG reported net earnings of $174 million ($2.07 per share, diluted) for the second quarter of 2025 compared to $209 million ($2.49 per share,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diluted) for the second quarter of 2024 and $328 million ($3.92 per share, diluted) for the first six months of 2025 compared to $451 million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($5.38 per share, diluted) for the first six months of 2024. The decline in the 2025 periods reflects lower underwriting profit and lower net investment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income from AFG’s alternative investment portfolio, partially offset by the favorable impact on net investment income of higher average balances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investments and higher yields on fixed maturity investments.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Management expects premium growth in many of AFG’s business units and continued strong underwriting results in the ongoing generally favorable property and casualty insurance market. In addition, management anticipates the elevated interest rate environment (since early 2022) will continue to have a positive impact on investment income on fixed maturity investments in 2025.</w:t>
      </w:r>
    </w:p>
    <w:p>
      <w:pPr>
        <w:spacing w:after="0" w:line="209"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and other economic conditions may impact premium levels, loss cost trends and investment returns.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debt maturities until 2030.</w:t>
      </w: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59"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spacing w:after="0" w:line="4" w:lineRule="exact"/>
        <w:rPr>
          <w:sz w:val="20"/>
          <w:szCs w:val="20"/>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200" w:lineRule="exact"/>
        <w:rPr>
          <w:rFonts w:ascii="Arial" w:cs="Arial" w:eastAsia="Arial" w:hAnsi="Arial"/>
          <w:sz w:val="17"/>
          <w:szCs w:val="17"/>
          <w:color w:val="auto"/>
        </w:rPr>
      </w:pPr>
    </w:p>
    <w:p>
      <w:pPr>
        <w:spacing w:after="0" w:line="398"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23"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2024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June 30, 2025</w:t>
            </w:r>
          </w:p>
        </w:tc>
        <w:tc>
          <w:tcPr>
            <w:tcW w:w="320" w:type="dxa"/>
            <w:vAlign w:val="bottom"/>
          </w:tcPr>
          <w:p>
            <w:pPr>
              <w:spacing w:after="0"/>
              <w:rPr>
                <w:sz w:val="17"/>
                <w:szCs w:val="17"/>
                <w:color w:val="auto"/>
              </w:rPr>
            </w:pPr>
          </w:p>
        </w:tc>
        <w:tc>
          <w:tcPr>
            <w:tcW w:w="1100" w:type="dxa"/>
            <w:vAlign w:val="bottom"/>
          </w:tcPr>
          <w:p>
            <w:pPr>
              <w:jc w:val="right"/>
              <w:ind w:right="461"/>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2023</w:t>
            </w:r>
          </w:p>
        </w:tc>
      </w:tr>
      <w:tr>
        <w:trPr>
          <w:trHeight w:val="211"/>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1,498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20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6,204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6,075</w:t>
            </w: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68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7"/>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bl>
    <w:p>
      <w:pPr>
        <w:spacing w:after="0" w:line="30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4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Six months ended June 30,</w:t>
            </w:r>
          </w:p>
        </w:tc>
        <w:tc>
          <w:tcPr>
            <w:tcW w:w="50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$33 million during the first six months of 2025 and reduced cash flows from operating activities by $239 million in the first six months of 2024, accounting for a $272 million increase in cash flows from operating activities in the 2025 period compared to the 2024 period. As discussed in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$500 million and $258 million in the first six months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its property and casualty businesses. Investing activities also include the purchase and disposal of managed investment entity investments, which are presented separately in AFG’s Balance Sheet. Net investment activity in the managed investment entities was a $333 million source of cash in the first six months of 2025 compared to $57 million in the first six months of 2024, accounting for a $276 million increase in net cash provided by investing activities in the first six months of 2025 compared to the 2024 period. See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Note F — “Managed Investment Entities”</w:t>
      </w:r>
      <w:r>
        <w:rPr>
          <w:rFonts w:ascii="Arial" w:cs="Arial" w:eastAsia="Arial" w:hAnsi="Arial"/>
          <w:sz w:val="17"/>
          <w:szCs w:val="17"/>
          <w:color w:val="000000"/>
        </w:rPr>
        <w:t xml:space="preserve"> to the financial statements. Excluding the activity of the managed investment entities, investing activities were a $274 million use of cash in the first six months of 2025 compared to $63 million in the first six months of 2024.</w:t>
      </w: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$730 million for the first six months of 2025 compared to $117 million in the first six months of 2024, an increase of $613 million. AFG paid cash dividends totaling $301 million in the first six months of 2025 compared to $327 million in the first six months of 2024, a decrease in cash used by financing activities of $26 million. During the first six months of 2025, AFG repurchased $97 million of its Common Stock compared to no repurchases in the comparable 2024 period. Financing activities also include issuances and retirements of managed investment entity liabilities, which are nonrecourse to AFG and presented separately in AFG’s Balance Sheet. Retirements of managed investment entity liabilities exceeded issuances by $339 million in the first six months of 2025 compared to issuances exceeding retirements by $200 million in the first six months of 2024, accounting for a $539 million increase in net cash used in financing activities in the 2025 period compared to the 2024 period. See </w:t>
      </w:r>
      <w:r>
        <w:rPr>
          <w:rFonts w:ascii="Arial" w:cs="Arial" w:eastAsia="Arial" w:hAnsi="Arial"/>
          <w:sz w:val="17"/>
          <w:szCs w:val="17"/>
          <w:i w:val="1"/>
          <w:iCs w:val="1"/>
          <w:color w:val="000000"/>
        </w:rPr>
        <w:t>Note A — “Accounting Policies — Managed Investment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F — “Managed Investment Entities” </w:t>
      </w:r>
      <w:r>
        <w:rPr>
          <w:rFonts w:ascii="Arial" w:cs="Arial" w:eastAsia="Arial" w:hAnsi="Arial"/>
          <w:sz w:val="17"/>
          <w:szCs w:val="17"/>
          <w:color w:val="000000"/>
        </w:rPr>
        <w:t>to the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5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29"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6"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During the first six months of 2025, AFG repurchased 782,134 shares of its Common Stock for $97 million and paid a special cash dividend totaling $167 million ($2.00 per share) in March.</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During 2024, AFG paid special cash dividends totaling $545 million ($2.50 per share in February and $4.00 per share in November).</w:t>
      </w:r>
    </w:p>
    <w:p>
      <w:pPr>
        <w:spacing w:after="0" w:line="25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At June 30, 2025, AFG (parent) held approximately $349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2024 or the first six months of 2025.</w:t>
      </w:r>
    </w:p>
    <w:p>
      <w:pPr>
        <w:spacing w:after="0" w:line="22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84" w:lineRule="exact"/>
        <w:rPr>
          <w:sz w:val="20"/>
          <w:szCs w:val="20"/>
          <w:color w:val="auto"/>
        </w:rPr>
      </w:pPr>
    </w:p>
    <w:p>
      <w:pPr>
        <w:ind w:right="320"/>
        <w:spacing w:after="0" w:line="249"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14"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2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AFG’s investment portfolio at June 30, 2025, contained $10.49 billion in fixed maturity securities classified as available for sale and carried at fair value with unrealized gains and losses included in accumulated other comprehensive income (loss) and $82 million in fixed maturities classified as trading with holding gains and losses included in net investment income. In addition, AFG’s investment portfolio includes $560 million in equity securities carried at fair value with holding gains and losses included in realized gains (losses) on securities and $240 million in equity securities carried at fair value with holding gains and losses included in net investment income. AFG’s investment portfolio also includes $2.34 billion in investments accounted for using the equity method (limited partnerships and similar investments).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included in net investment income and is generally recorded on a quarter lag due to the timing of the receipt of the investee’s financial statements.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89% was priced using pricing services at June 30, 2025 and 3% was priced using non-binding broker quotes. The remaining 8% are priced internally using a variety of inputs including credit spreads, trade information, prices of comparable securities, estimates of cash flow and other security specific features. When prices obtained for the same security vary, AFG’s internal investment professionals select the price they believe is most indicative of an exit price. For additional information on determination of fair value, see </w:t>
      </w:r>
      <w:r>
        <w:rPr>
          <w:rFonts w:ascii="Arial" w:cs="Arial" w:eastAsia="Arial" w:hAnsi="Arial"/>
          <w:sz w:val="17"/>
          <w:szCs w:val="17"/>
          <w:i w:val="1"/>
          <w:iCs w:val="1"/>
          <w:color w:val="auto"/>
        </w:rPr>
        <w:t>Note C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to the financial statements.</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structured securities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June 30, 2025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10,571</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w:t>
            </w:r>
          </w:p>
        </w:tc>
      </w:tr>
    </w:tbl>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Approximately 95% of the fixed maturities held by AFG at June 30, 2025, were rated “investment grade” (credit rating of AAA to BBB) by nationally recognized rating agencies, 2%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19"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AFG has approximately $75 million of direct exposure to office commercial real estate through property ownership, mortgages or equity method investments. AFG’s fixed maturity portfolio includes securities (the majority of which are AAA-rated) with a carrying value of approximately $350 million that have minimal exposure to office commercial real estate.</w:t>
      </w:r>
    </w:p>
    <w:p>
      <w:pPr>
        <w:spacing w:after="0" w:line="195"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Summarized information for the unrealized gains and losses recorded in AFG’s Balance Sheet at June 30, 2025, is shown in the following table (dollars in millions). There were $446 million of available for sale fixed maturity securities with no unrealized gains or losses at June 30,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w w:val="99"/>
              </w:rPr>
              <w:t>With</w:t>
            </w:r>
          </w:p>
        </w:tc>
      </w:tr>
      <w:tr>
        <w:trPr>
          <w:trHeight w:val="158"/>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3"/>
                <w:szCs w:val="13"/>
                <w:color w:val="auto"/>
              </w:rPr>
            </w:pPr>
          </w:p>
        </w:tc>
        <w:tc>
          <w:tcPr>
            <w:tcW w:w="1140" w:type="dxa"/>
            <w:vAlign w:val="bottom"/>
          </w:tcPr>
          <w:p>
            <w:pPr>
              <w:jc w:val="center"/>
              <w:ind w:right="117"/>
              <w:spacing w:after="0" w:line="158" w:lineRule="exact"/>
              <w:rPr>
                <w:sz w:val="20"/>
                <w:szCs w:val="20"/>
                <w:color w:val="auto"/>
              </w:rPr>
            </w:pPr>
            <w:r>
              <w:rPr>
                <w:rFonts w:ascii="Arial" w:cs="Arial" w:eastAsia="Arial" w:hAnsi="Arial"/>
                <w:sz w:val="15"/>
                <w:szCs w:val="15"/>
                <w:color w:val="auto"/>
              </w:rPr>
              <w:t>Unrealized</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5,424</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4,619</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5,282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4,889</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(270)</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942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1,084</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Residential 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(128)</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(47)</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(9)</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(48)</w:t>
            </w:r>
          </w:p>
        </w:tc>
      </w:tr>
      <w:tr>
        <w:trPr>
          <w:trHeight w:val="225"/>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June 30, 2025, based on their fair values. Securities with sinking funds are reported at average maturity. Actual maturities may differ from contractual maturities because certain securities may be called or prepaid by the issuers.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Unrealized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w w:val="99"/>
              </w:rPr>
              <w:t>Maturity</w:t>
            </w:r>
          </w:p>
        </w:tc>
        <w:tc>
          <w:tcPr>
            <w:tcW w:w="66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One year or less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After five years through ten years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CLOs and other asset-backed securities (average life of approximately 3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Residential mortgage-backed securities (average life of approximately 6 years)</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900" w:type="dxa"/>
            <w:vAlign w:val="bottom"/>
            <w:gridSpan w:val="11"/>
          </w:tcPr>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Aggregate</w:t>
            </w: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5"/>
                <w:szCs w:val="15"/>
                <w:color w:val="auto"/>
              </w:rPr>
              <w:t>Fair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8"/>
              <w:spacing w:after="0"/>
              <w:rPr>
                <w:sz w:val="20"/>
                <w:szCs w:val="20"/>
                <w:color w:val="auto"/>
              </w:rPr>
            </w:pPr>
            <w:r>
              <w:rPr>
                <w:rFonts w:ascii="Arial" w:cs="Arial" w:eastAsia="Arial" w:hAnsi="Arial"/>
                <w:sz w:val="15"/>
                <w:szCs w:val="15"/>
                <w:color w:val="auto"/>
                <w:w w:val="98"/>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Gain (Loss)</w:t>
            </w: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540" w:type="dxa"/>
            <w:vAlign w:val="bottom"/>
            <w:tcBorders>
              <w:top w:val="single" w:sz="8" w:color="CCEEFF"/>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7"/>
                <w:szCs w:val="17"/>
                <w:color w:val="auto"/>
              </w:rPr>
              <w:t>Fixed Maturities at June 30, 2025</w:t>
            </w:r>
          </w:p>
        </w:tc>
        <w:tc>
          <w:tcPr>
            <w:tcW w:w="47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(53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(889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(114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(970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5"/>
                <w:szCs w:val="15"/>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3"/>
                <w:szCs w:val="13"/>
                <w:color w:val="auto"/>
              </w:rPr>
            </w:pPr>
          </w:p>
        </w:tc>
        <w:tc>
          <w:tcPr>
            <w:tcW w:w="1020" w:type="dxa"/>
            <w:vAlign w:val="bottom"/>
          </w:tcPr>
          <w:p>
            <w:pPr>
              <w:jc w:val="center"/>
              <w:ind w:right="98"/>
              <w:spacing w:after="0" w:line="153"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8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color w:val="auto"/>
              </w:rPr>
              <w:t>Securities with Unrealized Losses at June 30, 2025</w:t>
            </w:r>
          </w:p>
        </w:tc>
        <w:tc>
          <w:tcPr>
            <w:tcW w:w="36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(162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(766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(40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(116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2024 Form 10-K under </w:t>
      </w:r>
      <w:r>
        <w:rPr>
          <w:rFonts w:ascii="Arial" w:cs="Arial" w:eastAsia="Arial" w:hAnsi="Arial"/>
          <w:sz w:val="17"/>
          <w:szCs w:val="17"/>
          <w:i w:val="1"/>
          <w:iCs w:val="1"/>
          <w:color w:val="auto"/>
        </w:rPr>
        <w:t>Management’s Discussion and Analysis —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June 30, 2025.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2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F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June 30, 2025</w:t>
            </w:r>
          </w:p>
        </w:tc>
        <w:tc>
          <w:tcPr>
            <w:tcW w:w="47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760" w:type="dxa"/>
            <w:vAlign w:val="bottom"/>
            <w:gridSpan w:val="2"/>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26,984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17,860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17,860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4,608</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760" w:type="dxa"/>
            <w:vAlign w:val="bottom"/>
            <w:gridSpan w:val="2"/>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2024</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16,026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10,844</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4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760" w:type="dxa"/>
            <w:vAlign w:val="bottom"/>
            <w:gridSpan w:val="2"/>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Three months ended June 30, 2025</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Revenues:</w:t>
            </w:r>
          </w:p>
        </w:tc>
        <w:tc>
          <w:tcPr>
            <w:tcW w:w="39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June 30, 2024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100" w:hanging="412"/>
        <w:spacing w:after="0" w:line="261" w:lineRule="auto"/>
        <w:tabs>
          <w:tab w:leader="none" w:pos="4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income of $2 million in the second quarter of 2025 and $9 million in the second quarter of 2024, representing the change in fair value of AFG’s CLO investments and $2 million and $3 million of income in the second quarter of 2025 and 2024, respectively, in CLO management fees earned.</w:t>
      </w:r>
    </w:p>
    <w:p>
      <w:pPr>
        <w:spacing w:after="0" w:line="1" w:lineRule="exact"/>
        <w:rPr>
          <w:rFonts w:ascii="Arial" w:cs="Arial" w:eastAsia="Arial" w:hAnsi="Arial"/>
          <w:sz w:val="14"/>
          <w:szCs w:val="14"/>
          <w:color w:val="auto"/>
        </w:rPr>
      </w:pPr>
    </w:p>
    <w:p>
      <w:pPr>
        <w:ind w:left="420" w:right="440" w:hanging="412"/>
        <w:spacing w:after="0" w:line="261" w:lineRule="auto"/>
        <w:tabs>
          <w:tab w:leader="none" w:pos="4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$6 million and $9 million in the second quarter of 2025 and 2024, respectively, in distributions recorded as interest expense by the CLOs.</w:t>
      </w:r>
    </w:p>
    <w:p>
      <w:pPr>
        <w:ind w:left="400" w:hanging="392"/>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Six months ended June 30, 2025</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Revenues:</w:t>
            </w:r>
          </w:p>
        </w:tc>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Six months ended June 30, 2024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2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of $4 million in the first six months of 2025 and $23 million in the first six months of 2024, representing the change in fair value of AFG’s CLO investments and $5 million and $6 million of income in the first six months of 2025 and 2024, respectively, in CLO management fees earned.</w:t>
      </w:r>
    </w:p>
    <w:p>
      <w:pPr>
        <w:spacing w:after="0" w:line="1" w:lineRule="exact"/>
        <w:rPr>
          <w:rFonts w:ascii="Arial" w:cs="Arial" w:eastAsia="Arial" w:hAnsi="Arial"/>
          <w:sz w:val="14"/>
          <w:szCs w:val="14"/>
          <w:color w:val="auto"/>
        </w:rPr>
      </w:pPr>
    </w:p>
    <w:p>
      <w:pPr>
        <w:ind w:left="420" w:right="30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$14 million and $18 million in the first six months of 2025 and 2024, respectively, in distributions recorded as interest expense by the CLOs.</w:t>
      </w: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Earnings before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Provision for income taxes: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Core operating earnings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Non-core items: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51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Core net operating earnings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Diluted per share amounts: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Core net operating earnings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Adjustments to income tax expense related to sales of subsidiaries in prior years.</w:t>
      </w:r>
    </w:p>
    <w:p>
      <w:pPr>
        <w:spacing w:after="0" w:line="26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Net earnings were $174 million in the second quarter of 2025 compared to $209 million in the second quarter of 2024 reflecting lower core net operating earnings, which decreased $36 million compared to the second quarter of 2024 reflecting lower underwriting profit and lower net investment income from AFG’s alternative investment portfolio (partnerships and similar investments and AFG-managed CLOs), partially offset by higher investment income outside of alternative investments. Net realized gains on securities in the second quarter of 2025 and 2024 include after-tax gains of $7 million and after-tax losses of $2 million, respectively, resulting from the change in fair value of equity securities that were still held at the balance sheet date.</w:t>
      </w:r>
    </w:p>
    <w:p>
      <w:pPr>
        <w:spacing w:after="0" w:line="20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Net earnings were $328 million in the first six months of 2025 compared to $451 million in the first six months of 2024 reflecting lower core net operating earnings, which decreased $115 million compared to the first six months of 2024 reflecting lower underwriting profit and lower net investment income from AFG’s alternative investment portfolio (partnerships and similar investments and AFG-managed CLOs), partially offset by higher investment income outside of alternative investments. Net realized gains on securities in the first six months of 2025 and 2024 include after-tax gains of</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$12 million and $14 million, respectively, resulting from the change in fair value of equity securities that were still held at the balance sheet date.</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 — THREE MONTHS ENDED JUNE 30, 2025 AND 2024</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2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1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June 30, 2025 and 2024 identify such items by segment and reconcile net earnings to core net operating earnings, a non-GAAP financial measure that AFG believes is a useful tool for investors and analysts in analyzing ongoing operating trends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Consol.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MIEs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June 30, 2025</w:t>
            </w:r>
          </w:p>
        </w:tc>
        <w:tc>
          <w:tcPr>
            <w:tcW w:w="35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June 30, 2024</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$273 million in pretax earnings in the second quarter of 2025 compared to</w:t>
      </w:r>
    </w:p>
    <w:p>
      <w:pPr>
        <w:spacing w:after="0" w:line="2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$319 million in the second quarter of 2024, a decrease of $46 million (14%). The decrease in pretax earnings reflects lower underwriting profit and lower investment income from AFG’s alternative investment portfolio (partnerships and similar investments and AFG-managed CLOs), partially offset by higher investment income outside of alternative investments in the second quarter of 2025 compared to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June 30, 2025 and 2024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2,653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2,406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(714)</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19%</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1,803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1,692</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46%</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1,647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1,585</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w w:val="99"/>
              </w:rPr>
              <w:t>1,007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937</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7%</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498</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6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189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1000" w:type="dxa"/>
            <w:vAlign w:val="bottom"/>
            <w:tcBorders>
              <w:bottom w:val="single" w:sz="8" w:color="auto"/>
            </w:tcBorders>
          </w:tcPr>
          <w:p>
            <w:pPr>
              <w:jc w:val="right"/>
              <w:ind w:right="801"/>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273</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319</w:t>
            </w:r>
          </w:p>
        </w:tc>
        <w:tc>
          <w:tcPr>
            <w:tcW w:w="1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w:t>
            </w:r>
          </w:p>
        </w:tc>
      </w:tr>
      <w:tr>
        <w:trPr>
          <w:trHeight w:val="21"/>
        </w:trPr>
        <w:tc>
          <w:tcPr>
            <w:tcW w:w="6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5"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21590</wp:posOffset>
            </wp:positionV>
            <wp:extent cx="21170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640"/>
        <w:spacing w:after="0"/>
        <w:tabs>
          <w:tab w:leader="none" w:pos="2340" w:val="left"/>
          <w:tab w:leader="none" w:pos="3760" w:val="left"/>
        </w:tabs>
        <w:rPr>
          <w:sz w:val="20"/>
          <w:szCs w:val="20"/>
          <w:color w:val="auto"/>
        </w:rPr>
      </w:pPr>
      <w:r>
        <w:rPr>
          <w:rFonts w:ascii="Arial" w:cs="Arial" w:eastAsia="Arial" w:hAnsi="Arial"/>
          <w:sz w:val="15"/>
          <w:szCs w:val="15"/>
          <w:color w:val="auto"/>
        </w:rPr>
        <w:t>2025</w:t>
      </w:r>
      <w:r>
        <w:rPr>
          <w:sz w:val="20"/>
          <w:szCs w:val="20"/>
          <w:color w:val="auto"/>
        </w:rPr>
        <w:tab/>
      </w: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21590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59.1%</w:t>
            </w: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1"/>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13"/>
        </w:trPr>
        <w:tc>
          <w:tcPr>
            <w:tcW w:w="162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59.1%</w:t>
            </w: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-1165225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-890905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20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Gross written premiums (“GWP”) for AFG’s property and casualty insurance segment were $2.65 billion for the second quarter of 2025 compared to $2.41 billion for the second quarter of 2024, an increase of $247 million (10%). Detail of gross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color w:val="auto"/>
              </w:rPr>
              <w:t>Three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color w:val="auto"/>
              </w:rPr>
              <w:t>GWP</w:t>
            </w:r>
          </w:p>
        </w:tc>
        <w:tc>
          <w:tcPr>
            <w:tcW w:w="92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4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32% of gross written premiums for the second quarter of 2025 compared to 30% for the second quarter of 2024, an increase of 2 percentage points. Detail of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color w:val="auto"/>
              </w:rPr>
              <w:t>Three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color w:val="auto"/>
              </w:rPr>
              <w:t>Change in</w:t>
            </w: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080" w:type="dxa"/>
            <w:vAlign w:val="bottom"/>
          </w:tcPr>
          <w:p>
            <w:pPr>
              <w:jc w:val="right"/>
              <w:ind w:right="122"/>
              <w:spacing w:after="0"/>
              <w:rPr>
                <w:sz w:val="20"/>
                <w:szCs w:val="20"/>
                <w:color w:val="auto"/>
              </w:rPr>
            </w:pPr>
            <w:r>
              <w:rPr>
                <w:rFonts w:ascii="Arial" w:cs="Arial" w:eastAsia="Arial" w:hAnsi="Arial"/>
                <w:sz w:val="14"/>
                <w:szCs w:val="14"/>
                <w:color w:val="auto"/>
              </w:rPr>
              <w:t>% of GWP</w:t>
            </w:r>
          </w:p>
        </w:tc>
      </w:tr>
      <w:tr>
        <w:trPr>
          <w:trHeight w:val="21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5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17"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color w:val="auto"/>
        </w:rPr>
        <w:t>Net written premiums (“NWP”) for AFG’s property and casualty insurance segment were $1.80 billion for the second quarter of 2025 compared to $1.69 billion for the second quarter of 2024, an increase of $111 million (7%). Detail of net written premiums is shown below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rPr>
              <w:t>Three months 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color w:val="auto"/>
              </w:rPr>
              <w:t>NWP</w:t>
            </w:r>
          </w:p>
        </w:tc>
        <w:tc>
          <w:tcPr>
            <w:tcW w:w="96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4"/>
                <w:szCs w:val="14"/>
                <w:color w:val="auto"/>
              </w:rPr>
              <w:t>% Change</w:t>
            </w: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536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Net earned premiums (“NEP”) for AFG’s property and casualty insurance segment were $1.65 billion for the second quarter of 2025 compared to $1.59 billion for the second quarter of 2024, an increase of $62 million (4%). Detail of net earned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color w:val="auto"/>
              </w:rPr>
              <w:t>Three months 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color w:val="auto"/>
              </w:rPr>
              <w:t>NEP</w:t>
            </w:r>
          </w:p>
        </w:tc>
        <w:tc>
          <w:tcPr>
            <w:tcW w:w="96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52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Gross written premiums for the second quarter of 2025 increased $247 million (10%) compared to the second quarter of 2024. Earlier reporting of crop acreage by insureds impacted the timing of the recording of crop premiums and contributed to the year-over-year increase, particularly when compared to later reporting of acreage in the previous year. Excluding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crop business, gross written premiums increased 6% compared to the second quarter of 2024 as a result of year-over-year premium growth from new business opportunities, a good renewal rate environment, and increased exposures. Overall average renewal rates increased approximately 6% in the second quarter of 2025. Excluding the workers’ compensation businesses, renewal rates increased approximately 7%.</w:t>
      </w:r>
    </w:p>
    <w:p>
      <w:pPr>
        <w:spacing w:after="0" w:line="21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$163 million (15%) in the second quarter of 2025 compared to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2024. This increase was primarily the result of earlier reporting of crop acreage in the second quarter of 2025 compared to 2024, which impacts the timing of crop premiums. Excluding the crop business, gross written premiums for this group increased 6% compared to the second quarter of 2024, reflecting increased exposures, new business opportunities and a favorable rate environment in the transportation businesses. Average renewal rates increased approximately 8% for this group in the second quarter of 2025. Reinsurance premiums ceded as a percentage of gross written premiums increased 3 percentage points in the second quarter of 2025 compared to the second quarter of 2024, reflecting higher premiums in the crop business and growth in alternative risk transfer products in the transportation businesses, both of which cede a higher percentage of premiums than some of the other businesses in the Property and transportation sub-segment.</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$39 million (4%) in the second quarter of 2025 compared to the second quarter of 2024,</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reflecting higher year-over-year premiums in the mergers and acquisitions liability business and growth across a variety of other businesses in the Specialty casualty sub-segment resulting from new business opportunities, higher rates and strong policy retention. These items were partially offset by lower premiums due to a challenging market in the directors’ and officers’ liability business as well as the continued non-renewal of certain housing and daycare accounts in the social services businesses. Average renewal rates increased approximately 6% for this group in the second quarter of 2025. Excluding the workers’ compensation businesses, renewal rates for this group increased approximately 8%. Reinsurance premiums ceded as a percentage of gross written premiums increased 2 percentage points in the second quarter of 2025 compared to the second quarter of 2024, reflecting higher cessions and higher reinsurance costs in the excess liability business and growth in the mergers and acquisitions liability business, which cedes a larger percentage of premiums than some of the other businesses in the Specialty casualty sub-segment.</w:t>
      </w:r>
    </w:p>
    <w:p>
      <w:pPr>
        <w:spacing w:after="0" w:line="229"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$45 million (15%) in the second quarter of 2025 compared to the second quarter of 2024</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due primarily to growth in the financial institutions business. Reinsurance premiums ceded as a percentage of gross written premiums increased</w:t>
      </w:r>
    </w:p>
    <w:p>
      <w:pPr>
        <w:spacing w:after="0" w:line="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2 percentage points in the second quarter of 2025 compared to the second quarter of 2024, reflecting higher cessions in the financial institutions business.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962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5"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color w:val="auto"/>
        </w:rPr>
        <w:t>2025</w:t>
      </w:r>
      <w:r>
        <w:rPr>
          <w:sz w:val="20"/>
          <w:szCs w:val="20"/>
          <w:color w:val="auto"/>
        </w:rPr>
        <w:tab/>
      </w: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23495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55"/>
        </w:trPr>
        <w:tc>
          <w:tcPr>
            <w:tcW w:w="148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55"/>
        </w:trPr>
        <w:tc>
          <w:tcPr>
            <w:tcW w:w="148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56"/>
        </w:trPr>
        <w:tc>
          <w:tcPr>
            <w:tcW w:w="148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55"/>
        </w:trPr>
        <w:tc>
          <w:tcPr>
            <w:tcW w:w="148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-3779520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-3479800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-3188335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-2914015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-2322195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-2047875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-1456690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-1182370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-590550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-316230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-16510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-882015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-1748155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-2613660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Three months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00" w:type="dxa"/>
            <w:vAlign w:val="bottom"/>
            <w:gridSpan w:val="2"/>
          </w:tcPr>
          <w:p>
            <w:pPr>
              <w:ind w:left="300"/>
              <w:spacing w:after="0"/>
              <w:rPr>
                <w:sz w:val="20"/>
                <w:szCs w:val="20"/>
                <w:color w:val="auto"/>
              </w:rPr>
            </w:pPr>
            <w:r>
              <w:rPr>
                <w:rFonts w:ascii="Arial" w:cs="Arial" w:eastAsia="Arial" w:hAnsi="Arial"/>
                <w:sz w:val="14"/>
                <w:szCs w:val="14"/>
                <w:color w:val="auto"/>
              </w:rPr>
              <w:t>Change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64"/>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64"/>
              <w:spacing w:after="0"/>
              <w:rPr>
                <w:sz w:val="20"/>
                <w:szCs w:val="20"/>
                <w:color w:val="auto"/>
              </w:rPr>
            </w:pPr>
            <w:r>
              <w:rPr>
                <w:rFonts w:ascii="Arial" w:cs="Arial" w:eastAsia="Arial" w:hAnsi="Arial"/>
                <w:sz w:val="14"/>
                <w:szCs w:val="14"/>
                <w:color w:val="auto"/>
              </w:rPr>
              <w:t>2024</w:t>
            </w:r>
          </w:p>
        </w:tc>
      </w:tr>
      <w:tr>
        <w:trPr>
          <w:trHeight w:val="414"/>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7"/>
        </w:trPr>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40</w:t>
            </w:r>
          </w:p>
        </w:tc>
      </w:tr>
      <w:tr>
        <w:trPr>
          <w:trHeight w:val="22"/>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3.5%</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4.8%</w:t>
      </w:r>
    </w:p>
    <w:p>
      <w:pPr>
        <w:spacing w:after="0" w:line="32" w:lineRule="exact"/>
        <w:rPr>
          <w:sz w:val="20"/>
          <w:szCs w:val="20"/>
          <w:color w:val="auto"/>
        </w:rPr>
      </w:pPr>
    </w:p>
    <w:p>
      <w:pPr>
        <w:jc w:val="both"/>
        <w:ind w:left="1220"/>
        <w:spacing w:after="0"/>
        <w:tabs>
          <w:tab w:leader="none" w:pos="2300" w:val="left"/>
          <w:tab w:leader="none" w:pos="2660" w:val="left"/>
          <w:tab w:leader="none" w:pos="3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49</w:t>
        <w:tab/>
        <w:t>$</w:t>
      </w:r>
      <w:r>
        <w:rPr>
          <w:sz w:val="20"/>
          <w:szCs w:val="20"/>
          <w:color w:val="auto"/>
        </w:rPr>
        <w:tab/>
      </w: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46355</wp:posOffset>
            </wp:positionV>
            <wp:extent cx="18173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0.4%</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w:t>
      </w:r>
    </w:p>
    <w:p>
      <w:pPr>
        <w:spacing w:after="0" w:line="32" w:lineRule="exact"/>
        <w:rPr>
          <w:sz w:val="20"/>
          <w:szCs w:val="20"/>
          <w:color w:val="auto"/>
        </w:rPr>
      </w:pPr>
    </w:p>
    <w:p>
      <w:pPr>
        <w:jc w:val="both"/>
        <w:ind w:left="1220"/>
        <w:spacing w:after="0"/>
        <w:tabs>
          <w:tab w:leader="none" w:pos="2300" w:val="left"/>
          <w:tab w:leader="none" w:pos="2660" w:val="left"/>
          <w:tab w:leader="none" w:pos="3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46355</wp:posOffset>
            </wp:positionV>
            <wp:extent cx="18173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0.6%</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jc w:val="both"/>
        <w:ind w:left="1220"/>
        <w:spacing w:after="0"/>
        <w:tabs>
          <w:tab w:leader="none" w:pos="2220" w:val="left"/>
          <w:tab w:leader="none" w:pos="2660" w:val="left"/>
          <w:tab w:leader="none" w:pos="3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114</w:t>
        <w:tab/>
        <w:t>$</w:t>
      </w:r>
      <w:r>
        <w:rPr>
          <w:sz w:val="20"/>
          <w:szCs w:val="20"/>
          <w:color w:val="auto"/>
        </w:rPr>
        <w:tab/>
      </w: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46355</wp:posOffset>
            </wp:positionV>
            <wp:extent cx="18173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0.6%</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jc w:val="both"/>
        <w:ind w:left="1220"/>
        <w:spacing w:after="0"/>
        <w:tabs>
          <w:tab w:leader="none" w:pos="2220" w:val="left"/>
          <w:tab w:leader="none" w:pos="2660" w:val="left"/>
          <w:tab w:leader="none" w:pos="3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113</w:t>
        <w:tab/>
        <w:t>$</w:t>
      </w:r>
      <w:r>
        <w:rPr>
          <w:sz w:val="20"/>
          <w:szCs w:val="20"/>
          <w:color w:val="auto"/>
        </w:rPr>
        <w:tab/>
      </w: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46355</wp:posOffset>
            </wp:positionV>
            <wp:extent cx="18173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3280" w:space="720"/>
            <w:col w:w="3080" w:space="100"/>
            <w:col w:w="4060"/>
          </w:cols>
          <w:pgMar w:left="320" w:top="116" w:right="339" w:bottom="1440" w:gutter="0" w:footer="0" w:header="0"/>
          <w:type w:val="continuous"/>
        </w:sectPr>
      </w:pP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Specialty property and casualty insurance operations generated an underwriting profit of $114 million in the second quarter of 2025 compared to $151 million in the second quarter of 2024, a decrease of $37 million (25%). Higher year-over-year underwriting profit in the Specialty financial sub-segment was more than offset by lower underwriting profit in the Property and transportation and Specialty casualty sub-segments. Overall catastrophe losses were $38 million (2.3 points on the combined ratio) in the second quarter of 2025 compared to catastrophe losses of $36 million (2.3 points) in the second quarter of 2024.</w:t>
      </w:r>
    </w:p>
    <w:p>
      <w:pPr>
        <w:spacing w:after="0" w:line="207"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$27 million for the second quarter of 2025 compared to $40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second quarter of 2024, a decrease of $13 million (33%), reflecting the impact of particularly strong crop results in the second quarter of 2024. Catastrophe losses were $12 million (2.0 points on the combined ratio) in the second quarter of 2025 compared to $13 million (2.4 points) in the second quarter of 2024.</w:t>
      </w:r>
    </w:p>
    <w:p>
      <w:pPr>
        <w:spacing w:after="0" w:line="218"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$49 million for the second quarter of 2025 compared to $86 million for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2024, a decrease of $37 million (43%), reflecting lower underwriting profit in the excess and surplus and social services businesses. Catastrophe losses were $7 million (0.9 points on the combined ratio) in the second quarter of 2025 compared to catastrophe losses of $5 million (0.6 points) in the second quarter of 2024.</w:t>
      </w:r>
    </w:p>
    <w:p>
      <w:pPr>
        <w:spacing w:after="0" w:line="218" w:lineRule="exact"/>
        <w:rPr>
          <w:sz w:val="20"/>
          <w:szCs w:val="20"/>
          <w:color w:val="auto"/>
        </w:rPr>
      </w:pPr>
    </w:p>
    <w:p>
      <w:pPr>
        <w:ind w:right="54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$38 million for the second quarter of 2025 compared to $25 million in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2024, an increase of $13 million (52%). This increase was due primarily to higher</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year-over-year underwriting profitability in the financial institutions and surety businesses. Catastrophe losses were $19 million (7.3 points on the combined ratio) in the second quarter of 2025 compared to $18 million (7.2 points) in the second quarter of 2024.</w:t>
      </w:r>
    </w:p>
    <w:p>
      <w:pPr>
        <w:spacing w:after="0" w:line="18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both the second quarter of 2025 and the second quarter of 2024 related to business outside of the Specialty group that AFG no longer writes.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61.1% for the second quarter of 2025 compared to 59.1% for the second quarter of 2024,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2.0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Three months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5"/>
          </w:tcPr>
          <w:p>
            <w:pPr>
              <w:ind w:left="500"/>
              <w:spacing w:after="0"/>
              <w:rPr>
                <w:sz w:val="20"/>
                <w:szCs w:val="20"/>
                <w:color w:val="auto"/>
              </w:rPr>
            </w:pPr>
            <w:r>
              <w:rPr>
                <w:rFonts w:ascii="Arial" w:cs="Arial" w:eastAsia="Arial" w:hAnsi="Arial"/>
                <w:sz w:val="14"/>
                <w:szCs w:val="14"/>
                <w:color w:val="auto"/>
              </w:rPr>
              <w:t>Amount</w:t>
            </w:r>
          </w:p>
        </w:tc>
        <w:tc>
          <w:tcPr>
            <w:tcW w:w="1420" w:type="dxa"/>
            <w:vAlign w:val="bottom"/>
            <w:gridSpan w:val="3"/>
          </w:tcPr>
          <w:p>
            <w:pPr>
              <w:ind w:left="960"/>
              <w:spacing w:after="0"/>
              <w:rPr>
                <w:sz w:val="20"/>
                <w:szCs w:val="20"/>
                <w:color w:val="auto"/>
              </w:rPr>
            </w:pPr>
            <w:r>
              <w:rPr>
                <w:rFonts w:ascii="Arial" w:cs="Arial" w:eastAsia="Arial" w:hAnsi="Arial"/>
                <w:sz w:val="14"/>
                <w:szCs w:val="14"/>
                <w:color w:val="auto"/>
              </w:rPr>
              <w:t>Ratio</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25"/>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3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w:t>
            </w:r>
          </w:p>
        </w:tc>
        <w:tc>
          <w:tcPr>
            <w:tcW w:w="1340" w:type="dxa"/>
            <w:vAlign w:val="bottom"/>
            <w:gridSpan w:val="2"/>
          </w:tcPr>
          <w:p>
            <w:pPr>
              <w:jc w:val="right"/>
              <w:ind w:right="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34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3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34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59.1%</w:t>
            </w:r>
          </w:p>
        </w:tc>
        <w:tc>
          <w:tcPr>
            <w:tcW w:w="1340" w:type="dxa"/>
            <w:vAlign w:val="bottom"/>
            <w:gridSpan w:val="2"/>
          </w:tcPr>
          <w:p>
            <w:pPr>
              <w:jc w:val="right"/>
              <w:ind w:right="5"/>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3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59.1%</w:t>
            </w:r>
          </w:p>
        </w:tc>
        <w:tc>
          <w:tcPr>
            <w:tcW w:w="1340" w:type="dxa"/>
            <w:vAlign w:val="bottom"/>
            <w:gridSpan w:val="2"/>
          </w:tcPr>
          <w:p>
            <w:pPr>
              <w:jc w:val="right"/>
              <w:ind w:right="5"/>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340" w:type="dxa"/>
            <w:vAlign w:val="bottom"/>
            <w:gridSpan w:val="2"/>
            <w:vMerge w:val="restart"/>
          </w:tcPr>
          <w:p>
            <w:pPr>
              <w:jc w:val="right"/>
              <w:ind w:right="5"/>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3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59.5% for the second quarter of 2025 compared to 59.1% for the second quarter of 2024, an increase of 0.4 percentage points.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0.2 percentage points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property and inland marine business, which has a lower loss and LAE ratio than some of the other businesses in the Property and transportation sub-segment, partially offset by higher losses in the aviation business.</w:t>
      </w:r>
    </w:p>
    <w:p>
      <w:pPr>
        <w:spacing w:after="0" w:line="216" w:lineRule="exact"/>
        <w:rPr>
          <w:sz w:val="20"/>
          <w:szCs w:val="20"/>
          <w:color w:val="auto"/>
        </w:rPr>
      </w:pPr>
    </w:p>
    <w:p>
      <w:pPr>
        <w:jc w:val="both"/>
        <w:ind w:right="36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1.8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higher claim severity in the excess and surplus and social services businesses, partially offset by improved results in the workers’ compensation businesses.</w:t>
      </w:r>
    </w:p>
    <w:p>
      <w:pPr>
        <w:spacing w:after="0" w:line="216" w:lineRule="exact"/>
        <w:rPr>
          <w:sz w:val="20"/>
          <w:szCs w:val="20"/>
          <w:color w:val="auto"/>
        </w:rPr>
      </w:pPr>
    </w:p>
    <w:p>
      <w:pPr>
        <w:jc w:val="both"/>
        <w:ind w:right="2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0.8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and 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0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$12 million in the second quarter of 2025 compared to $36 million in the second quarter of 2024, a decrease of $24 million (67%).</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$13 million in the second quarter of 2025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aviation, agribusiness and ocean marine businesses. Net favorable reserve development of $34 million in the second quarter of 2024 reflects lower than anticipated losses in the crop business and lower than expected claim severity in the property and inland marine business.</w:t>
      </w:r>
    </w:p>
    <w:p>
      <w:pPr>
        <w:spacing w:after="0" w:line="216"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adverse reserve development of $10 million in the second quarter of 2025 reflects higher than anticipated claim severity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excess and surplus and social services businesses, partially offset by lower than anticipated claim severity in the workers’ compensation businesses. Net favorable reserve development of $2 million in the second quarter of 2024 reflects lower than anticipated claim severity in the workers’ compensation businesses and lower than expected claim frequency in the executive liability business, partially offset by higher than anticipated claim severity in the excess and surplus businesses.</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$9 million in the second quarter of 2025 reflects lower than expected claim frequency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financial institutions business and lower than anticipated claim severity in the surety and trade credit businesses. Net reserve development of less than $1 million in the second quarter of 2024 reflects lower than anticipated claim frequency in the trade credit and fidelity businesses and lower than expected claim frequency and severity in the financial institutions business, offset by higher than anticipated claim severity in certain other businesses.</w:t>
      </w:r>
    </w:p>
    <w:p>
      <w:pPr>
        <w:spacing w:after="0" w:line="219" w:lineRule="exact"/>
        <w:rPr>
          <w:sz w:val="20"/>
          <w:szCs w:val="20"/>
          <w:color w:val="auto"/>
        </w:rPr>
      </w:pPr>
    </w:p>
    <w:p>
      <w:pPr>
        <w:jc w:val="both"/>
        <w:ind w:right="28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both the second quarter of 2025 and the second quarter of 2024 related to business outside of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AFG currently has comprehensive property catastrophe reinsurance coverage in place (including a $70 million per occurrence net retention) for losses up to $625 million in the vast majority of circumstances. This coverage consists of a combination of $245 million from traditional reinsurance and $310 million of coverage through a fully collateralized catastrophe bond. Based on data available at December 31, 2024, management estimates that AFG’s exposure to a catastrophic earthquake or windstorm that industry models indicate should statistically occur once in every 500 years is just over 2% of AFG’s Shareholders’ Equity.</w:t>
      </w:r>
    </w:p>
    <w:p>
      <w:pPr>
        <w:spacing w:after="0" w:line="223"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Catastrophe losses of $38 million in the second quarter of 2025 and $36 million in the second quarter of 2024 resulted primarily from storms in multiple regions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$527 million in the second quarter of 2025 compared to $498 million for the second quarter of 2024, an increase of $29 million (6%). AFG’s underwriting expense ratio, calculated as commissions and other underwriting expenses divided by net premiums earned, was 32.0% for the second quarter of 2025 compared to 31.4% for the second quarter of 2024, an increase of</w:t>
      </w:r>
    </w:p>
    <w:p>
      <w:pPr>
        <w:sectPr>
          <w:pgSz w:w="11900" w:h="16838" w:orient="portrait"/>
          <w:cols w:equalWidth="0" w:num="1">
            <w:col w:w="11220"/>
          </w:cols>
          <w:pgMar w:left="320" w:top="116" w:right="35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0.6 percentage points. Detail of AFG’s property and casualty commissions and other underwriting expenses and underwriting expense ratios is shown below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Three months ended June 30,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64"/>
              <w:spacing w:after="0"/>
              <w:rPr>
                <w:sz w:val="20"/>
                <w:szCs w:val="20"/>
                <w:color w:val="auto"/>
              </w:rPr>
            </w:pPr>
            <w:r>
              <w:rPr>
                <w:rFonts w:ascii="Arial" w:cs="Arial" w:eastAsia="Arial" w:hAnsi="Arial"/>
                <w:sz w:val="14"/>
                <w:szCs w:val="14"/>
                <w:color w:val="auto"/>
                <w:w w:val="96"/>
              </w:rPr>
              <w:t>2024</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color w:val="auto"/>
              </w:rPr>
              <w:t>U/W Exp</w:t>
            </w: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 of NEP</w:t>
            </w:r>
          </w:p>
        </w:tc>
        <w:tc>
          <w:tcPr>
            <w:tcW w:w="18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1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0.4%</w:t>
            </w:r>
          </w:p>
        </w:tc>
      </w:tr>
      <w:tr>
        <w:trPr>
          <w:trHeight w:val="210"/>
        </w:trPr>
        <w:tc>
          <w:tcPr>
            <w:tcW w:w="4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498</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0.6%</w:t>
            </w:r>
          </w:p>
        </w:tc>
      </w:tr>
      <w:tr>
        <w:trPr>
          <w:trHeight w:val="20"/>
        </w:trPr>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1.0 percentage points in the second quarter of 2025 compared to the second quarter of 2024. The decrease reflects the impact of higher earned premiums in the crop operations on the ratio (which has a lower commissions and other underwriting expense ratio compared to some of the other businesses in the Property and transportation sub-segment), partially offset by higher costs for software and other expenses associated with certain initiatives in IT security, customer experience and data analytics.</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1.3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second quarter of 2025 compared to the second quarter of 2024 reflecting higher costs for software and other expenses associated with certain initiatives in IT security, customer experience and data analytics and an increase in average commission rates in the excess and surplus business resulting from changes in reinsurance treaties.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0.4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second quarter of 2025 compared to the second quarter of 2024 due primarily to higher costs for software and other expenses associated with certain initiatives in IT security, customer experience and data analytics, partially offset by the impact of higher earned premiums in the financial institutions business on the ratio and lower average commission rates in certain businesses.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$179 million in the second quarter of 2025 compared to</w:t>
      </w:r>
    </w:p>
    <w:p>
      <w:pPr>
        <w:spacing w:after="0" w:line="7"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$189 million in the second quarter of 2024, a decrease of $10 million (5%).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 June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4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15</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10%</w:t>
            </w:r>
          </w:p>
        </w:tc>
      </w:tr>
      <w:tr>
        <w:trPr>
          <w:trHeight w:val="216"/>
        </w:trPr>
        <w:tc>
          <w:tcPr>
            <w:tcW w:w="5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15,921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15,346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575</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Yield on fixed maturities (before investment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decrease in the property and casualty insurance segment’s net investment income for the second quarter of 2025 compared to the second quarter of 2024 reflects the impact of lower returns on AFG’s alternative investment portfolio (partnerships and similar investments and AFG-managed CLOs), partially offset by the impact of higher balances of invested assets and higher returns on fixed maturity investments. The property and casualty insurance segment’s overall yield on investments (net investment income as a percentage of average invested assets) was 4.50% for the second quarter of 2025 compared to 4.93% for the second quarter of 2024, a decrease of 0.43 percentage points. The annualized return earned on alternative investments was 1.2% in the second quarter of 2025 compared to 5.1% in the comparable prior year period. The impact on rental rates and occupancy from a surge in new apartment supply in certain otherwise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strong markets reduced the fair value of certain multi-family investments and tempered the performance of AFG’s alternative investment portfolio in the second quarter of 2025.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$19 million for the second quarter of 2025 compared to $20 million for the second quarter of 2024, a decrease of $1 million (5%).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AFG’s net pretax loss outside of its property and casualty insurance segment (excluding realized gains and losses) totaled $46 million in both the second quarter of 2025 and the second quarter of 2024.</w:t>
      </w:r>
    </w:p>
    <w:p>
      <w:pPr>
        <w:spacing w:after="0" w:line="215"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following table details AFG’s loss before income taxes from operations outside of its property and casualty insurance segment for the three months ended June 30, 2025 and 2024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excluding realized gains and losses</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$7 million in the second quarter of 2025 compared to $8 million in the second quarter of 2024, a decrease of $1 million (13%), reflecting a decrease in average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second quarter of 2025, AFG collected $23 million in fees for these services compared to $24 million in the second quarter of 2024. Management views this fee income, net of the $16 million in both the second quarter of 2025 and the second quarter of 2024 in expenses incurred to generate such fees, as a reduction in the cost of underwriting its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property and casualty insurance policies.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Other income in the table above includes $2 million in the second quarter of 2025 and $3 million in the second quarter of 2024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$4 million in the second quarter of 2025 compared to $1 million in the second quarter of 2024, an increase of $3 million (300%), reflecting income from the sale of certain real estate assets.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other expenses of $40 million in the second quarter of 2025 compared to $39 million in the second quarter of 2024, an increase of $1 million (3%).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second quarter of 2025 and the second quarter of 2024.</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41"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AFG’s realized gains (losses) on securities were net gains of $2 million in the second quarter of 2025 compared to net losses of $2 million in the second quarter of 2024, a change of $4 million (200%). Realized gains (losses) on securities consisted of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Three months ended June 30,</w:t>
            </w:r>
          </w:p>
        </w:tc>
      </w:tr>
      <w:tr>
        <w:trPr>
          <w:trHeight w:val="199"/>
        </w:trPr>
        <w:tc>
          <w:tcPr>
            <w:tcW w:w="8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2024</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ind w:left="900"/>
              <w:spacing w:after="0"/>
              <w:rPr>
                <w:sz w:val="20"/>
                <w:szCs w:val="20"/>
                <w:color w:val="auto"/>
              </w:rPr>
            </w:pPr>
            <w:r>
              <w:rPr>
                <w:rFonts w:ascii="Arial" w:cs="Arial" w:eastAsia="Arial" w:hAnsi="Arial"/>
                <w:sz w:val="16"/>
                <w:szCs w:val="16"/>
                <w:color w:val="auto"/>
              </w:rPr>
              <w:t>(1)</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w:t>
            </w: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(2)</w:t>
            </w:r>
          </w:p>
        </w:tc>
      </w:tr>
      <w:tr>
        <w:trPr>
          <w:trHeight w:val="197"/>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right="120"/>
        <w:spacing w:after="0" w:line="260" w:lineRule="auto"/>
        <w:rPr>
          <w:sz w:val="20"/>
          <w:szCs w:val="20"/>
          <w:color w:val="auto"/>
        </w:rPr>
      </w:pPr>
      <w:r>
        <w:rPr>
          <w:rFonts w:ascii="Arial" w:cs="Arial" w:eastAsia="Arial" w:hAnsi="Arial"/>
          <w:sz w:val="17"/>
          <w:szCs w:val="17"/>
          <w:color w:val="auto"/>
        </w:rPr>
        <w:t>The $10 million net realized gain from the change in the fair value of equity securities in the second quarter of 2025 includes gains of $10 million on investments in manufacturing companies and $6 million on investments in banks and financing companies, partially offset by losses of $2 million on investments in energy companies, $2 million on investments in media companies and $2 million on investments in natural gas companies. The</w:t>
      </w:r>
    </w:p>
    <w:p>
      <w:pPr>
        <w:spacing w:after="0" w:line="2" w:lineRule="exact"/>
        <w:rPr>
          <w:sz w:val="20"/>
          <w:szCs w:val="20"/>
          <w:color w:val="auto"/>
        </w:rPr>
      </w:pPr>
    </w:p>
    <w:p>
      <w:pPr>
        <w:ind w:right="600"/>
        <w:spacing w:after="0" w:line="264" w:lineRule="auto"/>
        <w:rPr>
          <w:sz w:val="20"/>
          <w:szCs w:val="20"/>
          <w:color w:val="auto"/>
        </w:rPr>
      </w:pPr>
      <w:r>
        <w:rPr>
          <w:rFonts w:ascii="Arial" w:cs="Arial" w:eastAsia="Arial" w:hAnsi="Arial"/>
          <w:sz w:val="17"/>
          <w:szCs w:val="17"/>
          <w:color w:val="auto"/>
        </w:rPr>
        <w:t>$1 million net realized loss from the change in the fair value of equity securities in the second quarter of 2024 includes losses of $4 million on investments in media companies, partially offset by gains of $3 million on investments in healthcare companies.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 xml:space="preserve">AFG’s consolidated provision for income taxes was $55 million for the second quarter of 2025 compared to $62 million for the second quarter of 2024, a decrease of $7 million (11%). See </w:t>
      </w:r>
      <w:r>
        <w:rPr>
          <w:rFonts w:ascii="Arial" w:cs="Arial" w:eastAsia="Arial" w:hAnsi="Arial"/>
          <w:sz w:val="17"/>
          <w:szCs w:val="17"/>
          <w:i w:val="1"/>
          <w:iCs w:val="1"/>
          <w:color w:val="auto"/>
        </w:rPr>
        <w:t>Note J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 — SIX MONTHS ENDED JUNE 30, 2025 AND 2024</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2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six months ended June 30, 2025 and 2024 identify such items by segment and reconcile net earnings to core net operating earnings, a non-GAAP financial measure that AFG believes is a useful tool for investors and analysts in analyzing ongoing operating trends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Six months ended June 30, 2025</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3,354</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Six months ended June 30,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impacts of these reconciling items.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$519 million in pretax earnings in the first six months of 2025 compared to</w:t>
      </w:r>
    </w:p>
    <w:p>
      <w:pPr>
        <w:spacing w:after="0" w:line="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$659 million in the first six months of 2024, a decrease of $140 million (21%). The decrease in pretax earnings reflects lower underwriting profit and lower investment income from AFG’s alternative investment portfolio (partnerships and similar investments and AFG-managed CLOs), partially offset by higher investment income outside of alternative investments in the first six months of 2025 compared to the first six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June 30, 2025 and 2024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color w:val="auto"/>
              </w:rPr>
              <w:t>Six months ended June 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67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4,742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(1,416)</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8%</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3,326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3,131</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1,844</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7%</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984</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1"/>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19970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580"/>
        <w:spacing w:after="0"/>
        <w:tabs>
          <w:tab w:leader="none" w:pos="2180" w:val="left"/>
          <w:tab w:leader="none" w:pos="3560" w:val="left"/>
        </w:tabs>
        <w:rPr>
          <w:sz w:val="20"/>
          <w:szCs w:val="20"/>
          <w:color w:val="auto"/>
        </w:rPr>
      </w:pPr>
      <w:r>
        <w:rPr>
          <w:rFonts w:ascii="Arial" w:cs="Arial" w:eastAsia="Arial" w:hAnsi="Arial"/>
          <w:sz w:val="15"/>
          <w:szCs w:val="15"/>
          <w:color w:val="auto"/>
        </w:rPr>
        <w:t>2025</w:t>
      </w:r>
      <w:r>
        <w:rPr>
          <w:sz w:val="20"/>
          <w:szCs w:val="20"/>
          <w:color w:val="auto"/>
        </w:rPr>
        <w:tab/>
      </w: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58.8%</w:t>
            </w: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13"/>
        </w:trPr>
        <w:tc>
          <w:tcPr>
            <w:tcW w:w="152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58.9%</w:t>
            </w: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-1165225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-591185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$4.94 billion for the first six months of 2025 compared to $4.74 billion for the first six months of 2024, an increase of $202 million (4%).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rPr>
              <w:t>Six months ended June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rPr>
              <w:t>GWP</w:t>
            </w:r>
          </w:p>
        </w:tc>
        <w:tc>
          <w:tcPr>
            <w:tcW w:w="900" w:type="dxa"/>
            <w:vAlign w:val="bottom"/>
          </w:tcPr>
          <w:p>
            <w:pPr>
              <w:jc w:val="right"/>
              <w:ind w:right="36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color w:val="auto"/>
              </w:rPr>
              <w:t>% Change</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2,043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54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4,742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jc w:val="both"/>
        <w:ind w:right="40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31% of gross written premiums in the first six months of 2025 compared to 30% of gross written premiums for the first six months of 2024, an increase of 1 percentage point.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color w:val="auto"/>
              </w:rPr>
              <w:t>Six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2025</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color w:val="auto"/>
              </w:rPr>
              <w:t>Change in</w:t>
            </w:r>
          </w:p>
        </w:tc>
      </w:tr>
      <w:tr>
        <w:trPr>
          <w:trHeight w:val="198"/>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080" w:type="dxa"/>
            <w:vAlign w:val="bottom"/>
          </w:tcPr>
          <w:p>
            <w:pPr>
              <w:jc w:val="right"/>
              <w:ind w:right="122"/>
              <w:spacing w:after="0"/>
              <w:rPr>
                <w:sz w:val="20"/>
                <w:szCs w:val="20"/>
                <w:color w:val="auto"/>
              </w:rPr>
            </w:pPr>
            <w:r>
              <w:rPr>
                <w:rFonts w:ascii="Arial" w:cs="Arial" w:eastAsia="Arial" w:hAnsi="Arial"/>
                <w:sz w:val="14"/>
                <w:szCs w:val="14"/>
                <w:color w:val="auto"/>
              </w:rPr>
              <w:t>% of GWP</w:t>
            </w:r>
          </w:p>
        </w:tc>
      </w:tr>
      <w:tr>
        <w:trPr>
          <w:trHeight w:val="21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32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$3.41 billion for the first six months of 2025 compared to $3.33 billion for the first six months of 2024, an increase of $88 million (3%).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rPr>
              <w:t>Six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color w:val="auto"/>
              </w:rPr>
              <w:t>NWP</w:t>
            </w:r>
          </w:p>
        </w:tc>
        <w:tc>
          <w:tcPr>
            <w:tcW w:w="900" w:type="dxa"/>
            <w:vAlign w:val="bottom"/>
          </w:tcPr>
          <w:p>
            <w:pPr>
              <w:jc w:val="right"/>
              <w:ind w:right="36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1,537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r>
      <w:tr>
        <w:trPr>
          <w:trHeight w:val="210"/>
        </w:trPr>
        <w:tc>
          <w:tcPr>
            <w:tcW w:w="52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3,414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3%</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jc w:val="both"/>
        <w:ind w:right="24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$3.23 billion for the first six months of 2025 compared to $3.13 billion for the first six months of 2024, an increase of $96 million (3%).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color w:val="auto"/>
              </w:rPr>
              <w:t>Six months 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4"/>
                <w:szCs w:val="14"/>
                <w:color w:val="auto"/>
              </w:rPr>
              <w:t>NEP</w:t>
            </w:r>
          </w:p>
        </w:tc>
        <w:tc>
          <w:tcPr>
            <w:tcW w:w="90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52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3,131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Gross written premiums for the first six months of 2025 increased $202 million (4%) compared to the first six months of 2024. Earlier reporting of crop acreage by insureds impacted the timing of the recording of crop premiums and contributed to the year-over-year increase. The Specialty property and casualty insurance operations continue to achieve year-over-year premium growth as a result of new business opportunities, a good renewal rate environment and increased exposures. Overall average renewal rates increased approximately 6% in the first six months of 2025. Excluding the workers’ compensation businesses, renewal pricing increased approximately 7%.</w:t>
      </w:r>
    </w:p>
    <w:p>
      <w:pPr>
        <w:spacing w:after="0" w:line="20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$101 million (5%) in the first six months of 2025 compared to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This increase was primarily the result of earlier reporting of crop acreage in the second quarter of 2025 compared to 2024, which impacts the timing of crop premiums. In addition, increased exposures, new business opportunities and a favorable rate environment contributed to growth in the transportation businesses. Average renewal rates increased approximately 7% for this group in the first six months of 2025. Reinsurance premiums ceded as a percentage of gross written premiums increased 1 percentage point in the first six months of 2025 compared to the first six months of 2024 reflecting growth in the alternative risk transfer products in the transportation businesses and higher premiums in the crop business, which cede a higher percentage of premiums than some of the other businesses in the Property and transportation sub-segment.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$10 million in the first six months of 2025 compared to the first six months of 2024,</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reflecting higher year-over-year premiums in the mergers and acquisitions liability business and growth across several other businesses in the Specialty casualty sub-segment resulting from new business opportunities, higher rates and strong policy retention. These items were partially offset by lower premiums due to a challenging market in the directors’ and officers’ liability business as well as the continued non-renewal of certain housing and daycare accounts in the social services businesses. Average renewal rates increased approximately 6% for this group in the first six months of 2025. Excluding overall rate decreases in the workers’ compensation businesses, renewal rates for this group increased approximately 9%. Reinsurance premiums ceded as a percentage of gross written premiums increased 1 percentage point in the first six months of 2025 compared to the first six months of 2024 reflecting higher cessions, higher reinsurance costs and higher reinstatement premiums paid to reinsurers in the excess liability business and growth in the mergers and acquisitions liability business, which cedes a larger percentage of premiums than some of the other businesses in the Specialty casualty sub-segment.</w:t>
      </w:r>
    </w:p>
    <w:p>
      <w:pPr>
        <w:spacing w:after="0" w:line="214"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$91 million (16%) in the first six months of 2025 compared to the first six months of 2024</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due primarily to growth in the financial institutions business. Average renewal rates increased approximately 1% for this group in the first six months of 2025. Reinsurance premiums ceded as a percentage of gross written premiums were comparable in the first six months of 2025 and the first six months of 2024.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99"/>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Change</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411"/>
        </w:trPr>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64</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69</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41.3%</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75</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58.8%</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58.9%</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-4208145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-3933825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-3634105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-3342640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-3068320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-2767965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-2476500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-2202180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-1902460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-1610995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-1336675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-1036320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-744855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-470535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-170815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16" w:right="339" w:bottom="1440" w:gutter="0" w:footer="0" w:header="0"/>
          <w:type w:val="continuous"/>
        </w:sectPr>
      </w:pP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Specialty property and casualty insurance operations generated an underwriting profit of $208 million for the first six months of 2025 compared to $305 million for the first six months of 2024, a decrease of $97 million (32%). Higher year-over-year underwriting profit in the Specialty financial sub-segment was more than offset by lower underwriting profit in the</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Property and transportation and Specialty casualty sub-segments. Overall catastrophe losses were $110 million (3.4 points on the combined ratio) in the first six months of 2025 compared to catastrophe losses of $71 million (2.3 points), including $1 million in net reinstatement premiums in the first six months of 2024.</w:t>
      </w:r>
    </w:p>
    <w:p>
      <w:pPr>
        <w:spacing w:after="0" w:line="21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$64 million for the first six months of 2025 compared to $100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first six months of 2024, a decrease of $36 million (36%). This decrease was due primarily to the impact of particularly strong crop insurance business results in the first six months of 2024 and lower year-over-year underwriting profit in the property and inland marine business. Catastrophe losses were $22 million (2.1 points on the combined ratio) in the first six months of 2025 compared to $22 million (2.0 points) in the first six months of 2024.</w:t>
      </w:r>
    </w:p>
    <w:p>
      <w:pPr>
        <w:spacing w:after="0" w:line="219"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$69 million for the first six months of 2025 compared to $147 million for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a decrease of $78 million (53%), reflecting lower underwriting profit in the directors’ and officers’ liability, excess and surplus and workers’ compensation businesses as well as higher catastrophe losses. Catastrophe losses were $34 million (2.1 points on the combined ratio) in the first six months of 2025 compared to catastrophe losses of $24 million (1.5 points), including $1 million in net reinstatement premiums in the first six months of 2024.</w:t>
      </w:r>
    </w:p>
    <w:p>
      <w:pPr>
        <w:spacing w:after="0" w:line="21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$75 million for the first six months of 2025 compared to $58 million for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an increase of $17 million (29%). Favorable prior year reserve development and improved accident year results were partially offset by higher year-over-year catastrophe losses. Catastrophe losses were $54 million (9.7 points on the combined ratio) in the first six months of 2025 compared to $25 million (5.2 points) in the first six months of 2024.</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the first six months of 2025 and $2 million in the first six months of 2024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61.1% for the first six months of 2025 compared to 58.9% for the first six months of 2024,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2.2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Six months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9"/>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61.9%</w:t>
            </w:r>
          </w:p>
        </w:tc>
        <w:tc>
          <w:tcPr>
            <w:tcW w:w="1200" w:type="dxa"/>
            <w:vAlign w:val="bottom"/>
            <w:gridSpan w:val="2"/>
          </w:tcPr>
          <w:p>
            <w:pPr>
              <w:jc w:val="right"/>
              <w:ind w:right="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58.7% for the first six months of 2025 compared to 59.3% for the first six months of 2024, a decrease of 0.6 percentage points.</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0.9 percentage points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improved results and growth in the property and inland marine and ocean marine businesses, which have lower loss and LAE ratios than some of the other businesses in the Property and transportation sub-segment and the impact of a large property loss in the first quarter of 2024, partially offset by higher claim severity in the aviation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jc w:val="both"/>
        <w:ind w:right="3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0.7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higher claim severity in the excess and surplus and social services businesses, partially offset by improved results in the workers’ compensation businesses.</w:t>
      </w:r>
    </w:p>
    <w:p>
      <w:pPr>
        <w:spacing w:after="0" w:line="216" w:lineRule="exact"/>
        <w:rPr>
          <w:sz w:val="20"/>
          <w:szCs w:val="20"/>
          <w:color w:val="auto"/>
        </w:rPr>
      </w:pPr>
    </w:p>
    <w:p>
      <w:pPr>
        <w:jc w:val="both"/>
        <w:ind w:right="3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1.0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and 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2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$32 million in the first six months of 2025 compared to $87 million in the first six months of 2024, a decrease of $55 million (63%).</w:t>
      </w:r>
    </w:p>
    <w:p>
      <w:pPr>
        <w:spacing w:after="0" w:line="216"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$32 million in the first six months of 2025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lower than anticipated claim severity in the aviation and agribusiness operations and lower than expected claim frequency in the property and inland marine business. Net favorable reserve development of $80 million in the first six months of 2024 reflects lower than anticipated losses in the crop business and lower than expected claim severity in the property and inland marine business.</w:t>
      </w:r>
    </w:p>
    <w:p>
      <w:pPr>
        <w:spacing w:after="0" w:line="236"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adverse reserve development of $22 million in the first six months of 2025 reflects higher than anticipated claim severity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excess and surplus and social services businesses, partially offset by lower than anticipated claim severity in the workers’ compensation businesses. Net favorable reserve development of $13 million in the first six months of 2024 reflects lower than anticipated claim severity in the workers’ compensation businesses and lower than expected claim frequency in the executive liability business, partially offset by higher than anticipated claim severity in the excess and surplus businesses and higher than expected claim frequency and severity in the social services business.</w:t>
      </w:r>
    </w:p>
    <w:p>
      <w:pPr>
        <w:spacing w:after="0" w:line="215"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$22 million in the first six months of 2025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in the financial institutions business and lower than expected claim severity in the trade credit, surety and fidelity businesses. Net adverse reserve development of $6 million in the first six months of 2024 reflects higher than anticipated claim severity in the innovative markets and surety businesses, partially offset by lower than anticipated claim frequency in the fidelity and trade credit businesses and lower than expected claim frequency and severity in the financial institutions business.</w:t>
      </w:r>
    </w:p>
    <w:p>
      <w:pPr>
        <w:spacing w:after="0" w:line="233" w:lineRule="exact"/>
        <w:rPr>
          <w:sz w:val="20"/>
          <w:szCs w:val="20"/>
          <w:color w:val="auto"/>
        </w:rPr>
      </w:pPr>
    </w:p>
    <w:p>
      <w:pPr>
        <w:ind w:right="400"/>
        <w:spacing w:after="0"/>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the first six months of 2025 and $2 million in the first six months of 2024 related to business outside the Specialty group that AFG no longer writes.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Catastrophe losses of $110 million in the first six months of 2025 resulted primarily from California wildfires and storms in multiple regions of the United States. Catastrophe losses of $70 million in the first six months of 2024 (before $1 million in net reinstatement premiums) resulted primarily from storms in multiple regions of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$1.05 billion in the first six months of 2025 compared to $984 million for the first six months of 2024, an increase of $64 million (7%). AFG’s underwriting expense ratio was 32.5% for the first six months of 2025 compared to 31.4% for the first six months of 2024, an increase of 1.1 percentage points. Detail of AFG’s property and casualty commissions and other underwriting expenses and underwriting expense ratios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color w:val="auto"/>
              </w:rPr>
              <w:t>Six months ended June 30,</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825"/>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44"/>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color w:val="auto"/>
              </w:rPr>
              <w:t>U/W Exp</w:t>
            </w:r>
          </w:p>
        </w:tc>
        <w:tc>
          <w:tcPr>
            <w:tcW w:w="10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color w:val="auto"/>
              </w:rPr>
              <w:t>% of NEP</w:t>
            </w:r>
          </w:p>
        </w:tc>
        <w:tc>
          <w:tcPr>
            <w:tcW w:w="140" w:type="dxa"/>
            <w:vAlign w:val="bottom"/>
          </w:tcPr>
          <w:p>
            <w:pPr>
              <w:spacing w:after="0"/>
              <w:rPr>
                <w:sz w:val="17"/>
                <w:szCs w:val="17"/>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color w:val="auto"/>
              </w:rPr>
              <w:t>U/W Exp</w:t>
            </w:r>
          </w:p>
        </w:tc>
        <w:tc>
          <w:tcPr>
            <w:tcW w:w="10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 of NEP</w:t>
            </w:r>
          </w:p>
        </w:tc>
        <w:tc>
          <w:tcPr>
            <w:tcW w:w="1140" w:type="dxa"/>
            <w:vAlign w:val="bottom"/>
          </w:tcPr>
          <w:p>
            <w:pPr>
              <w:jc w:val="right"/>
              <w:ind w:right="182"/>
              <w:spacing w:after="0"/>
              <w:rPr>
                <w:sz w:val="20"/>
                <w:szCs w:val="20"/>
                <w:color w:val="auto"/>
              </w:rPr>
            </w:pPr>
            <w:r>
              <w:rPr>
                <w:rFonts w:ascii="Arial" w:cs="Arial" w:eastAsia="Arial" w:hAnsi="Arial"/>
                <w:sz w:val="14"/>
                <w:szCs w:val="14"/>
                <w:color w:val="auto"/>
              </w:rPr>
              <w:t>% of NEP</w:t>
            </w:r>
          </w:p>
        </w:tc>
      </w:tr>
      <w:tr>
        <w:trPr>
          <w:trHeight w:val="21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472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r>
      <w:tr>
        <w:trPr>
          <w:trHeight w:val="210"/>
        </w:trPr>
        <w:tc>
          <w:tcPr>
            <w:tcW w:w="5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w:t>
            </w:r>
          </w:p>
        </w:tc>
      </w:tr>
      <w:tr>
        <w:trPr>
          <w:trHeight w:val="21"/>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28" w:lineRule="exact"/>
        <w:rPr>
          <w:sz w:val="20"/>
          <w:szCs w:val="20"/>
          <w:color w:val="auto"/>
        </w:rPr>
      </w:pPr>
    </w:p>
    <w:p>
      <w:pPr>
        <w:jc w:val="both"/>
        <w:ind w:right="420"/>
        <w:spacing w:after="0" w:line="264" w:lineRule="auto"/>
        <w:rPr>
          <w:sz w:val="20"/>
          <w:szCs w:val="20"/>
          <w:color w:val="auto"/>
        </w:rPr>
      </w:pPr>
      <w:r>
        <w:rPr>
          <w:rFonts w:ascii="Arial" w:cs="Arial" w:eastAsia="Arial" w:hAnsi="Arial"/>
          <w:sz w:val="17"/>
          <w:szCs w:val="17"/>
          <w:color w:val="auto"/>
        </w:rPr>
        <w:t>0.3 percentage points in the first six months of 2025 compared to the first six months of 2024 reflecting changes in the mix of business, partially offset by higher costs for software and other expenses associated with certain initiatives in IT security, customer experience and data analytics.</w:t>
      </w:r>
    </w:p>
    <w:p>
      <w:pPr>
        <w:spacing w:after="0" w:line="203"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1.6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six months of 2025 compared to the first six months of 2024 reflecting higher costs for software and other expenses associated with certain initiatives in IT security, customer experience and data analytics and an increase in average commission rates in the excess and surplus business resulting from changes in reinsurance treaties.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0.1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six months of 2025 compared to the first six months of 2024 reflecting higher costs for software and other expenses associated with certain initiatives in IT security, customer experience and data analytics, partially offset by the impact of higher earned premiums in the financial institutions business on the ratio and a change in the mix of business towards products with lower commission rates.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$349 million in the first six months of 2025 compared to</w:t>
      </w:r>
    </w:p>
    <w:p>
      <w:pPr>
        <w:spacing w:after="0" w:line="7"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$394 million in the first six months of 2024, a decrease of $45 million (11%).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20"/>
              <w:spacing w:after="0"/>
              <w:rPr>
                <w:sz w:val="20"/>
                <w:szCs w:val="20"/>
                <w:color w:val="auto"/>
              </w:rPr>
            </w:pPr>
            <w:r>
              <w:rPr>
                <w:rFonts w:ascii="Arial" w:cs="Arial" w:eastAsia="Arial" w:hAnsi="Arial"/>
                <w:sz w:val="14"/>
                <w:szCs w:val="14"/>
                <w:color w:val="auto"/>
              </w:rPr>
              <w:t>Six months ended June 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56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5"/>
                <w:szCs w:val="15"/>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Change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 Change</w:t>
            </w:r>
          </w:p>
        </w:tc>
      </w:tr>
      <w:tr>
        <w:trPr>
          <w:trHeight w:val="19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560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24</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8%</w:t>
            </w: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560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15,894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15,321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573</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4%</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Yield on fixed maturities (before investment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decrease in the property and casualty insurance segment’s net investment income for the first six months of 2025 compared to the first six months of 2024 reflects the impact of lower returns on AFG’s alternative investments portfolio (partnerships and similar investments and AFG-managed CLOs), partially offset by higher balances of invested assets and higher returns on fixed maturity investments. The property and casualty insurance segment’s overall yield on investments (net investment income as a percentage of average invested assets) was 4.39% for the first six months of 2025 compared to 5.14% for the first six months of 2024, a decrease of 0.75 percentage points. The annualized return earned on alternative investments (partnerships and similar investments and AFG-managed CLOs) was 1.5% in the first six months of 2025 compared to 7.0%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$37 million for the first six months of 2025 compared to $38 million for the first six months of 2024, a decrease of $1 million (3%).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199"/>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832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AFG’s net pretax loss outside of its property and casualty insurance segment (excluding realized gains and losses) totaled $98 million in the first six months of 2025 compared to $96 million in the first six months of 2024, an increase of $2 million (2%).</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details AFG’s loss before income taxes from operations outside of its property and casualty insurance segment for the six months ended June 30, 2025 and 2024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color w:val="auto"/>
              </w:rPr>
              <w:t>Six months ended 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2024</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rPr>
              <w:t>% Change</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42"/>
        </w:trPr>
        <w:tc>
          <w:tcPr>
            <w:tcW w:w="710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26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money</w:t>
            </w:r>
          </w:p>
        </w:tc>
        <w:tc>
          <w:tcPr>
            <w:tcW w:w="96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excluding realized gains and losses</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jc w:val="both"/>
        <w:ind w:right="56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$12 million in the first six months of 2025 compared to $15 million in the first six months of 2024, a decrease of $3 million (20%) reflecting the impact of lower average investment balances.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six months of 2025, AFG collected $48 million in fees for these services compared to $49 million in the first six months of 2024. Management views this fee income, net of the $32 million in the first six months of 2025 and $30 million in the first six months of 2024 in expenses incurred to generate such fees, as a reduction in the cost of underwriting its property and casualty insurance policies. In addition, AFG’s property and casualty insurance businesses earned $11 million during the first six months of 2024 in fees as compensation for providing services related to the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administration of crop insurance business generated by CRS for its former owner prior to the acquisition date.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17"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 xml:space="preserve">Other income in the table above includes $5 million and $6 million in the first six months of 2025 and the first six months of 2024, respectively,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Earnings.” </w:t>
      </w:r>
      <w:r>
        <w:rPr>
          <w:rFonts w:ascii="Arial" w:cs="Arial" w:eastAsia="Arial" w:hAnsi="Arial"/>
          <w:sz w:val="17"/>
          <w:szCs w:val="17"/>
          <w:color w:val="auto"/>
        </w:rPr>
        <w:t>Excluding amounts eliminated in consolidation, AFG recorded other income outside of its property and casualty insurance segment of</w:t>
      </w:r>
      <w:r>
        <w:rPr>
          <w:rFonts w:ascii="Arial" w:cs="Arial" w:eastAsia="Arial" w:hAnsi="Arial"/>
          <w:sz w:val="17"/>
          <w:szCs w:val="17"/>
          <w:i w:val="1"/>
          <w:iCs w:val="1"/>
          <w:color w:val="auto"/>
        </w:rPr>
        <w:t xml:space="preserve"> </w:t>
      </w:r>
      <w:r>
        <w:rPr>
          <w:rFonts w:ascii="Arial" w:cs="Arial" w:eastAsia="Arial" w:hAnsi="Arial"/>
          <w:sz w:val="17"/>
          <w:szCs w:val="17"/>
          <w:color w:val="auto"/>
        </w:rPr>
        <w:t>$3 million in the first six months of 2025 compared to $2 million in the first six months of 2024, an increase of $1 million (50%).</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other expenses of $80 million in the first six months of 2025 compared to $81 million in the first six months of 2024, a decrease of $1 million (1%).</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$38 million in both the first six months of 2025 and the first six months of 2024.</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AFG’s realized gains (losses) on securities were net gains of $5 million in the first six months of 2025 compared to $12 million in the first six months of 2024, a decrease of $7 million (58%). Realized gains (losses) on securities consisted of the following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rPr>
              <w:t>Six months ended June 30,</w:t>
            </w:r>
          </w:p>
        </w:tc>
      </w:tr>
      <w:tr>
        <w:trPr>
          <w:trHeight w:val="199"/>
        </w:trPr>
        <w:tc>
          <w:tcPr>
            <w:tcW w:w="8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rPr>
              <w:t>2024</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3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7"/>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3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$19 million net realized gain from the change in the fair value of equity securities in the first six months of 2025 includes gains of $10 million on investments in manufacturing companies, $6 million on investments in banks and financing companies and $3 million on investments in media companies. The $19 million net realized gain from the change in the fair value of equity securities in the first six months of 2024 includes gains of $13 million on investments in banks and financing companies, $5 million on investments in natural gas companies and $4 million on investments in healthcare companies, partially offset by losses of $4 million on investments in media companies.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jc w:val="both"/>
        <w:ind w:right="260"/>
        <w:spacing w:after="0" w:line="256" w:lineRule="auto"/>
        <w:rPr>
          <w:sz w:val="20"/>
          <w:szCs w:val="20"/>
          <w:color w:val="auto"/>
        </w:rPr>
      </w:pPr>
      <w:r>
        <w:rPr>
          <w:rFonts w:ascii="Arial" w:cs="Arial" w:eastAsia="Arial" w:hAnsi="Arial"/>
          <w:sz w:val="17"/>
          <w:szCs w:val="17"/>
          <w:color w:val="auto"/>
        </w:rPr>
        <w:t xml:space="preserve">AFG’s consolidated provision for income taxes was $98 million for the first six months of 2025 compared to $124 million for the first six months of 2024, a decrease of $26 million (21%). See </w:t>
      </w:r>
      <w:r>
        <w:rPr>
          <w:rFonts w:ascii="Arial" w:cs="Arial" w:eastAsia="Arial" w:hAnsi="Arial"/>
          <w:sz w:val="17"/>
          <w:szCs w:val="17"/>
          <w:i w:val="1"/>
          <w:iCs w:val="1"/>
          <w:color w:val="auto"/>
        </w:rPr>
        <w:t>Note J — “Income Taxes”</w:t>
      </w:r>
      <w:r>
        <w:rPr>
          <w:rFonts w:ascii="Arial" w:cs="Arial" w:eastAsia="Arial" w:hAnsi="Arial"/>
          <w:sz w:val="17"/>
          <w:szCs w:val="17"/>
          <w:color w:val="auto"/>
        </w:rPr>
        <w:t xml:space="preserve"> to the financial statements for an analysis of items affecting AFG’s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RECENTLY ADOPTED ACCOUNTING STANDARDS</w:t>
      </w:r>
    </w:p>
    <w:p>
      <w:pPr>
        <w:spacing w:after="0" w:line="27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B — “Segments of Operations”</w:t>
      </w:r>
      <w:r>
        <w:rPr>
          <w:rFonts w:ascii="Arial" w:cs="Arial" w:eastAsia="Arial" w:hAnsi="Arial"/>
          <w:sz w:val="17"/>
          <w:szCs w:val="17"/>
          <w:color w:val="auto"/>
        </w:rPr>
        <w:t xml:space="preserve"> to the financial statements for accounting guidance adopted in the fourth quarter of 2024, which requires enhanced disclosures about significant segment expenses and a description of the composition of other segment expenses by business segment. The title and position of the chief operating decision maker (“CODM”) and an explanation of how the CODM uses the reported measures of segment profit or loss in assessing segment performance and deciding how to allocate resources is also required to be disclosed.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7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June 30, 2025, AFG has not adopted ASU 2023-09. Management is evaluating the impact of the standard to AFG’s income tax disclosures. Since ASU 2023-09 only requires additional disclosure, the adoption of this guidance will not have an impact on AFG’s results of operations or financial condition.</w:t>
      </w:r>
    </w:p>
    <w:p>
      <w:pPr>
        <w:spacing w:after="0" w:line="20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 xml:space="preserve">In November 2024, the FASB issued ASU No. 2024-03 (“ASU 2024-03”), </w:t>
      </w:r>
      <w:r>
        <w:rPr>
          <w:rFonts w:ascii="Arial" w:cs="Arial" w:eastAsia="Arial" w:hAnsi="Arial"/>
          <w:sz w:val="17"/>
          <w:szCs w:val="17"/>
          <w:i w:val="1"/>
          <w:iCs w:val="1"/>
          <w:color w:val="auto"/>
        </w:rPr>
        <w:t>Income Statement — Reporting Comprehensive Income —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Disaggregation Disclosures (Subtopic 220-40): Disaggregation of Income Statement Expenses. </w:t>
      </w:r>
      <w:r>
        <w:rPr>
          <w:rFonts w:ascii="Arial" w:cs="Arial" w:eastAsia="Arial" w:hAnsi="Arial"/>
          <w:sz w:val="17"/>
          <w:szCs w:val="17"/>
          <w:color w:val="auto"/>
        </w:rPr>
        <w:t>ASU 2024-03 requires additional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disaggregation of specified expense categories in the notes to financial statements. ASU 2024-04 is effective for fiscal years beginning after December 15, 2026, and interim periods within fiscal years beginning after December 15, 2027, with early adoption permitted and applied either prospectively or retrospectively. As of June 30, 2025, AFG has not adopted ASU 2024-03. Management is evaluating the impact of the standard to AFG’s income statement expense disclosures. Since ASU 2024-03 only requires additional disclosures, the adoption of this guidance will not have an impact on AFG’s results of operations or financial condition.</w:t>
      </w:r>
    </w:p>
    <w:p>
      <w:pPr>
        <w:spacing w:after="0" w:line="207"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560"/>
        <w:spacing w:after="0" w:line="301" w:lineRule="auto"/>
        <w:rPr>
          <w:sz w:val="20"/>
          <w:szCs w:val="20"/>
          <w:color w:val="auto"/>
        </w:rPr>
      </w:pPr>
      <w:r>
        <w:rPr>
          <w:rFonts w:ascii="Arial" w:cs="Arial" w:eastAsia="Arial" w:hAnsi="Arial"/>
          <w:sz w:val="17"/>
          <w:szCs w:val="17"/>
          <w:color w:val="auto"/>
        </w:rPr>
        <w:t xml:space="preserve">As of June 30, 2025,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2024 Form 10-K.</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had at June 30, 2025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10,571</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second fiscal quarter of 2025 that materially affected, or are reasonably likely to materially affect, AFG’s internal control over financial reporting.</w:t>
      </w:r>
    </w:p>
    <w:p>
      <w:pPr>
        <w:spacing w:after="0" w:line="206" w:lineRule="exact"/>
        <w:rPr>
          <w:sz w:val="20"/>
          <w:szCs w:val="20"/>
          <w:color w:val="auto"/>
        </w:rPr>
      </w:pPr>
    </w:p>
    <w:p>
      <w:pPr>
        <w:jc w:val="both"/>
        <w:ind w:right="340"/>
        <w:spacing w:after="0" w:line="274"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second fiscal quarter of 2025 that have materially affected, or are reasonably likely to materially affect, AFG’s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2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repurchased shares of its Common Stock during 2025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Average</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of Shares</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Price Paid</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rPr>
              <w:t>Purchased</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rPr>
              <w:t>Per Share</w:t>
            </w:r>
          </w:p>
        </w:tc>
        <w:tc>
          <w:tcPr>
            <w:tcW w:w="1600" w:type="dxa"/>
            <w:vAlign w:val="bottom"/>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or Programs (*)</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462,398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462,398</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5,266,612</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April</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158,899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158,899</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5,107,713</w:t>
            </w:r>
          </w:p>
        </w:tc>
        <w:tc>
          <w:tcPr>
            <w:tcW w:w="0" w:type="dxa"/>
            <w:vAlign w:val="bottom"/>
          </w:tcPr>
          <w:p>
            <w:pPr>
              <w:spacing w:after="0"/>
              <w:rPr>
                <w:sz w:val="1"/>
                <w:szCs w:val="1"/>
                <w:color w:val="auto"/>
              </w:rPr>
            </w:pPr>
          </w:p>
        </w:tc>
      </w:tr>
      <w:tr>
        <w:trPr>
          <w:trHeight w:val="215"/>
        </w:trPr>
        <w:tc>
          <w:tcPr>
            <w:tcW w:w="5280" w:type="dxa"/>
            <w:vAlign w:val="bottom"/>
          </w:tcPr>
          <w:p>
            <w:pPr>
              <w:ind w:left="180"/>
              <w:spacing w:after="0"/>
              <w:rPr>
                <w:sz w:val="20"/>
                <w:szCs w:val="20"/>
                <w:color w:val="auto"/>
              </w:rPr>
            </w:pPr>
            <w:r>
              <w:rPr>
                <w:rFonts w:ascii="Arial" w:cs="Arial" w:eastAsia="Arial" w:hAnsi="Arial"/>
                <w:sz w:val="16"/>
                <w:szCs w:val="16"/>
                <w:color w:val="auto"/>
              </w:rPr>
              <w:t>May</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94,152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122.04</w:t>
            </w:r>
          </w:p>
        </w:tc>
        <w:tc>
          <w:tcPr>
            <w:tcW w:w="10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94,152</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5,013,561</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June</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66,685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66,685</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4,946,876</w:t>
            </w:r>
          </w:p>
        </w:tc>
        <w:tc>
          <w:tcPr>
            <w:tcW w:w="0" w:type="dxa"/>
            <w:vAlign w:val="bottom"/>
          </w:tcPr>
          <w:p>
            <w:pPr>
              <w:spacing w:after="0"/>
              <w:rPr>
                <w:sz w:val="1"/>
                <w:szCs w:val="1"/>
                <w:color w:val="auto"/>
              </w:rPr>
            </w:pPr>
          </w:p>
        </w:tc>
      </w:tr>
      <w:tr>
        <w:trPr>
          <w:trHeight w:val="209"/>
        </w:trPr>
        <w:tc>
          <w:tcPr>
            <w:tcW w:w="5280" w:type="dxa"/>
            <w:vAlign w:val="bottom"/>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782,134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122.53</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782,134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120" w:hanging="412"/>
        <w:spacing w:after="0" w:line="301" w:lineRule="auto"/>
        <w:tabs>
          <w:tab w:leader="none" w:pos="4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2025 under the Plan authorized by AFG’s Board of Directors in May 2021.</w:t>
      </w:r>
    </w:p>
    <w:p>
      <w:pPr>
        <w:spacing w:after="0" w:line="171"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In connection with its stock incentive plans, AFG acquired 42,809 shares (at an average of $120.66 per share) in the first quarter of 2025 and 141 shares (at $124.75 per share) in June 2025.</w:t>
      </w:r>
    </w:p>
    <w:p>
      <w:pPr>
        <w:spacing w:after="0" w:line="18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During the three months ended June 30, 2025,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8180" w:type="dxa"/>
            <w:vAlign w:val="bottom"/>
            <w:gridSpan w:val="2"/>
          </w:tcPr>
          <w:p>
            <w:pPr>
              <w:ind w:left="190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3000" w:type="dxa"/>
            <w:vAlign w:val="bottom"/>
          </w:tcPr>
          <w:p>
            <w:pPr>
              <w:spacing w:after="0"/>
              <w:rPr>
                <w:sz w:val="20"/>
                <w:szCs w:val="20"/>
                <w:color w:val="auto"/>
              </w:rPr>
            </w:pPr>
            <w:r>
              <w:rPr>
                <w:rFonts w:ascii="Arial" w:cs="Arial" w:eastAsia="Arial" w:hAnsi="Arial"/>
                <w:sz w:val="16"/>
                <w:szCs w:val="16"/>
                <w:color w:val="auto"/>
              </w:rPr>
              <w:t>August 7, 2025</w:t>
            </w:r>
          </w:p>
        </w:tc>
        <w:tc>
          <w:tcPr>
            <w:tcW w:w="2660" w:type="dxa"/>
            <w:vAlign w:val="bottom"/>
          </w:tcPr>
          <w:p>
            <w:pPr>
              <w:ind w:left="190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3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3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00"/>
          </w:cols>
          <w:pgMar w:left="320" w:top="116" w:right="37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August 7, 2025</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August 7, 2025</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August 7, 2025</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June 30, 2025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August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upperLetter"/>
      <w:start w:val="1"/>
    </w:lvl>
  </w:abstractNum>
  <w:abstractNum w:abstractNumId="3">
    <w:nsid w:val="721DA317"/>
    <w:multiLevelType w:val="hybridMultilevel"/>
    <w:lvl w:ilvl="0">
      <w:lvlJc w:val="left"/>
      <w:lvlText w:val="(%1)"/>
      <w:numFmt w:val="lowerRoman"/>
      <w:start w:val="3"/>
    </w:lvl>
  </w:abstractNum>
  <w:abstractNum w:abstractNumId="4">
    <w:nsid w:val="2443A858"/>
    <w:multiLevelType w:val="hybridMultilevel"/>
    <w:lvl w:ilvl="0">
      <w:lvlJc w:val="left"/>
      <w:lvlText w:val="%1."/>
      <w:numFmt w:val="upperLetter"/>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upperLetter"/>
      <w:start w:val="3"/>
    </w:lvl>
  </w:abstractNum>
  <w:abstractNum w:abstractNumId="8">
    <w:nsid w:val="8EDBDAB"/>
    <w:multiLevelType w:val="hybridMultilevel"/>
    <w:lvl w:ilvl="0">
      <w:lvlJc w:val="left"/>
      <w:lvlText w:val="%1."/>
      <w:numFmt w:val="upperLetter"/>
      <w:start w:val="4"/>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upperLetter"/>
      <w:start w:val="5"/>
    </w:lvl>
  </w:abstractNum>
  <w:abstractNum w:abstractNumId="14">
    <w:nsid w:val="71F32454"/>
    <w:multiLevelType w:val="hybridMultilevel"/>
    <w:lvl w:ilvl="0">
      <w:lvlJc w:val="left"/>
      <w:lvlText w:val="%1."/>
      <w:numFmt w:val="upperLetter"/>
      <w:start w:val="6"/>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upperLetter"/>
      <w:start w:val="7"/>
    </w:lvl>
  </w:abstractNum>
  <w:abstractNum w:abstractNumId="17">
    <w:nsid w:val="2901D82"/>
    <w:multiLevelType w:val="hybridMultilevel"/>
    <w:lvl w:ilvl="0">
      <w:lvlJc w:val="left"/>
      <w:lvlText w:val="%1."/>
      <w:numFmt w:val="upperLetter"/>
      <w:start w:val="9"/>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upperLetter"/>
      <w:start w:val="10"/>
    </w:lvl>
  </w:abstractNum>
  <w:abstractNum w:abstractNumId="20">
    <w:nsid w:val="1E7FF521"/>
    <w:multiLevelType w:val="hybridMultilevel"/>
    <w:lvl w:ilvl="0">
      <w:lvlJc w:val="left"/>
      <w:lvlText w:val="%1."/>
      <w:numFmt w:val="upperLetter"/>
      <w:start w:val="11"/>
    </w:lvl>
  </w:abstractNum>
  <w:abstractNum w:abstractNumId="21">
    <w:nsid w:val="7C3DBD3D"/>
    <w:multiLevelType w:val="hybridMultilevel"/>
    <w:lvl w:ilvl="0">
      <w:lvlJc w:val="left"/>
      <w:lvlText w:val="%1."/>
      <w:numFmt w:val="upperLetter"/>
      <w:start w:val="12"/>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2025-08-07T11:18:19Z</dcterms:created>
  <dcterms:modified xsi:type="dcterms:W3CDTF">2025-08-07T11:18:19Z</dcterms:modified>
</cp:coreProperties>
</file>