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0001816887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American Financial Group, Inc.</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001-13653</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301 East Fourth Street</w:t>
              <w:br/>
              <w:t>Cincinnati</w:t>
              <w:br/>
              <w:t xml:space="preserve">OHIO </w:t>
              <w:br/>
              <w:t>45202</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513-579-2121</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Brian S. Hertzman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Charles Schwab &amp; Co., Inc.</w:t>
              <w:br/>
              <w:t>211 Main Street</w:t>
              <w:br/>
              <w:t>San Francisco   CA   94105</w:t>
            </w:r>
          </w:p>
        </w:tc>
        <w:tc>
          <w:tcPr>
            <w:tcW w:w="1179" w:type="dxa"/>
            <w:tcBorders/>
            <w:vAlign w:val="center"/>
          </w:tcPr>
          <w:p>
            <w:pPr>
              <w:pStyle w:val="TableContents"/>
              <w:bidi w:val="0"/>
              <w:spacing w:before="0" w:after="283"/>
              <w:jc w:val="left"/>
              <w:rPr/>
            </w:pPr>
            <w:r>
              <w:rPr/>
              <w:t>950</w:t>
            </w:r>
          </w:p>
        </w:tc>
        <w:tc>
          <w:tcPr>
            <w:tcW w:w="1388" w:type="dxa"/>
            <w:tcBorders/>
            <w:vAlign w:val="center"/>
          </w:tcPr>
          <w:p>
            <w:pPr>
              <w:pStyle w:val="TableContents"/>
              <w:bidi w:val="0"/>
              <w:spacing w:before="0" w:after="283"/>
              <w:jc w:val="left"/>
              <w:rPr/>
            </w:pPr>
            <w:r>
              <w:rPr/>
              <w:t>135422.50</w:t>
            </w:r>
          </w:p>
        </w:tc>
        <w:tc>
          <w:tcPr>
            <w:tcW w:w="1562" w:type="dxa"/>
            <w:tcBorders/>
            <w:vAlign w:val="center"/>
          </w:tcPr>
          <w:p>
            <w:pPr>
              <w:pStyle w:val="TableContents"/>
              <w:bidi w:val="0"/>
              <w:spacing w:before="0" w:after="283"/>
              <w:jc w:val="left"/>
              <w:rPr/>
            </w:pPr>
            <w:r>
              <w:rPr/>
              <w:t>82921466</w:t>
            </w:r>
          </w:p>
        </w:tc>
        <w:tc>
          <w:tcPr>
            <w:tcW w:w="1573" w:type="dxa"/>
            <w:tcBorders/>
            <w:vAlign w:val="center"/>
          </w:tcPr>
          <w:p>
            <w:pPr>
              <w:pStyle w:val="TableContents"/>
              <w:bidi w:val="0"/>
              <w:spacing w:before="0" w:after="283"/>
              <w:jc w:val="left"/>
              <w:rPr/>
            </w:pPr>
            <w:r>
              <w:rPr/>
              <w:t>09/01/2026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02/28/2023</w:t>
            </w:r>
          </w:p>
        </w:tc>
        <w:tc>
          <w:tcPr>
            <w:tcW w:w="1430" w:type="dxa"/>
            <w:tcBorders/>
            <w:vAlign w:val="center"/>
          </w:tcPr>
          <w:p>
            <w:pPr>
              <w:pStyle w:val="TableContents"/>
              <w:bidi w:val="0"/>
              <w:spacing w:before="0" w:after="283"/>
              <w:jc w:val="left"/>
              <w:rPr/>
            </w:pPr>
            <w:r>
              <w:rPr/>
              <w:t>Reinvested Dividends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950</w:t>
            </w:r>
          </w:p>
        </w:tc>
        <w:tc>
          <w:tcPr>
            <w:tcW w:w="1046" w:type="dxa"/>
            <w:tcBorders/>
            <w:vAlign w:val="center"/>
          </w:tcPr>
          <w:p>
            <w:pPr>
              <w:pStyle w:val="TableContents"/>
              <w:bidi w:val="0"/>
              <w:spacing w:before="0" w:after="283"/>
              <w:jc w:val="left"/>
              <w:rPr/>
            </w:pPr>
            <w:r>
              <w:rPr/>
              <w:t>02/28/2023</w:t>
            </w:r>
          </w:p>
        </w:tc>
        <w:tc>
          <w:tcPr>
            <w:tcW w:w="1610" w:type="dxa"/>
            <w:tcBorders/>
            <w:vAlign w:val="center"/>
          </w:tcPr>
          <w:p>
            <w:pPr>
              <w:pStyle w:val="TableContents"/>
              <w:bidi w:val="0"/>
              <w:spacing w:before="0" w:after="283"/>
              <w:jc w:val="left"/>
              <w:rPr/>
            </w:pPr>
            <w:r>
              <w:rPr/>
              <w:t>Executive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65"/>
        <w:gridCol w:w="7740"/>
      </w:tblGrid>
      <w:tr>
        <w:trPr/>
        <w:tc>
          <w:tcPr>
            <w:tcW w:w="2465" w:type="dxa"/>
            <w:tcBorders/>
            <w:vAlign w:val="center"/>
          </w:tcPr>
          <w:p>
            <w:pPr>
              <w:pStyle w:val="TableContents"/>
              <w:bidi w:val="0"/>
              <w:spacing w:before="0" w:after="283"/>
              <w:jc w:val="left"/>
              <w:rPr/>
            </w:pPr>
            <w:r>
              <w:rPr/>
              <w:t>Remarks</w:t>
            </w:r>
          </w:p>
        </w:tc>
        <w:tc>
          <w:tcPr>
            <w:tcW w:w="7740" w:type="dxa"/>
            <w:tcBorders/>
            <w:vAlign w:val="center"/>
          </w:tcPr>
          <w:p>
            <w:pPr>
              <w:pStyle w:val="TableContents"/>
              <w:bidi w:val="0"/>
              <w:spacing w:before="0" w:after="0"/>
              <w:jc w:val="left"/>
              <w:rPr/>
            </w:pPr>
            <w:r>
              <w:rPr/>
              <w:t>Shares represent reinvested dividends spanning 2018 to 2023.</w:t>
            </w:r>
          </w:p>
        </w:tc>
      </w:tr>
      <w:tr>
        <w:trPr/>
        <w:tc>
          <w:tcPr>
            <w:tcW w:w="2465" w:type="dxa"/>
            <w:tcBorders/>
            <w:vAlign w:val="center"/>
          </w:tcPr>
          <w:p>
            <w:pPr>
              <w:pStyle w:val="TableContents"/>
              <w:bidi w:val="0"/>
              <w:spacing w:before="0" w:after="283"/>
              <w:jc w:val="left"/>
              <w:rPr/>
            </w:pPr>
            <w:r>
              <w:rPr/>
              <w:t>Date of Notice</w:t>
            </w:r>
          </w:p>
        </w:tc>
        <w:tc>
          <w:tcPr>
            <w:tcW w:w="7740"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65" w:type="dxa"/>
            <w:tcBorders/>
            <w:vAlign w:val="center"/>
          </w:tcPr>
          <w:p>
            <w:pPr>
              <w:pStyle w:val="TableContents"/>
              <w:bidi w:val="0"/>
              <w:spacing w:before="0" w:after="283"/>
              <w:jc w:val="left"/>
              <w:rPr/>
            </w:pPr>
            <w:r>
              <w:rPr/>
              <w:t>Signature</w:t>
            </w:r>
          </w:p>
        </w:tc>
        <w:tc>
          <w:tcPr>
            <w:tcW w:w="7740" w:type="dxa"/>
            <w:tcBorders/>
            <w:vAlign w:val="center"/>
          </w:tcPr>
          <w:p>
            <w:pPr>
              <w:pStyle w:val="TableContents"/>
              <w:bidi w:val="0"/>
              <w:spacing w:before="0" w:after="0"/>
              <w:jc w:val="left"/>
              <w:rPr/>
            </w:pPr>
            <w:r>
              <w:rPr/>
              <w:t>Brian S. Hertzman By: Joseph C. Alter,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2987</Characters>
  <CharactersWithSpaces>3521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