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 the Quarterly Period Ended March 31, 2025</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58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80"/>
          </w:cols>
          <w:pgMar w:left="320" w:top="1182" w:right="49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640"/>
          </w:cols>
          <w:pgMar w:left="320" w:top="1182" w:right="49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800"/>
          </w:cols>
          <w:pgMar w:left="320" w:top="1182" w:right="499" w:bottom="1440" w:gutter="0" w:footer="0" w:header="0"/>
          <w:type w:val="continuous"/>
        </w:sectPr>
      </w:pPr>
    </w:p>
    <w:p>
      <w:pPr>
        <w:ind w:right="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As of May 1, 2025, there were 83,517,982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182"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March 31,</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$10,788 and $10,687; allowance for</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10,568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$41 and $34)</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3,584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83,668,453 and 83,978,258 shares outstanding</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Net earned premiums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1,546</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Realized gains on securities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1,906</w:t>
            </w:r>
          </w:p>
        </w:tc>
      </w:tr>
      <w:tr>
        <w:trPr>
          <w:trHeight w:val="216"/>
        </w:trPr>
        <w:tc>
          <w:tcPr>
            <w:tcW w:w="8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Losses and loss adjustment expenses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Commissions and other underwriting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Interest charges on borrowed money</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1,602</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basic earnings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220" w:type="dxa"/>
            <w:vAlign w:val="bottom"/>
          </w:tcPr>
          <w:p>
            <w:pPr>
              <w:ind w:left="360"/>
              <w:spacing w:after="0"/>
              <w:rPr>
                <w:sz w:val="20"/>
                <w:szCs w:val="20"/>
                <w:color w:val="auto"/>
              </w:rPr>
            </w:pPr>
            <w:r>
              <w:rPr>
                <w:rFonts w:ascii="Arial" w:cs="Arial" w:eastAsia="Arial" w:hAnsi="Arial"/>
                <w:sz w:val="16"/>
                <w:szCs w:val="16"/>
                <w:color w:val="auto"/>
              </w:rPr>
              <w:t>Total diluted earnings</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Basic</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5"/>
                <w:szCs w:val="15"/>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198"/>
        </w:trPr>
        <w:tc>
          <w:tcPr>
            <w:tcW w:w="79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2024</w:t>
            </w:r>
          </w:p>
        </w:tc>
        <w:tc>
          <w:tcPr>
            <w:tcW w:w="460" w:type="dxa"/>
            <w:vAlign w:val="bottom"/>
            <w:tcBorders>
              <w:bottom w:val="single" w:sz="8" w:color="auto"/>
            </w:tcBorders>
          </w:tcPr>
          <w:p>
            <w:pPr>
              <w:spacing w:after="0"/>
              <w:rPr>
                <w:sz w:val="17"/>
                <w:szCs w:val="17"/>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70"/>
        </w:trPr>
        <w:tc>
          <w:tcPr>
            <w:tcW w:w="7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holding gains (losses) on securities arising during the period</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Reclassification adjustment for realized (gains) losses included in net earnings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holding gains (losses) on cash flow hedges arising during the period</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Reclassification adjustment for investment income included in net earnings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7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83,978,258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($2.80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18,932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166,297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15,657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(462,398)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(42,809)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83,668,453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($3.21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92,851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157,681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8,253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(5,172)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83,857,354</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color w:val="auto"/>
              </w:rPr>
              <w:t>Three months ended March 31,</w:t>
            </w:r>
          </w:p>
        </w:tc>
      </w:tr>
      <w:tr>
        <w:trPr>
          <w:trHeight w:val="196"/>
        </w:trPr>
        <w:tc>
          <w:tcPr>
            <w:tcW w:w="83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2024</w:t>
            </w: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purchases of trading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197"/>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Proceeds from:</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Repayments of mortgage loans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fixed maturities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equity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other investments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Managed investment entities: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Purchases of investments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investing activities, net</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197"/>
        </w:trPr>
        <w:tc>
          <w:tcPr>
            <w:tcW w:w="8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Common Stock</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635</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9"/>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7180" w:type="dxa"/>
            <w:vAlign w:val="bottom"/>
            <w:gridSpan w:val="2"/>
          </w:tcPr>
          <w:p>
            <w:pPr>
              <w:ind w:left="74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A.</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G.</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Goodwill and Other Intangibles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B.</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H.</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C.</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I.</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D.</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J.</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E.</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K.</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F.</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Managed Investment Entities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L.</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r>
        <w:trPr>
          <w:trHeight w:val="128"/>
        </w:trPr>
        <w:tc>
          <w:tcPr>
            <w:tcW w:w="4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5140" w:type="dxa"/>
            <w:vAlign w:val="bottom"/>
            <w:tcBorders>
              <w:bottom w:val="single" w:sz="8" w:color="auto"/>
            </w:tcBorders>
          </w:tcPr>
          <w:p>
            <w:pPr>
              <w:spacing w:after="0"/>
              <w:rPr>
                <w:sz w:val="11"/>
                <w:szCs w:val="11"/>
                <w:color w:val="auto"/>
              </w:rPr>
            </w:pPr>
          </w:p>
        </w:tc>
      </w:tr>
    </w:tbl>
    <w:p>
      <w:pPr>
        <w:spacing w:after="0" w:line="303" w:lineRule="exact"/>
        <w:rPr>
          <w:sz w:val="20"/>
          <w:szCs w:val="20"/>
          <w:color w:val="auto"/>
        </w:rPr>
      </w:pPr>
    </w:p>
    <w:p>
      <w:pPr>
        <w:ind w:left="600" w:hanging="592"/>
        <w:spacing w:after="0"/>
        <w:tabs>
          <w:tab w:leader="none" w:pos="600" w:val="left"/>
        </w:tabs>
        <w:numPr>
          <w:ilvl w:val="0"/>
          <w:numId w:val="3"/>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March 31, 2025, and prior to the filing of this Form 10-Q, have been evaluated for potential recognition or disclosure herein.</w:t>
      </w:r>
    </w:p>
    <w:p>
      <w:pPr>
        <w:spacing w:after="0" w:line="206" w:lineRule="exact"/>
        <w:rPr>
          <w:sz w:val="20"/>
          <w:szCs w:val="20"/>
          <w:color w:val="auto"/>
        </w:rPr>
      </w:pPr>
    </w:p>
    <w:p>
      <w:pPr>
        <w:jc w:val="both"/>
        <w:ind w:right="58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material nonrecurring fair value measurements in the first three months of 2025.</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Fixed maturity securities classified as “available for sale” are reported at fair value with unrealized gains and losses included in</w:t>
      </w:r>
      <w:r>
        <w:rPr>
          <w:rFonts w:ascii="Arial" w:cs="Arial" w:eastAsia="Arial" w:hAnsi="Arial"/>
          <w:sz w:val="20"/>
          <w:szCs w:val="20"/>
          <w:b w:val="1"/>
          <w:bCs w:val="1"/>
          <w:color w:val="003366"/>
        </w:rPr>
        <w:t xml:space="preserve"> </w:t>
      </w:r>
      <w:r>
        <w:rPr>
          <w:rFonts w:ascii="Arial" w:cs="Arial" w:eastAsia="Arial" w:hAnsi="Arial"/>
          <w:sz w:val="17"/>
          <w:szCs w:val="17"/>
          <w:color w:val="000000"/>
        </w:rPr>
        <w:t>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spacing w:after="0" w:line="199"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of the investee’s financial statements. AFG’s equity in the earnings (losses) of limited partnerships and similar investments is included in net investment income.</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mortgage-backed securities (“MBS”)) and a total return swap related to its deferred compensation obligations to employees.</w:t>
      </w:r>
    </w:p>
    <w:p>
      <w:pPr>
        <w:spacing w:after="0" w:line="21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14"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29"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05"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F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6"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firstLine="8"/>
        <w:spacing w:after="0" w:line="256"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0"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213" w:lineRule="exact"/>
        <w:rPr>
          <w:sz w:val="20"/>
          <w:szCs w:val="20"/>
          <w:color w:val="auto"/>
        </w:rPr>
      </w:pPr>
    </w:p>
    <w:p>
      <w:pPr>
        <w:jc w:val="both"/>
        <w:ind w:right="300"/>
        <w:spacing w:after="0" w:line="241"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facility are included in other assets in AFG’s Balance Sheet.</w:t>
      </w:r>
    </w:p>
    <w:p>
      <w:pPr>
        <w:spacing w:after="0" w:line="233"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22"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At March 31, 2025, AFG has a $228 million lease liability included in other liabilities and a lease right-of-use asset of $207 million included in other assets compared to $232 million and $212 million, respectively, at December 31, 2024.</w:t>
      </w:r>
    </w:p>
    <w:p>
      <w:pPr>
        <w:spacing w:after="0" w:line="170" w:lineRule="exact"/>
        <w:rPr>
          <w:sz w:val="20"/>
          <w:szCs w:val="20"/>
          <w:color w:val="auto"/>
        </w:rPr>
      </w:pPr>
    </w:p>
    <w:p>
      <w:pPr>
        <w:ind w:right="420"/>
        <w:spacing w:after="0" w:line="237"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720"/>
        <w:spacing w:after="0" w:line="284" w:lineRule="auto"/>
        <w:rPr>
          <w:sz w:val="20"/>
          <w:szCs w:val="20"/>
          <w:color w:val="auto"/>
        </w:rPr>
      </w:pPr>
      <w:r>
        <w:rPr>
          <w:rFonts w:ascii="Arial" w:cs="Arial" w:eastAsia="Arial" w:hAnsi="Arial"/>
          <w:sz w:val="17"/>
          <w:szCs w:val="17"/>
          <w:color w:val="auto"/>
        </w:rPr>
        <w:t>policies in force. On reinsurance assumed from other insurance companies or written through various underwriting organizations, unearned premiums are based on information received from such companies and organizations.</w:t>
      </w:r>
    </w:p>
    <w:p>
      <w:pPr>
        <w:spacing w:after="0" w:line="18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2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84" w:lineRule="exact"/>
        <w:rPr>
          <w:sz w:val="20"/>
          <w:szCs w:val="20"/>
          <w:color w:val="auto"/>
        </w:rPr>
      </w:pPr>
    </w:p>
    <w:p>
      <w:pPr>
        <w:ind w:right="440"/>
        <w:spacing w:after="0" w:line="249"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13"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84"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29"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first three months of 2025 — less than 0.1 million and 2024 — 0.1 million.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first three months of 2025 or 2024.</w:t>
      </w:r>
    </w:p>
    <w:p>
      <w:pPr>
        <w:spacing w:after="0" w:line="249"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assets and costs.</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AFG’s reportable segments and their components were determined based primarily upon similar economic characteristics, products and services. Historically, AFG reported the results of its internal reinsurance facility (that assumes business from several of AFG’s Specialty P&amp;C businesses) in an Other Specialty sub-segment. Beginning in 2025, to be consistent with how the Chief Operating Decision Makers (“CODMs”) currently view and evaluate AFG’s P&amp;C sub-segments, the internal reinsurance results are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included within the same sub-segments as the ceding businesses. The CODMs believe this presentation better reflects the performance of the underlying operating businesses and enhances the financial reporting. Information from prior periods has been recast for consistent presentation. The impacts of all intercompany transactions between segments have been eliminated.</w:t>
      </w:r>
    </w:p>
    <w:p>
      <w:pPr>
        <w:spacing w:after="0" w:line="21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AFG’s CODMs are its Co-CEOs. The CODMs evaluate the performance of the Property and casualty insurance segment based on return on equity and underwriting profit. The CODMs use this measure to allocate resources and make capital decisions.</w:t>
      </w:r>
    </w:p>
    <w:p>
      <w:pPr>
        <w:spacing w:after="0" w:line="18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Sales of property and casualty insurance outside of the United States represented 4% of AFG’s revenues in both the first three months of 2025 and 2024.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assets, revenues and earnings before income taxes by segment and sub-segment.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5"/>
                <w:szCs w:val="15"/>
                <w:color w:val="auto"/>
              </w:rPr>
              <w:t>March 31,</w:t>
            </w:r>
          </w:p>
        </w:tc>
        <w:tc>
          <w:tcPr>
            <w:tcW w:w="200" w:type="dxa"/>
            <w:vAlign w:val="bottom"/>
          </w:tcPr>
          <w:p>
            <w:pPr>
              <w:spacing w:after="0"/>
              <w:rPr>
                <w:sz w:val="14"/>
                <w:szCs w:val="14"/>
                <w:color w:val="auto"/>
              </w:rPr>
            </w:pPr>
          </w:p>
        </w:tc>
        <w:tc>
          <w:tcPr>
            <w:tcW w:w="1340" w:type="dxa"/>
            <w:vAlign w:val="bottom"/>
          </w:tcPr>
          <w:p>
            <w:pPr>
              <w:jc w:val="right"/>
              <w:ind w:right="201"/>
              <w:spacing w:after="0"/>
              <w:rPr>
                <w:sz w:val="20"/>
                <w:szCs w:val="20"/>
                <w:color w:val="auto"/>
              </w:rPr>
            </w:pPr>
            <w:r>
              <w:rPr>
                <w:rFonts w:ascii="Arial" w:cs="Arial" w:eastAsia="Arial" w:hAnsi="Arial"/>
                <w:sz w:val="15"/>
                <w:szCs w:val="15"/>
                <w:color w:val="auto"/>
              </w:rPr>
              <w:t>December 31,</w:t>
            </w:r>
          </w:p>
        </w:tc>
      </w:tr>
      <w:tr>
        <w:trPr>
          <w:trHeight w:val="209"/>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2024</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25,704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25,913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4,923</w:t>
            </w: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30,836</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allocable to sub-segments.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15"/>
        </w:trPr>
        <w:tc>
          <w:tcPr>
            <w:tcW w:w="80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09"/>
        </w:trPr>
        <w:tc>
          <w:tcPr>
            <w:tcW w:w="8060" w:type="dxa"/>
            <w:vAlign w:val="bottom"/>
          </w:tcPr>
          <w:p>
            <w:pPr>
              <w:ind w:left="760"/>
              <w:spacing w:after="0"/>
              <w:rPr>
                <w:sz w:val="20"/>
                <w:szCs w:val="20"/>
                <w:color w:val="auto"/>
              </w:rPr>
            </w:pPr>
            <w:r>
              <w:rPr>
                <w:rFonts w:ascii="Arial" w:cs="Arial" w:eastAsia="Arial" w:hAnsi="Arial"/>
                <w:sz w:val="16"/>
                <w:szCs w:val="16"/>
                <w:color w:val="auto"/>
              </w:rPr>
              <w:t>Total net earned premiums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1,546</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investment income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1,753</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 before realized gains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1,892</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on securities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1,906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Underwriting:</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80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060" w:type="dxa"/>
            <w:vAlign w:val="bottom"/>
          </w:tcPr>
          <w:p>
            <w:pPr>
              <w:ind w:left="320"/>
              <w:spacing w:after="0"/>
              <w:rPr>
                <w:sz w:val="20"/>
                <w:szCs w:val="20"/>
                <w:color w:val="auto"/>
              </w:rPr>
            </w:pPr>
            <w:r>
              <w:rPr>
                <w:rFonts w:ascii="Arial" w:cs="Arial" w:eastAsia="Arial" w:hAnsi="Arial"/>
                <w:sz w:val="16"/>
                <w:szCs w:val="16"/>
                <w:color w:val="auto"/>
              </w:rPr>
              <w:t>Other lines</w:t>
            </w:r>
          </w:p>
        </w:tc>
        <w:tc>
          <w:tcPr>
            <w:tcW w:w="10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underwriting (a)</w:t>
            </w: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Investment and other income, net (b)</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earnings before realized gains and income taxes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on securities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80" w:hanging="412"/>
        <w:spacing w:after="0" w:line="284" w:lineRule="auto"/>
        <w:tabs>
          <w:tab w:leader="none" w:pos="413"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segment expenses, which are losses and loss adjustment expenses and commissions and other underwriting expenses, are shown in the table below by sub-segment.</w:t>
      </w:r>
    </w:p>
    <w:p>
      <w:pPr>
        <w:spacing w:after="0" w:line="9" w:lineRule="exact"/>
        <w:rPr>
          <w:rFonts w:ascii="Arial" w:cs="Arial" w:eastAsia="Arial" w:hAnsi="Arial"/>
          <w:sz w:val="17"/>
          <w:szCs w:val="17"/>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amortization of intangibles and other miscellaneous expenses.</w:t>
      </w:r>
    </w:p>
    <w:p>
      <w:pPr>
        <w:spacing w:after="0" w:line="88" w:lineRule="exact"/>
        <w:rPr>
          <w:rFonts w:ascii="Arial" w:cs="Arial" w:eastAsia="Arial" w:hAnsi="Arial"/>
          <w:sz w:val="17"/>
          <w:szCs w:val="17"/>
          <w:color w:val="auto"/>
        </w:rPr>
      </w:pPr>
    </w:p>
    <w:p>
      <w:pPr>
        <w:ind w:left="420" w:right="480" w:hanging="412"/>
        <w:spacing w:after="0" w:line="284" w:lineRule="auto"/>
        <w:tabs>
          <w:tab w:leader="none" w:pos="417"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expenses of the managed investment entities, interest charges on borrowed money, salaries, depreciation and other general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92"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The following table shows the components of underwriting profit, including significant segment expenses, for the Property and casualty insurance segment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casualty insurance:</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3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casualty:</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3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financial:</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3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lines: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8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 (loss)</w:t>
            </w:r>
          </w:p>
        </w:tc>
        <w:tc>
          <w:tcPr>
            <w:tcW w:w="100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property and casualty insurance segment: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1,546</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15"/>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2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March 31, 2025</w:t>
            </w:r>
          </w:p>
        </w:tc>
        <w:tc>
          <w:tcPr>
            <w:tcW w:w="4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10,568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Approximately 7% of the total assets carried at fair value at March 31, 2025,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84% ($904 million) of the total fair value of Level 3 assets at March 31, 2025. Approximately 68% ($618 million) of these internally developed Level 3 assets are priced using a pricing model that uses a discounted cash flow approach to estimate the fair value of fixed maturity securities. The credit spread applied by management is the significant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left="40" w:right="20"/>
        <w:spacing w:after="0" w:line="266" w:lineRule="auto"/>
        <w:rPr>
          <w:sz w:val="20"/>
          <w:szCs w:val="20"/>
          <w:color w:val="auto"/>
        </w:rPr>
      </w:pPr>
      <w:r>
        <w:rPr>
          <w:rFonts w:ascii="Arial" w:cs="Arial" w:eastAsia="Arial" w:hAnsi="Arial"/>
          <w:sz w:val="17"/>
          <w:szCs w:val="17"/>
          <w:color w:val="auto"/>
        </w:rPr>
        <w:t>unobservable input of the pricing model. In instances where the security is currently callable at par value and the pricing model suggests a higher price, management caps the fair value at par value. The remainder of the internally developed Level 3 investments ($286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ind w:left="40" w:right="80"/>
        <w:spacing w:after="0" w:line="266" w:lineRule="auto"/>
        <w:rPr>
          <w:sz w:val="20"/>
          <w:szCs w:val="20"/>
          <w:color w:val="auto"/>
        </w:rPr>
      </w:pPr>
      <w:r>
        <w:rPr>
          <w:rFonts w:ascii="Arial" w:cs="Arial" w:eastAsia="Arial" w:hAnsi="Arial"/>
          <w:sz w:val="17"/>
          <w:szCs w:val="17"/>
          <w:color w:val="auto"/>
        </w:rPr>
        <w:t>Approximately 11% ($116 million) of the Level 3 assets were investments whose prices were determined based on financial information provided by third party asset managers. Approximately 5% ($50 million) of Level 3 assets were priced using non-binding broker quotes or pricing services, for which there is a lack of transparency as to the inputs used to determine fair value.</w:t>
      </w:r>
    </w:p>
    <w:p>
      <w:pPr>
        <w:spacing w:after="0" w:line="201" w:lineRule="exact"/>
        <w:rPr>
          <w:sz w:val="20"/>
          <w:szCs w:val="20"/>
          <w:color w:val="auto"/>
        </w:rPr>
      </w:pPr>
    </w:p>
    <w:p>
      <w:pPr>
        <w:ind w:left="40" w:right="440"/>
        <w:spacing w:after="0" w:line="274" w:lineRule="auto"/>
        <w:rPr>
          <w:sz w:val="20"/>
          <w:szCs w:val="20"/>
          <w:color w:val="auto"/>
        </w:rPr>
      </w:pPr>
      <w:r>
        <w:rPr>
          <w:rFonts w:ascii="Arial" w:cs="Arial" w:eastAsia="Arial" w:hAnsi="Arial"/>
          <w:sz w:val="17"/>
          <w:szCs w:val="17"/>
          <w:color w:val="auto"/>
        </w:rPr>
        <w:t>Changes in balances of Level 3 financial assets and liabilities carried at fair value during the first three months of 2025 and 2024 are presented below (in millions). The transfers into and out of Level 3 were due to changes in the availability of market observable inputs. All transfers are reflected in the table at fair value as of the end of the reporting period.</w:t>
      </w:r>
    </w:p>
    <w:p>
      <w:pPr>
        <w:spacing w:after="0" w:line="3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Purchases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Balance at March</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w w:val="93"/>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49"/>
              <w:spacing w:after="0"/>
              <w:rPr>
                <w:sz w:val="20"/>
                <w:szCs w:val="20"/>
                <w:color w:val="auto"/>
              </w:rPr>
            </w:pPr>
            <w:r>
              <w:rPr>
                <w:rFonts w:ascii="Arial" w:cs="Arial" w:eastAsia="Arial" w:hAnsi="Arial"/>
                <w:sz w:val="13"/>
                <w:szCs w:val="13"/>
                <w:color w:val="auto"/>
              </w:rPr>
              <w:t>31, 2025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2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Balance at March</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0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9"/>
              <w:spacing w:after="0"/>
              <w:rPr>
                <w:sz w:val="20"/>
                <w:szCs w:val="20"/>
                <w:color w:val="auto"/>
              </w:rPr>
            </w:pPr>
            <w:r>
              <w:rPr>
                <w:rFonts w:ascii="Arial" w:cs="Arial" w:eastAsia="Arial" w:hAnsi="Arial"/>
                <w:sz w:val="13"/>
                <w:szCs w:val="13"/>
                <w:color w:val="auto"/>
              </w:rPr>
              <w:t>31, 2024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7"/>
                <w:szCs w:val="17"/>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March 31, 2025</w:t>
            </w:r>
          </w:p>
        </w:tc>
        <w:tc>
          <w:tcPr>
            <w:tcW w:w="44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March 31, 2025 and December 31, 2024,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March 31, 2025</w:t>
            </w:r>
          </w:p>
        </w:tc>
        <w:tc>
          <w:tcPr>
            <w:tcW w:w="35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Fixed maturities:</w:t>
            </w:r>
          </w:p>
        </w:tc>
        <w:tc>
          <w:tcPr>
            <w:tcW w:w="3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 March 31, 2025 and December 31, 2024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March 31, 2025</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color w:val="auto"/>
              </w:rPr>
              <w:t>December 31, 2024</w:t>
            </w:r>
          </w:p>
        </w:tc>
        <w:tc>
          <w:tcPr>
            <w:tcW w:w="840" w:type="dxa"/>
            <w:vAlign w:val="bottom"/>
            <w:tcBorders>
              <w:bottom w:val="single" w:sz="8" w:color="auto"/>
            </w:tcBorders>
          </w:tcPr>
          <w:p>
            <w:pPr>
              <w:spacing w:after="0"/>
              <w:rPr>
                <w:sz w:val="17"/>
                <w:szCs w:val="17"/>
                <w:color w:val="auto"/>
              </w:rPr>
            </w:pPr>
          </w:p>
        </w:tc>
      </w:tr>
      <w:tr>
        <w:trPr>
          <w:trHeight w:val="145"/>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5"/>
                <w:szCs w:val="15"/>
                <w:color w:val="auto"/>
              </w:rPr>
              <w:t>Cost</w:t>
            </w:r>
          </w:p>
        </w:tc>
        <w:tc>
          <w:tcPr>
            <w:tcW w:w="16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5"/>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investments accounted for using the equity method, by strategy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5"/>
                <w:szCs w:val="15"/>
                <w:color w:val="auto"/>
              </w:rPr>
              <w:t>Net Investment Income</w:t>
            </w:r>
          </w:p>
        </w:tc>
      </w:tr>
      <w:tr>
        <w:trPr>
          <w:trHeight w:val="201"/>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gridSpan w:val="5"/>
          </w:tcPr>
          <w:p>
            <w:pPr>
              <w:ind w:left="1060"/>
              <w:spacing w:after="0"/>
              <w:rPr>
                <w:sz w:val="20"/>
                <w:szCs w:val="20"/>
                <w:color w:val="auto"/>
              </w:rPr>
            </w:pPr>
            <w:r>
              <w:rPr>
                <w:rFonts w:ascii="Arial" w:cs="Arial" w:eastAsia="Arial" w:hAnsi="Arial"/>
                <w:sz w:val="15"/>
                <w:szCs w:val="15"/>
                <w:color w:val="auto"/>
              </w:rPr>
              <w:t>Carrying Value</w:t>
            </w:r>
          </w:p>
        </w:tc>
        <w:tc>
          <w:tcPr>
            <w:tcW w:w="300" w:type="dxa"/>
            <w:vAlign w:val="bottom"/>
          </w:tcPr>
          <w:p>
            <w:pPr>
              <w:spacing w:after="0"/>
              <w:rPr>
                <w:sz w:val="17"/>
                <w:szCs w:val="17"/>
                <w:color w:val="auto"/>
              </w:rPr>
            </w:pPr>
          </w:p>
        </w:tc>
        <w:tc>
          <w:tcPr>
            <w:tcW w:w="2840" w:type="dxa"/>
            <w:vAlign w:val="bottom"/>
            <w:gridSpan w:val="4"/>
          </w:tcPr>
          <w:p>
            <w:pPr>
              <w:jc w:val="right"/>
              <w:ind w:right="420"/>
              <w:spacing w:after="0"/>
              <w:rPr>
                <w:sz w:val="20"/>
                <w:szCs w:val="20"/>
                <w:color w:val="auto"/>
              </w:rPr>
            </w:pPr>
            <w:r>
              <w:rPr>
                <w:rFonts w:ascii="Arial" w:cs="Arial" w:eastAsia="Arial" w:hAnsi="Arial"/>
                <w:sz w:val="15"/>
                <w:szCs w:val="15"/>
                <w:color w:val="auto"/>
              </w:rPr>
              <w:t>Three months ended March 31,</w:t>
            </w:r>
          </w:p>
        </w:tc>
      </w:tr>
      <w:tr>
        <w:trPr>
          <w:trHeight w:val="196"/>
        </w:trPr>
        <w:tc>
          <w:tcPr>
            <w:tcW w:w="4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color w:val="auto"/>
              </w:rPr>
              <w:t>March 31, 2025</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20"/>
              <w:spacing w:after="0"/>
              <w:rPr>
                <w:sz w:val="20"/>
                <w:szCs w:val="20"/>
                <w:color w:val="auto"/>
              </w:rPr>
            </w:pPr>
            <w:r>
              <w:rPr>
                <w:rFonts w:ascii="Arial" w:cs="Arial" w:eastAsia="Arial" w:hAnsi="Arial"/>
                <w:sz w:val="15"/>
                <w:szCs w:val="15"/>
                <w:color w:val="auto"/>
              </w:rPr>
              <w:t>December 31, 2024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21"/>
              <w:spacing w:after="0"/>
              <w:rPr>
                <w:sz w:val="20"/>
                <w:szCs w:val="20"/>
                <w:color w:val="auto"/>
              </w:rPr>
            </w:pPr>
            <w:r>
              <w:rPr>
                <w:rFonts w:ascii="Arial" w:cs="Arial" w:eastAsia="Arial" w:hAnsi="Arial"/>
                <w:sz w:val="15"/>
                <w:szCs w:val="15"/>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color w:val="auto"/>
              </w:rPr>
              <w:t>2024</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360" w:type="dxa"/>
            <w:vAlign w:val="bottom"/>
          </w:tcPr>
          <w:p>
            <w:pPr>
              <w:ind w:left="180"/>
              <w:spacing w:after="0"/>
              <w:rPr>
                <w:sz w:val="20"/>
                <w:szCs w:val="20"/>
                <w:color w:val="auto"/>
              </w:rPr>
            </w:pPr>
            <w:r>
              <w:rPr>
                <w:rFonts w:ascii="Arial" w:cs="Arial" w:eastAsia="Arial" w:hAnsi="Arial"/>
                <w:sz w:val="16"/>
                <w:szCs w:val="16"/>
                <w:color w:val="auto"/>
              </w:rPr>
              <w:t>Total investments accounted for using the equity method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88% of the carrying value relates to underlying investments in multi-family properties as of March 31, 2025 and December 31, 2024.</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$481 million and $457 million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71"/>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March 31, 2025</w:t>
            </w:r>
          </w:p>
        </w:tc>
        <w:tc>
          <w:tcPr>
            <w:tcW w:w="34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158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285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292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96 %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Fixed maturities:</w:t>
            </w:r>
          </w:p>
        </w:tc>
        <w:tc>
          <w:tcPr>
            <w:tcW w:w="3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256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452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86 %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95 %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March 31, 2025, the gross unrealized losses on fixed maturities of $301 million relate to approximately 1,200 securities. Investment grade securities (as determined by nationally recognized rating agencies) represented approximately 96% of the gross unrealized loss and 96%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spacing w:after="0" w:line="195"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March 31,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MBS, CLOs and other asset-backed securities (“ABS”).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first three months of 2025 and 2024, AFG did not purchase any securities with expected credit losses.</w:t>
      </w:r>
    </w:p>
    <w:p>
      <w:pPr>
        <w:spacing w:after="0" w:line="25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March 31, 2025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CLOs and other ABS (average life of approximately 3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6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March 31, 2025 or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investment income earned and investment expenses incurred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5"/>
                <w:szCs w:val="15"/>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2024</w:t>
            </w:r>
          </w:p>
        </w:tc>
        <w:tc>
          <w:tcPr>
            <w:tcW w:w="44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5"/>
        </w:trPr>
        <w:tc>
          <w:tcPr>
            <w:tcW w:w="8060" w:type="dxa"/>
            <w:vAlign w:val="bottom"/>
          </w:tcPr>
          <w:p>
            <w:pPr>
              <w:ind w:left="600"/>
              <w:spacing w:after="0"/>
              <w:rPr>
                <w:sz w:val="20"/>
                <w:szCs w:val="20"/>
                <w:color w:val="auto"/>
              </w:rPr>
            </w:pPr>
            <w:r>
              <w:rPr>
                <w:rFonts w:ascii="Arial" w:cs="Arial" w:eastAsia="Arial" w:hAnsi="Arial"/>
                <w:sz w:val="16"/>
                <w:szCs w:val="16"/>
                <w:color w:val="auto"/>
              </w:rPr>
              <w:t>Change in fair value (*)</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06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Gross investment income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8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investment income</w:t>
            </w: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67" w:lineRule="auto"/>
        <w:tabs>
          <w:tab w:leader="none" w:pos="4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19"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ind w:left="820"/>
              <w:spacing w:after="0"/>
              <w:rPr>
                <w:sz w:val="20"/>
                <w:szCs w:val="20"/>
                <w:color w:val="auto"/>
              </w:rPr>
            </w:pPr>
            <w:r>
              <w:rPr>
                <w:rFonts w:ascii="Arial" w:cs="Arial" w:eastAsia="Arial" w:hAnsi="Arial"/>
                <w:sz w:val="13"/>
                <w:szCs w:val="13"/>
                <w:color w:val="auto"/>
              </w:rPr>
              <w:t>Three months ended March 31, 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647"/>
              <w:spacing w:after="0"/>
              <w:rPr>
                <w:sz w:val="20"/>
                <w:szCs w:val="20"/>
                <w:color w:val="auto"/>
              </w:rPr>
            </w:pPr>
            <w:r>
              <w:rPr>
                <w:rFonts w:ascii="Arial" w:cs="Arial" w:eastAsia="Arial" w:hAnsi="Arial"/>
                <w:sz w:val="13"/>
                <w:szCs w:val="13"/>
                <w:color w:val="auto"/>
              </w:rPr>
              <w:t>Three months ended March 31, 2024</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jc w:val="right"/>
              <w:ind w:right="106"/>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6"/>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w w:val="97"/>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5"/>
                <w:szCs w:val="15"/>
                <w:color w:val="auto"/>
                <w:w w:val="97"/>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All equity securities are carried at fair value through net earnings. AFG recorded net holding gains (losses) on equity securities during the first three months of 2025 and 2024 on securities that were still owned at March 31, 2025 and March 31, 2024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Three months ended March 31,</w:t>
            </w:r>
          </w:p>
        </w:tc>
        <w:tc>
          <w:tcPr>
            <w:tcW w:w="38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color w:val="auto"/>
              </w:rPr>
              <w:t>2024</w:t>
            </w:r>
          </w:p>
        </w:tc>
        <w:tc>
          <w:tcPr>
            <w:tcW w:w="380" w:type="dxa"/>
            <w:vAlign w:val="bottom"/>
            <w:tcBorders>
              <w:bottom w:val="single" w:sz="8" w:color="auto"/>
            </w:tcBorders>
          </w:tcPr>
          <w:p>
            <w:pPr>
              <w:spacing w:after="0"/>
              <w:rPr>
                <w:sz w:val="17"/>
                <w:szCs w:val="17"/>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4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80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rPr>
              <w:t>2025</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6"/>
                <w:szCs w:val="16"/>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color w:val="auto"/>
              </w:rPr>
              <w:t>March 31,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2024</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swaps expire between April 2025 and October 2029) in anticipation of the expected decline in AFG’s portfolio of fixed maturity securities with floating interest rates based on SOFR. The total outstanding notional amount of AFG’s interest rate swaps was $926 million at March 31, 2025 compared to $1.05 billion at December 31, 2024, reflecting scheduled amortization. Amounts reclassified from AOCI to net earnings were losses of $3 million and $7 million in the first three months of 2025 and 2024, respectively. Based on forward interest rate curves at March 31, 2025, management estimates that it will reclassify approximately</w:t>
      </w:r>
    </w:p>
    <w:p>
      <w:pPr>
        <w:spacing w:after="0" w:line="3"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$6 million of pre-tax net losses on interest rate swaps in AOCI to net investment income over the next twelve months. The actual amount will vary based on changes in SOFR. A collateral receivable supporting these swaps of $21 million and $27 million at March 31, 2025 and December 31, 2024, respectively, is included in other assets in AFG’s Balance Sheet.</w:t>
      </w:r>
    </w:p>
    <w:p>
      <w:pPr>
        <w:spacing w:after="0" w:line="20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in 2022. AFG’s Balance Sheet includes a $5 million and a $4 million receivable for collateral posted related to the swap (included in other assets) at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Three months ended March 31,</w:t>
            </w:r>
          </w:p>
        </w:tc>
      </w:tr>
      <w:tr>
        <w:trPr>
          <w:trHeight w:val="198"/>
        </w:trPr>
        <w:tc>
          <w:tcPr>
            <w:tcW w:w="626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20" w:type="dxa"/>
            <w:vAlign w:val="bottom"/>
          </w:tcPr>
          <w:p>
            <w:pPr>
              <w:spacing w:after="0"/>
              <w:rPr>
                <w:sz w:val="17"/>
                <w:szCs w:val="17"/>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color w:val="auto"/>
              </w:rPr>
              <w:t>2024</w:t>
            </w:r>
          </w:p>
        </w:tc>
      </w:tr>
      <w:tr>
        <w:trPr>
          <w:trHeight w:val="20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w:t>
            </w:r>
          </w:p>
        </w:tc>
        <w:tc>
          <w:tcPr>
            <w:tcW w:w="2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5"/>
        </w:trPr>
        <w:tc>
          <w:tcPr>
            <w:tcW w:w="6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6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Realized gains on securities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626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62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6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5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AFG is the investment manager and it has investments ranging from 6.0% to 100% of the most subordinate debt tranche of thirteen active CLOs, which are considered variable interest entities. AFG also owns portions of the senior debt tranches of certain of these CLOs. Upon formation between 2013 and 2025,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5"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$122 million (including $112 million invested in the most subordinate tranches) at March 31, 2025.</w:t>
      </w:r>
    </w:p>
    <w:p>
      <w:pPr>
        <w:spacing w:after="0" w:line="18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In February 2025, AFG formed one new CLO, which issued $406 million face amount of liabilities (including $40 million face amount purchased by AFG). In February 2024, AFG formed one new CLO, which issued $406 million face amount of liabilities (including $32 million face amount purchased by AFG). In the first three months of 2025, one CLO was substantially liquidated in accordance with the CLO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accrued interest</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 (*)</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280" w:hanging="412"/>
        <w:spacing w:after="0" w:line="284" w:lineRule="auto"/>
        <w:tabs>
          <w:tab w:leader="none" w:pos="4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Excludes $30 million invested in a temporary warehousing entity at March 31, 2024 that was established to provide AFG the ability to form a new CLO.</w:t>
      </w:r>
    </w:p>
    <w:p>
      <w:pPr>
        <w:spacing w:after="0" w:line="1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Assets</w:t>
            </w:r>
          </w:p>
        </w:tc>
        <w:tc>
          <w:tcPr>
            <w:tcW w:w="10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080" w:type="dxa"/>
            <w:vAlign w:val="bottom"/>
          </w:tcPr>
          <w:p>
            <w:pPr>
              <w:jc w:val="right"/>
              <w:ind w:right="884"/>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140"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$102 million and $66 million at March 31, 2025 and December 31, 2024, respectively. The aggregate unpaid principal balance of the CLOs’ debt exceeded its carrying value by $209 million and $172 million at those dates, respectively. The CLO assets include loans with an aggregate fair value of $3 million at both March 31, 2025 and December 31, 2024, for which the CLOs are not accruing interest because the loans are in default (aggregate unpaid principal balance of $7 million at March 31, 2025 and $5 million at December 31, 2024).</w:t>
      </w:r>
    </w:p>
    <w:p>
      <w:pPr>
        <w:spacing w:after="0" w:line="206"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$1.24 billion at both March 31, 2025 and December 31, 2024.</w:t>
      </w:r>
    </w:p>
    <w:p>
      <w:pPr>
        <w:spacing w:after="0" w:line="17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$305 million during the first three months of 2025.</w:t>
      </w:r>
    </w:p>
    <w:p>
      <w:pPr>
        <w:spacing w:after="0" w:line="25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Included in other assets in AFG’s Balance Sheet is $198 million at March 31, 2025 and $203 million at December 31, 2024 in amortizable intangible assets related to acquisitions. These amounts are net of accumulated amortization of $64 million and $59 million, respectively. Amortization of intangibles was $5 million in both the first three months of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460" w:type="dxa"/>
            <w:vAlign w:val="bottom"/>
          </w:tcPr>
          <w:p>
            <w:pPr>
              <w:spacing w:after="0"/>
              <w:rPr>
                <w:sz w:val="20"/>
                <w:szCs w:val="20"/>
                <w:color w:val="auto"/>
              </w:rPr>
            </w:pPr>
            <w:r>
              <w:rPr>
                <w:rFonts w:ascii="Arial" w:cs="Arial" w:eastAsia="Arial" w:hAnsi="Arial"/>
                <w:sz w:val="29"/>
                <w:szCs w:val="29"/>
                <w:b w:val="1"/>
                <w:bCs w:val="1"/>
                <w:color w:val="003366"/>
              </w:rPr>
              <w:t>H.</w:t>
            </w:r>
          </w:p>
        </w:tc>
        <w:tc>
          <w:tcPr>
            <w:tcW w:w="4900" w:type="dxa"/>
            <w:vAlign w:val="bottom"/>
          </w:tcPr>
          <w:p>
            <w:pPr>
              <w:ind w:left="16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March 31,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2024</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1"/>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460" w:type="dxa"/>
            <w:vAlign w:val="bottom"/>
            <w:gridSpan w:val="2"/>
          </w:tcPr>
          <w:p>
            <w:pPr>
              <w:jc w:val="right"/>
              <w:ind w:right="1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6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46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34"/>
        </w:trPr>
        <w:tc>
          <w:tcPr>
            <w:tcW w:w="46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2025, the subsequent five years and thereafter are as follows: 2025 — none; 2026 — none; 2027 — none; 2028 — none; 2029 — none; 2030 — $253 million and thereafter — $1.25 billion.</w:t>
      </w:r>
    </w:p>
    <w:p>
      <w:pPr>
        <w:spacing w:after="0" w:line="18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March 31, 2025 or December 31, 2024.</w:t>
      </w:r>
    </w:p>
    <w:p>
      <w:pPr>
        <w:spacing w:after="0" w:line="183"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is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Three months ended March 31, 2025</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Three months ended March 31, 2024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pacing w:after="0" w:line="52"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OCI component</w:t>
            </w:r>
          </w:p>
        </w:tc>
        <w:tc>
          <w:tcPr>
            <w:tcW w:w="5160" w:type="dxa"/>
            <w:vAlign w:val="bottom"/>
          </w:tcPr>
          <w:p>
            <w:pPr>
              <w:ind w:left="20"/>
              <w:spacing w:after="0"/>
              <w:rPr>
                <w:sz w:val="20"/>
                <w:szCs w:val="20"/>
                <w:color w:val="auto"/>
              </w:rPr>
            </w:pPr>
            <w:r>
              <w:rPr>
                <w:rFonts w:ascii="Arial" w:cs="Arial" w:eastAsia="Arial" w:hAnsi="Arial"/>
                <w:sz w:val="15"/>
                <w:szCs w:val="15"/>
                <w:color w:val="auto"/>
              </w:rPr>
              <w:t>Affected line in the statement of earnings</w:t>
            </w:r>
          </w:p>
        </w:tc>
      </w:tr>
      <w:tr>
        <w:trPr>
          <w:trHeight w:val="195"/>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Pretax - Net unrealized gains (losses) on securities</w:t>
            </w:r>
          </w:p>
        </w:tc>
        <w:tc>
          <w:tcPr>
            <w:tcW w:w="100" w:type="dxa"/>
            <w:vAlign w:val="bottom"/>
          </w:tcPr>
          <w:p>
            <w:pPr>
              <w:spacing w:after="0"/>
              <w:rPr>
                <w:sz w:val="16"/>
                <w:szCs w:val="16"/>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Realized gains on securities</w:t>
            </w:r>
          </w:p>
        </w:tc>
      </w:tr>
      <w:tr>
        <w:trPr>
          <w:trHeight w:val="200"/>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Pretax - Net unrealized gains (losses) on cash flow hedges</w:t>
            </w:r>
          </w:p>
        </w:tc>
        <w:tc>
          <w:tcPr>
            <w:tcW w:w="5160" w:type="dxa"/>
            <w:vAlign w:val="bottom"/>
          </w:tcPr>
          <w:p>
            <w:pPr>
              <w:ind w:left="20"/>
              <w:spacing w:after="0"/>
              <w:rPr>
                <w:sz w:val="20"/>
                <w:szCs w:val="20"/>
                <w:color w:val="auto"/>
              </w:rPr>
            </w:pPr>
            <w:r>
              <w:rPr>
                <w:rFonts w:ascii="Arial" w:cs="Arial" w:eastAsia="Arial" w:hAnsi="Arial"/>
                <w:sz w:val="15"/>
                <w:szCs w:val="15"/>
                <w:color w:val="auto"/>
              </w:rPr>
              <w:t>Net investment income</w:t>
            </w:r>
          </w:p>
        </w:tc>
      </w:tr>
      <w:tr>
        <w:trPr>
          <w:trHeight w:val="203"/>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Tax</w:t>
            </w:r>
          </w:p>
        </w:tc>
        <w:tc>
          <w:tcPr>
            <w:tcW w:w="516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r>
    </w:tbl>
    <w:p>
      <w:pPr>
        <w:spacing w:after="0" w:line="360"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three months of 2025, AFG issued 166,297 shares of restricted Common Stock (fair value of $121.89 per share) under the stock incentive plans.</w:t>
      </w:r>
    </w:p>
    <w:p>
      <w:pPr>
        <w:spacing w:after="0" w:line="234"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Total compensation expense related to stock incentive plans of AFG and its subsidiaries was $4 million in both the first three months of 2025 and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5"/>
                <w:szCs w:val="15"/>
                <w:color w:val="auto"/>
              </w:rPr>
              <w:t>Three months ended March 31,</w:t>
            </w:r>
          </w:p>
        </w:tc>
      </w:tr>
      <w:tr>
        <w:trPr>
          <w:trHeight w:val="198"/>
        </w:trPr>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5"/>
                <w:szCs w:val="15"/>
                <w:color w:val="auto"/>
                <w:w w:val="95"/>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5"/>
                <w:szCs w:val="15"/>
                <w:color w:val="auto"/>
              </w:rPr>
              <w:t>2024</w:t>
            </w:r>
          </w:p>
        </w:tc>
      </w:tr>
      <w:tr>
        <w:trPr>
          <w:trHeight w:val="196"/>
        </w:trPr>
        <w:tc>
          <w:tcPr>
            <w:tcW w:w="7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color w:val="auto"/>
              </w:rPr>
              <w:t>% of EBT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color w:val="auto"/>
              </w:rPr>
              <w:t>% of EBT</w:t>
            </w: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stock ownership plan dividend paid deduction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060" w:type="dxa"/>
            <w:vAlign w:val="bottom"/>
          </w:tcPr>
          <w:p>
            <w:pPr>
              <w:ind w:left="220"/>
              <w:spacing w:after="0"/>
              <w:rPr>
                <w:sz w:val="20"/>
                <w:szCs w:val="20"/>
                <w:color w:val="auto"/>
              </w:rPr>
            </w:pPr>
            <w:r>
              <w:rPr>
                <w:rFonts w:ascii="Arial" w:cs="Arial" w:eastAsia="Arial" w:hAnsi="Arial"/>
                <w:sz w:val="16"/>
                <w:szCs w:val="16"/>
                <w:color w:val="auto"/>
              </w:rPr>
              <w:t>Tax exempt interest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060" w:type="dxa"/>
            <w:vAlign w:val="bottom"/>
          </w:tcPr>
          <w:p>
            <w:pPr>
              <w:ind w:left="220"/>
              <w:spacing w:after="0"/>
              <w:rPr>
                <w:sz w:val="20"/>
                <w:szCs w:val="20"/>
                <w:color w:val="auto"/>
              </w:rPr>
            </w:pPr>
            <w:r>
              <w:rPr>
                <w:rFonts w:ascii="Arial" w:cs="Arial" w:eastAsia="Arial" w:hAnsi="Arial"/>
                <w:sz w:val="16"/>
                <w:szCs w:val="16"/>
                <w:color w:val="auto"/>
              </w:rPr>
              <w:t>Nondeductible expenses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operations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706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 as shown in the statement of earnings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M — “Contingencies”</w:t>
      </w:r>
      <w:r>
        <w:rPr>
          <w:rFonts w:ascii="Arial" w:cs="Arial" w:eastAsia="Arial" w:hAnsi="Arial"/>
          <w:sz w:val="17"/>
          <w:szCs w:val="17"/>
          <w:color w:val="auto"/>
        </w:rPr>
        <w:t xml:space="preserve"> of AFG’s 2024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189"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Insurance Reserves </w:t>
      </w:r>
      <w:r>
        <w:rPr>
          <w:rFonts w:ascii="Arial" w:cs="Arial" w:eastAsia="Arial" w:hAnsi="Arial"/>
          <w:sz w:val="17"/>
          <w:szCs w:val="17"/>
          <w:color w:val="000000"/>
        </w:rPr>
        <w:t>The following table provides an analysis of changes in the liability for losses and loss adjustment expenses during the first</w:t>
      </w:r>
      <w:r>
        <w:rPr>
          <w:rFonts w:ascii="Arial" w:cs="Arial" w:eastAsia="Arial" w:hAnsi="Arial"/>
          <w:sz w:val="20"/>
          <w:szCs w:val="20"/>
          <w:b w:val="1"/>
          <w:bCs w:val="1"/>
          <w:color w:val="003366"/>
        </w:rPr>
        <w:t xml:space="preserve"> </w:t>
      </w:r>
      <w:r>
        <w:rPr>
          <w:rFonts w:ascii="Arial" w:cs="Arial" w:eastAsia="Arial" w:hAnsi="Arial"/>
          <w:sz w:val="17"/>
          <w:szCs w:val="17"/>
          <w:color w:val="000000"/>
        </w:rPr>
        <w:t>three months of 2025 and 2024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5"/>
                <w:szCs w:val="15"/>
                <w:color w:val="auto"/>
              </w:rPr>
              <w:t>Three months ended March 31,</w:t>
            </w: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2024</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962</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8,723</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13,970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13,050</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net decrease in the provision for claims of prior years during the first three months of 2025 reflects (i) lower than anticipated losses in the crop business and lower than anticipated claim frequency and severity in the trucking business (within the Property and transportation sub-segment),</w:t>
      </w:r>
    </w:p>
    <w:p>
      <w:pPr>
        <w:ind w:right="320" w:firstLine="8"/>
        <w:spacing w:after="0" w:line="261" w:lineRule="auto"/>
        <w:tabs>
          <w:tab w:leader="none" w:pos="237"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lower than anticipated claim severity in the workers’ compensation businesses (within the Specialty casualty sub-segment) and (iii) lower than anticipated claim frequency and severity in the financial institutions business (within the Specialty financial sub-segment). This favorable development was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higher than anticipated claim severity in the excess liability businesses (within the Specialty casualty sub-segment).</w:t>
      </w:r>
    </w:p>
    <w:p>
      <w:pPr>
        <w:spacing w:after="0" w:line="250"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color w:val="auto"/>
        </w:rPr>
        <w:t>The net decrease in the provision for claims of prior years during the first three months of 2024 reflects (i) lower than anticipated losses in the crop business and lower than expected claim severity in the property and inland marine business (within the Property and transportation sub-segment),</w:t>
      </w:r>
    </w:p>
    <w:p>
      <w:pPr>
        <w:ind w:right="220" w:firstLine="8"/>
        <w:spacing w:after="0" w:line="256" w:lineRule="auto"/>
        <w:tabs>
          <w:tab w:leader="none" w:pos="237"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lower than anticipated claim severity in the workers’ compensation businesses and lower than expected claim frequency and severity in the executive liability business (within the Specialty casualty sub-segment) and (iii) lower than anticipated claim frequency in the fidelity business and lower than expected claim frequency and severity in the financial institutions business (within the Specialty financial sub-segment). This favorable development was partially offset by (i) higher than anticipated claim severity in the excess liability businesses and higher than expected claim frequency and severity in the social services business (within the Specialty casualty sub-segment) and (ii) higher than anticipated claim severity in the innovative markets business (within the Specialty financial sub-segment).</w:t>
      </w:r>
    </w:p>
    <w:p>
      <w:pPr>
        <w:spacing w:after="0" w:line="210"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2025 and 2024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3"/>
                <w:szCs w:val="13"/>
                <w:color w:val="auto"/>
              </w:rPr>
              <w:t>Recoverables from Reinsurers</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2024</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March 31</w:t>
            </w:r>
          </w:p>
        </w:tc>
        <w:tc>
          <w:tcPr>
            <w:tcW w:w="96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5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29</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Managed Investment Entities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36</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30</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38</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38</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32</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spacing w:after="0" w:line="2" w:lineRule="exact"/>
        <w:rPr>
          <w:sz w:val="20"/>
          <w:szCs w:val="20"/>
          <w:color w:val="auto"/>
        </w:rPr>
      </w:pPr>
    </w:p>
    <w:p>
      <w:pPr>
        <w:ind w:left="580" w:right="180" w:hanging="329"/>
        <w:spacing w:after="0" w:line="248"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3" w:lineRule="exact"/>
        <w:rPr>
          <w:rFonts w:ascii="Arial" w:cs="Arial" w:eastAsia="Arial" w:hAnsi="Arial"/>
          <w:sz w:val="17"/>
          <w:szCs w:val="17"/>
          <w:color w:val="auto"/>
        </w:rPr>
      </w:pPr>
    </w:p>
    <w:p>
      <w:pPr>
        <w:ind w:left="580" w:right="800" w:hanging="329"/>
        <w:spacing w:after="0" w:line="253"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or reputation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 and</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w:t>
      </w:r>
    </w:p>
    <w:p>
      <w:pPr>
        <w:spacing w:after="0" w:line="241"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4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41"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0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AFG reported net earnings of $154 million ($1.84 per share, diluted) for the first three months of 2025 compared to $242 million ($2.89 per share, diluted) for the first three months of 2024. The year-over-year decrease was due primarily to lower underwriting profit and lower net investment income from AFG’s alternative investment portfolio, partially offset by the favorable impact on net investment income of higher average balances of investments and higher yields on fixed maturity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Management expects premium growth in many of AFG’s business units and continued strong underwriting results in the ongoing generally favorable property and casualty insurance market. In addition, management anticipates the elevated interest rate environment (since early 2022) will continue to have a positive impact on investment income on fixed maturity investments in 2025.</w:t>
      </w:r>
    </w:p>
    <w:p>
      <w:pPr>
        <w:spacing w:after="0" w:line="20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and other economic conditions may impact premium levels, loss cost trends and investment returns.</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debt maturities until 2030.</w:t>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2"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2024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5"/>
                <w:szCs w:val="15"/>
                <w:color w:val="auto"/>
              </w:rPr>
              <w:t>March 31, 2025</w:t>
            </w:r>
          </w:p>
        </w:tc>
        <w:tc>
          <w:tcPr>
            <w:tcW w:w="320" w:type="dxa"/>
            <w:vAlign w:val="bottom"/>
          </w:tcPr>
          <w:p>
            <w:pPr>
              <w:spacing w:after="0"/>
              <w:rPr>
                <w:sz w:val="17"/>
                <w:szCs w:val="17"/>
                <w:color w:val="auto"/>
              </w:rPr>
            </w:pPr>
          </w:p>
        </w:tc>
        <w:tc>
          <w:tcPr>
            <w:tcW w:w="1100" w:type="dxa"/>
            <w:vAlign w:val="bottom"/>
          </w:tcPr>
          <w:p>
            <w:pPr>
              <w:jc w:val="right"/>
              <w:ind w:right="461"/>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2023</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1,498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26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6,204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6,075</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24.7 %</w:t>
            </w: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2024</w:t>
            </w:r>
          </w:p>
        </w:tc>
        <w:tc>
          <w:tcPr>
            <w:tcW w:w="44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$42 million during the first three months of 2025 and reduced cash flows from operating activities by $124 million in the first three months of 2024, accounting for a $166 million increase in cash flows from operating activities in the 2025 period compared to the 2024 period. As discussed in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$300 million and $231 million in the first three months of 2025 and 2024, respectively.</w:t>
      </w:r>
    </w:p>
    <w:p>
      <w:pPr>
        <w:spacing w:after="0" w:line="208" w:lineRule="exact"/>
        <w:rPr>
          <w:sz w:val="20"/>
          <w:szCs w:val="20"/>
          <w:color w:val="auto"/>
        </w:rPr>
      </w:pPr>
    </w:p>
    <w:p>
      <w:pPr>
        <w:jc w:val="both"/>
        <w:ind w:right="180"/>
        <w:spacing w:after="0" w:line="249"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its property and casualty businesses. Investing activities also include the purchase and disposal of managed investment entity investments, which are presented separately in AFG’s Balance Sheet. Net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investment activity in the managed investment entities was a $218 million source of cash in the first three months of 2025 compared to a $73 million use of cash in the first three months of 2024, accounting for a $291 million increase in net cash provided by investing activities in the first three months of 2025 compared to the same 2024 period.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F — “Managed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Entities” </w:t>
      </w:r>
      <w:r>
        <w:rPr>
          <w:rFonts w:ascii="Arial" w:cs="Arial" w:eastAsia="Arial" w:hAnsi="Arial"/>
          <w:sz w:val="17"/>
          <w:szCs w:val="17"/>
          <w:color w:val="auto"/>
        </w:rPr>
        <w:t>to the financial statements. Excluding the activity of the managed investment entities, investing activities were a $195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use of cash in the first three months of 2025 compared to $82 million in the first three months of 2024.</w:t>
      </w:r>
    </w:p>
    <w:p>
      <w:pPr>
        <w:spacing w:after="0" w:line="205"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issuances and repurchases of common stock and dividend payments. Net cash used in financing activities was $495 million for the first three months of 2025 compared to $90 million in the first three months of 2024, an increase of $405 million. AFG paid cash dividends totaling $233 million in the first three months of 2025 compared to $268 million in the first three months of 2024, a decrease in cash used by financing activities of $35 million. During the first three months of 2025, AFG repurchased $58 million of its Common Stock compared to no repurchases in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comparable 2024 period. Financing activities also include issuances and retirements of managed investment entity liabilities, which are nonrecourse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to AFG and presented separately in AFG’s Balance Sheet. Retirements of managed investment entity liabilities exceeded issuances by $207 million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first three months of 2025 compared to issuances exceeding retirements by $172 million in the first three months of 2024, accounting for 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$379 million increase in net cash used in financing activities in the 2025 period compared to the 2024 period. See </w:t>
      </w:r>
      <w:r>
        <w:rPr>
          <w:rFonts w:ascii="Arial" w:cs="Arial" w:eastAsia="Arial" w:hAnsi="Arial"/>
          <w:sz w:val="17"/>
          <w:szCs w:val="17"/>
          <w:i w:val="1"/>
          <w:iCs w:val="1"/>
          <w:color w:val="auto"/>
        </w:rPr>
        <w:t>Note A — “Accounting Policies —</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Managed Investment Entities”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F — “Managed Investment Entities” </w:t>
      </w:r>
      <w:r>
        <w:rPr>
          <w:rFonts w:ascii="Arial" w:cs="Arial" w:eastAsia="Arial" w:hAnsi="Arial"/>
          <w:sz w:val="17"/>
          <w:szCs w:val="17"/>
          <w:color w:val="auto"/>
        </w:rPr>
        <w:t>to the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67"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16"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19"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During the first three months of 2025, AFG repurchased 462,398 shares of its Common Stock for $58 million and paid a special cash dividend totaling $167 million ($2.00 per share) in March.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2024, AFG paid special cash dividends totaling $545 million ($2.50 per share in February and $4.00 per share in November).</w:t>
      </w:r>
    </w:p>
    <w:p>
      <w:pPr>
        <w:spacing w:after="0" w:line="23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0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At March 31, 2025, AFG (parent) held approximately $323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2024 or the first three months of 2025.</w:t>
      </w:r>
    </w:p>
    <w:p>
      <w:pPr>
        <w:spacing w:after="0" w:line="20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84"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2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AFG’s investment portfolio at March 31, 2025, contained $10.57 billion in fixed maturity securities classified as available for sale and carried at fair value with unrealized gains and losses included in accumulated other comprehensive income (loss) and $71 million in fixed maturities classified as trading with holding gains and losses included in net investment income. In addition, AFG’s investment portfolio includes $531 million in equity securities carried at fair value with holding gains and losses included in realized gains (losses) on securities and $239 million in equity securities carried at fair value with holding gains and losses included in net investment income. AFG’s investment portfolio also includes $2.33 billion in investments accounted for using the equity method (limited partnerships and similar investments).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included in net investment income and is generally recorded on a quarter lag due to the timing of the receipt of the investee’s financial statements.</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89% was priced using pricing services at March 31, 2025 and 3% was priced using non-binding broker quotes. When prices obtained for the same security vary, AFG’s internal investment professionals select the price they believe is most indicative of an exit price. For additional information on determination of fair value, see </w:t>
      </w:r>
      <w:r>
        <w:rPr>
          <w:rFonts w:ascii="Arial" w:cs="Arial" w:eastAsia="Arial" w:hAnsi="Arial"/>
          <w:sz w:val="17"/>
          <w:szCs w:val="17"/>
          <w:i w:val="1"/>
          <w:iCs w:val="1"/>
          <w:color w:val="auto"/>
        </w:rPr>
        <w:t>Note C — “Fair Value Measurements”</w:t>
      </w:r>
      <w:r>
        <w:rPr>
          <w:rFonts w:ascii="Arial" w:cs="Arial" w:eastAsia="Arial" w:hAnsi="Arial"/>
          <w:sz w:val="17"/>
          <w:szCs w:val="17"/>
          <w:color w:val="auto"/>
        </w:rPr>
        <w:t xml:space="preserve"> to the financial statements.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structured securities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6"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March 31, 2025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10,639</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(319)</w:t>
            </w:r>
          </w:p>
        </w:tc>
      </w:tr>
    </w:tbl>
    <w:p>
      <w:pPr>
        <w:spacing w:after="0" w:line="234"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Approximately 95% of the fixed maturities held by AFG at March 31, 2025, were rated “investment grade” (credit rating of AAA to BBB) by nationally recognized rating agencies, 2% were rated “non-investment grade” and 3% were not rated. Investment grade securities generally bear lower yields and lower degrees of risk than those that are unrated and non-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investment grade. Management believes that the high-quality investment portfolio should generate a stable and predictable investment return.</w:t>
      </w:r>
    </w:p>
    <w:p>
      <w:pPr>
        <w:spacing w:after="0" w:line="169"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AFG has approximately $75 million of direct exposure to office commercial real estate through property ownership, mortgages or equity method investments. AFG’s fixed maturity portfolio includes securities (the majority of which are AAA-rated) with a carrying value of approximately $415 million that have minimal exposure to office commercial real estate.</w:t>
      </w:r>
    </w:p>
    <w:p>
      <w:pPr>
        <w:spacing w:after="0" w:line="195"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Summarized information for the unrealized gains and losses recorded in AFG’s Balance Sheet at March 31, 2025, is shown in the following table (dollars in millions). Approximately $484 million of available for sale fixed maturity securities had no unrealized gains or losses at March 31,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w w:val="99"/>
              </w:rPr>
              <w:t>With</w:t>
            </w:r>
          </w:p>
        </w:tc>
      </w:tr>
      <w:tr>
        <w:trPr>
          <w:trHeight w:val="158"/>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3"/>
                <w:szCs w:val="13"/>
                <w:color w:val="auto"/>
              </w:rPr>
            </w:pPr>
          </w:p>
        </w:tc>
        <w:tc>
          <w:tcPr>
            <w:tcW w:w="1140" w:type="dxa"/>
            <w:vAlign w:val="bottom"/>
          </w:tcPr>
          <w:p>
            <w:pPr>
              <w:jc w:val="center"/>
              <w:ind w:right="117"/>
              <w:spacing w:after="0" w:line="158" w:lineRule="exact"/>
              <w:rPr>
                <w:sz w:val="20"/>
                <w:szCs w:val="20"/>
                <w:color w:val="auto"/>
              </w:rPr>
            </w:pPr>
            <w:r>
              <w:rPr>
                <w:rFonts w:ascii="Arial" w:cs="Arial" w:eastAsia="Arial" w:hAnsi="Arial"/>
                <w:sz w:val="15"/>
                <w:szCs w:val="15"/>
                <w:color w:val="auto"/>
              </w:rPr>
              <w:t>Unrealized</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4,715</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5,369</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4,593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5,670</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(301)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844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1,212</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(133)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(55)</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(9)</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(11)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Collateralized loan obligations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(51)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r>
    </w:tbl>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March 31, 2025, based on their fair values. Securities with sinking funds are reported at average maturity. Actual maturities may differ from contractual maturities because certain securities may be called or prepaid by the issuers.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With</w:t>
            </w: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rPr>
              <w:t>Unrealized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w w:val="99"/>
              </w:rPr>
              <w:t>Maturity</w:t>
            </w:r>
          </w:p>
        </w:tc>
        <w:tc>
          <w:tcPr>
            <w:tcW w:w="78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One year or less</w:t>
            </w:r>
          </w:p>
        </w:tc>
        <w:tc>
          <w:tcPr>
            <w:tcW w:w="132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After five years through ten years</w:t>
            </w:r>
          </w:p>
        </w:tc>
        <w:tc>
          <w:tcPr>
            <w:tcW w:w="13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Collateralized loan obligations and other asset-backed securities (average life of approximately 3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27"/>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Mortgage-backed securities (average life of approximately 6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60" w:type="dxa"/>
            <w:vAlign w:val="bottom"/>
          </w:tcPr>
          <w:p>
            <w:pPr>
              <w:spacing w:after="0"/>
              <w:rPr>
                <w:sz w:val="14"/>
                <w:szCs w:val="14"/>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3"/>
                <w:szCs w:val="13"/>
                <w:color w:val="auto"/>
              </w:rPr>
            </w:pPr>
          </w:p>
        </w:tc>
        <w:tc>
          <w:tcPr>
            <w:tcW w:w="1040" w:type="dxa"/>
            <w:vAlign w:val="bottom"/>
          </w:tcPr>
          <w:p>
            <w:pPr>
              <w:jc w:val="center"/>
              <w:ind w:right="78"/>
              <w:spacing w:after="0" w:line="158"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60" w:type="dxa"/>
            <w:vAlign w:val="bottom"/>
          </w:tcPr>
          <w:p>
            <w:pPr>
              <w:spacing w:after="0"/>
              <w:rPr>
                <w:sz w:val="17"/>
                <w:szCs w:val="17"/>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Gain (Loss)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4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rPr>
              <w:t>Fixed Maturities at March 31, 2025</w:t>
            </w:r>
          </w:p>
        </w:tc>
        <w:tc>
          <w:tcPr>
            <w:tcW w:w="46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(46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(798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(129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(1,083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8"/>
                <w:szCs w:val="18"/>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rPr>
              <w:t>Securities with Unrealized Losses at March 31, 2025</w:t>
            </w:r>
          </w:p>
        </w:tc>
        <w:tc>
          <w:tcPr>
            <w:tcW w:w="35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(233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(817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(37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(125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2024 Form 10-K under </w:t>
      </w:r>
      <w:r>
        <w:rPr>
          <w:rFonts w:ascii="Arial" w:cs="Arial" w:eastAsia="Arial" w:hAnsi="Arial"/>
          <w:sz w:val="17"/>
          <w:szCs w:val="17"/>
          <w:i w:val="1"/>
          <w:iCs w:val="1"/>
          <w:color w:val="auto"/>
        </w:rPr>
        <w:t>Management’s Discussion and Analysis — “Investments.”</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March 31, 2025.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41"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F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March 31, 2025</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46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26,568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17,680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17,680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4,496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26,568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2024</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16,026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10,844</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March 31, 2025</w:t>
            </w:r>
          </w:p>
        </w:tc>
        <w:tc>
          <w:tcPr>
            <w:tcW w:w="38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March 31, 2024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52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of $2 million in the first three months of 2025 and $14 million in the first three months of 2024, representing the change in fair value of AFG’s CLO investments and $3 million in both the first three months of 2025 and 2024, in CLO management fees earned.</w:t>
      </w:r>
    </w:p>
    <w:p>
      <w:pPr>
        <w:spacing w:after="0" w:line="1" w:lineRule="exact"/>
        <w:rPr>
          <w:rFonts w:ascii="Arial" w:cs="Arial" w:eastAsia="Arial" w:hAnsi="Arial"/>
          <w:sz w:val="14"/>
          <w:szCs w:val="14"/>
          <w:color w:val="auto"/>
        </w:rPr>
      </w:pPr>
    </w:p>
    <w:p>
      <w:pPr>
        <w:ind w:left="420" w:right="30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$8 million and $9 million in the first three months of 2025 and 2024, respectively, in distributions recorded as interest expense by the CLOs.</w:t>
      </w: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Realized gains on securities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Earnings before income taxes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Core operating earnings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8220" w:type="dxa"/>
            <w:vAlign w:val="bottom"/>
          </w:tcPr>
          <w:p>
            <w:pPr>
              <w:ind w:left="440"/>
              <w:spacing w:after="0"/>
              <w:rPr>
                <w:sz w:val="20"/>
                <w:szCs w:val="20"/>
                <w:color w:val="auto"/>
              </w:rPr>
            </w:pPr>
            <w:r>
              <w:rPr>
                <w:rFonts w:ascii="Arial" w:cs="Arial" w:eastAsia="Arial" w:hAnsi="Arial"/>
                <w:sz w:val="16"/>
                <w:szCs w:val="16"/>
                <w:color w:val="auto"/>
              </w:rPr>
              <w:t>Non-core item:</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on securities</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2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provision for income taxes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Core net operating earnings</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gains on securities</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Diluted per share amounts: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Core net operating earnings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Realized gains on securities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Net earnings were $154 million in the first three months of 2025 compared to $242 million in the first three months of 2024 reflecting lower core net operating earnings and lower net realized gains on securities in the first three months of 2025 compared to the first three months of 2024. Core net operating earnings for the first three months of 2025 decreased $79 million compared to the first three months of 2024 reflecting lower underwriting profit and lower net investment income from AFG’s alternative investment portfolio (partnerships and similar investments and AFG-managed CLOs), partially offset by higher investment income outside of alternative investments. Net realized gains on securities in the first three months of 2025 and 2024 include after-tax gains of $5 million and $15 million, respectively, resulting from the change in fair value of equity securities that were still held at the balance sheet date.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580"/>
        <w:spacing w:after="0" w:line="298" w:lineRule="auto"/>
        <w:rPr>
          <w:sz w:val="20"/>
          <w:szCs w:val="20"/>
          <w:color w:val="auto"/>
        </w:rPr>
      </w:pPr>
      <w:r>
        <w:rPr>
          <w:rFonts w:ascii="Arial" w:cs="Arial" w:eastAsia="Arial" w:hAnsi="Arial"/>
          <w:sz w:val="29"/>
          <w:szCs w:val="29"/>
          <w:b w:val="1"/>
          <w:bCs w:val="1"/>
          <w:color w:val="003366"/>
        </w:rPr>
        <w:t>RESULTS OF OPERATIONS — THREE MONTHS ENDED MARCH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March 31, 2025 and 2024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Consol.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MIEs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March 31, 2025</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4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Realized gains on securities,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March 31,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on securities,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$246 million in pretax earnings in the first three months of 2025 compared to</w:t>
      </w:r>
    </w:p>
    <w:p>
      <w:pPr>
        <w:spacing w:after="0" w:line="23"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$340 million in the first three months of 2024, a decrease of $94 million (28%). The decrease in pretax earnings reflects lower underwriting profit and lower investment income from AFG’s alternative investment portfolio (partnerships and similar investments and AFG-managed CLOs), partially offset by higher investment income outside of alternative investments in the first three months of 2025 compared to the first three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31, 2025 and 2024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33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2,291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(65 %)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1,580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1,546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2 %</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907</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6 %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486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7 %</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153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6"/>
        </w:trPr>
        <w:tc>
          <w:tcPr>
            <w:tcW w:w="6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1000" w:type="dxa"/>
            <w:vAlign w:val="bottom"/>
            <w:tcBorders>
              <w:bottom w:val="single" w:sz="8" w:color="auto"/>
            </w:tcBorders>
          </w:tcPr>
          <w:p>
            <w:pPr>
              <w:jc w:val="right"/>
              <w:ind w:right="802"/>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246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340</w:t>
            </w:r>
          </w:p>
        </w:tc>
        <w:tc>
          <w:tcPr>
            <w:tcW w:w="1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(28 %)</w:t>
            </w:r>
          </w:p>
        </w:tc>
      </w:tr>
      <w:tr>
        <w:trPr>
          <w:trHeight w:val="21"/>
        </w:trPr>
        <w:tc>
          <w:tcPr>
            <w:tcW w:w="65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9"/>
        </w:trPr>
        <w:tc>
          <w:tcPr>
            <w:tcW w:w="65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color w:val="auto"/>
              </w:rPr>
              <w:t>Change</w:t>
            </w:r>
          </w:p>
        </w:tc>
      </w:tr>
      <w:tr>
        <w:trPr>
          <w:trHeight w:val="19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Combined Ratios: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Specialty lines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and LAE ratio</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2.4 %</w:t>
            </w:r>
          </w:p>
        </w:tc>
      </w:tr>
      <w:tr>
        <w:trPr>
          <w:trHeight w:val="215"/>
        </w:trPr>
        <w:tc>
          <w:tcPr>
            <w:tcW w:w="6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Underwriting expense ratio</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1.5 %</w:t>
            </w:r>
          </w:p>
        </w:tc>
      </w:tr>
      <w:tr>
        <w:trPr>
          <w:trHeight w:val="235"/>
        </w:trPr>
        <w:tc>
          <w:tcPr>
            <w:tcW w:w="6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Combined ratio</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90.1 %</w:t>
            </w:r>
          </w:p>
        </w:tc>
        <w:tc>
          <w:tcPr>
            <w:tcW w:w="13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3.9 %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116" w:right="339" w:bottom="1440" w:gutter="0" w:footer="0" w:header="0"/>
        </w:sect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61.1 %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58.6 %</w:t>
            </w:r>
          </w:p>
        </w:tc>
        <w:tc>
          <w:tcPr>
            <w:tcW w:w="12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90.1 %</w:t>
            </w:r>
          </w:p>
        </w:tc>
        <w:tc>
          <w:tcPr>
            <w:tcW w:w="124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-590550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20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$2.29 billion for the first three months of 2025 compared to $2.34 billion for the first three months of 2024, a decrease of $45 million (2%). Detail of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color w:val="auto"/>
              </w:rPr>
              <w:t>GWP</w:t>
            </w:r>
          </w:p>
        </w:tc>
        <w:tc>
          <w:tcPr>
            <w:tcW w:w="94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16 %</w:t>
            </w:r>
          </w:p>
        </w:tc>
      </w:tr>
      <w:tr>
        <w:trPr>
          <w:trHeight w:val="209"/>
        </w:trPr>
        <w:tc>
          <w:tcPr>
            <w:tcW w:w="536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Reinsurance premiums ceded (“Ceded”) for AFG’s property and casualty insurance segment were 30% of gross written premiums for both the first three months of 2025 and the first three months of 2024. Detail of reinsurance premiums ceded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rPr>
              <w:t>Three months ended March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9"/>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color w:val="auto"/>
              </w:rPr>
              <w:t>Ceded</w:t>
            </w: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9"/>
        </w:trPr>
        <w:tc>
          <w:tcPr>
            <w:tcW w:w="52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 %</w:t>
            </w:r>
          </w:p>
        </w:tc>
      </w:tr>
      <w:tr>
        <w:trPr>
          <w:trHeight w:val="21"/>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17"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Net written premiums (“NWP”) for AFG’s property and casualty insurance segment were $1.61 billion for the first three months of 2025 compared to $1.63 billion for the first three months of 2024, a decrease of $23 million (1%). Detail of net written premiums is shown below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9"/>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color w:val="auto"/>
              </w:rPr>
              <w:t>NWP</w:t>
            </w:r>
          </w:p>
        </w:tc>
        <w:tc>
          <w:tcPr>
            <w:tcW w:w="96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18 %</w:t>
            </w:r>
          </w:p>
        </w:tc>
      </w:tr>
      <w:tr>
        <w:trPr>
          <w:trHeight w:val="210"/>
        </w:trPr>
        <w:tc>
          <w:tcPr>
            <w:tcW w:w="532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Net earned premiums (“NEP”) for AFG’s property and casualty insurance segment were $1.58 billion for the first three months of 2025 compared to $1.55 billion for the first three months of 2024, an increase of $34 million (2%). Detail of net earned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8"/>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4"/>
                <w:szCs w:val="14"/>
                <w:color w:val="auto"/>
              </w:rPr>
              <w:t>NEP</w:t>
            </w:r>
          </w:p>
        </w:tc>
        <w:tc>
          <w:tcPr>
            <w:tcW w:w="98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51 %</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1 %</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18 %</w:t>
            </w:r>
          </w:p>
        </w:tc>
      </w:tr>
      <w:tr>
        <w:trPr>
          <w:trHeight w:val="209"/>
        </w:trPr>
        <w:tc>
          <w:tcPr>
            <w:tcW w:w="524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2 %</w:t>
            </w:r>
          </w:p>
        </w:tc>
      </w:tr>
      <w:tr>
        <w:trPr>
          <w:trHeight w:val="21"/>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Gross written premiums for the first three months of 2025 decreased $45 million (2%) compared to the first three months of 2024. Year-over-year premium growth continues to be achieved in selected businesses as a result of a combination of new business opportunities, a good renewal rate environment and increased exposures. However, strategic decisions to</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optimize long-term results, including the non-renewal of certain under-performing accounts, and proactive underwriting measures to address the impact of social inflation and competitive market conditions in selected lines of business, tempered growth in the current year quarter. Overall average renewal rates increased approximately 5% in the first three months of 2025. Excluding the workers’ compensation businesses, renewal rates increased approximately 7%.</w:t>
      </w:r>
    </w:p>
    <w:p>
      <w:pPr>
        <w:spacing w:after="0" w:line="200"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decreased $62 million (6%) in the first three months of 2025 compared to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This decrease was due primarily to the non-renewal of a few large policies in the agricultural and transportation businesses, coupled with elevated pricing competition in the transportation businesses. These decreases were partially offset by new business opportunities, a favorable rate environment and higher exposures. Average renewal rates increased approximately 7% for this group in the first three months of 2025. Reinsurance premiums ceded as a percentage of gross written premiums decreased 1 percentage point in the first three months of 2025 compared to the first three months of 2024 reflecting the impact of lower premiums in the crop business, which cedes a larger percentage of premiums than some of the other businesses in the Property and transportation sub-segment.</w:t>
      </w:r>
    </w:p>
    <w:p>
      <w:pPr>
        <w:spacing w:after="0" w:line="211"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decreased $29 million (3%) in the first three months of 2025 compared to the first three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The lower year-over-year premiums were primarily attributed to the excess liability, executive liability and workers’ compensation businesses and were partially offset by higher year-over-year premiums in the mergers and acquisitions liability business and new business opportunities and favorable renewal pricing in several of the other Specialty casualty businesses. Average renewal rates increased approximately 6% for this group in the first three months of 2025. Excluding the workers’ compensation businesses, renewal rates for this group increased 9%. Reinsurance premiums ceded as a percentage of gross written premiums increased 1 percentage point in the first three months of 2025 compared to the first three months of 2024. Higher cessions, higher reinsurance costs and higher reinstatement premiums paid to reinsurers in the excess liability business and growth in the mergers and acquisitions liability business, which cedes a larger percentage of premiums than some of the other businesses in the Specialty casualty sub-segment, was partially offset by the impact of exiting certain housing-related products in the social services business which were heavily reinsured.</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$46 million (16%) in the first three months of 2025 compared to the first three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due primarily to growth in the financial institutions business. Average renewal rates increased approximately 2% for this group in the first three months of 2025. Reinsurance premiums ceded as a percentage of gross written premiums decreased 1 percentage point in the first three months of 2025 compared to the first three months of 2024 reflecting growth in the financial institutions business, which cedes a lower percentage of premiums than some of the other businesses in the Specialty financial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62.1 %</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37</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64.2 %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20</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41.1 %</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40.5 %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37</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61.0 %</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58.6 %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94</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61.1 %</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58.6 %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94.1 %</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94</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-4208145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-3933825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-3634105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-3342640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-3068320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-2767965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-2476500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-2202815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-1902460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-1610995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-1336675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-1036955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-745490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-471170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-170815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16" w:right="339" w:bottom="1440" w:gutter="0" w:footer="0" w:header="0"/>
          <w:type w:val="continuous"/>
        </w:sectPr>
      </w:pP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Specialty property and casualty insurance operations generated an underwriting profit of $94 million in the first three months of 2025 compared to $154 million in the first three months of 2024, a decrease of $60 million (39%). Higher year-over-year underwriting profit in the Specialty financial sub-segment was more than offset by lower underwriting profit in the Property and transportation and Specialty casualty sub-segments. Overall catastrophe losses were $72 million (4.5 points on the combined ratio) in the first three months of 2025 compared to catastrophe losses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$35 million (2.3 points), including $1 million in net reinstatement premiums in the first three months of 2024.</w:t>
      </w:r>
    </w:p>
    <w:p>
      <w:pPr>
        <w:spacing w:after="0" w:line="23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$37 million for the first three months of 2025 compared to $60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first three months of 2024, a decrease of $23 million (38%). This decrease was due primarily to lower year-over-year underwriting profit in the crop insurance business and the impact of particularly strong 2024 first quarter results in the property and inland marine business. Catastrophe losses were $10 million (2.0 points on the combined ratio) in the first three months of 2025 compared to $9 million (1.7 points) in the first three months of 2024.</w:t>
      </w:r>
    </w:p>
    <w:p>
      <w:pPr>
        <w:spacing w:after="0" w:line="219" w:lineRule="exact"/>
        <w:rPr>
          <w:sz w:val="20"/>
          <w:szCs w:val="20"/>
          <w:color w:val="auto"/>
        </w:rPr>
      </w:pPr>
    </w:p>
    <w:p>
      <w:pPr>
        <w:jc w:val="both"/>
        <w:ind w:right="80"/>
        <w:spacing w:after="0" w:line="234"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$20 million for the first three months of 2025 compared to $61 million for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a decrease of $41 million (67%), reflecting lower underwriting profit in the workers’ compensation and executive liability businesses and higher catastrophe losses. Catastrophe losses were $27 million (3.4 points on the combined ratio) in the first three months of 2025 compared to catastrophe losses of $19 million (2.4 points), including $1 million in net reinstatement premiums in the first three months of 2024.</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$37 million for the first three months of 2025 compared to $33 million in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an increase of $4 million (12%). Favorable prior year reserve development and improved accident year results were partially offset by higher year-over-year catastrophe losses. Catastrophe losses were $35 million (11.9 points on the combined ratio) in the first three months of 2025 compared to $7 million (3.2 points) in the first three months of 2024.</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the first three months of 2024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AFG’s overall loss and LAE ratio was 61.1% for the first three months of 2025 compared to 58.6% for the first three months of 2024, an increase of 2.5 percentage points. The components of AFG’s property and casualty losses and LAE amounts and ratio are detailed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Three months ended 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520"/>
              <w:spacing w:after="0"/>
              <w:rPr>
                <w:sz w:val="20"/>
                <w:szCs w:val="20"/>
                <w:color w:val="auto"/>
              </w:rPr>
            </w:pPr>
            <w:r>
              <w:rPr>
                <w:rFonts w:ascii="Arial" w:cs="Arial" w:eastAsia="Arial" w:hAnsi="Arial"/>
                <w:sz w:val="14"/>
                <w:szCs w:val="14"/>
                <w:color w:val="auto"/>
              </w:rPr>
              <w:t>Amount</w:t>
            </w:r>
          </w:p>
        </w:tc>
        <w:tc>
          <w:tcPr>
            <w:tcW w:w="1420" w:type="dxa"/>
            <w:vAlign w:val="bottom"/>
            <w:gridSpan w:val="3"/>
          </w:tcPr>
          <w:p>
            <w:pPr>
              <w:ind w:left="960"/>
              <w:spacing w:after="0"/>
              <w:rPr>
                <w:sz w:val="20"/>
                <w:szCs w:val="20"/>
                <w:color w:val="auto"/>
              </w:rPr>
            </w:pPr>
            <w:r>
              <w:rPr>
                <w:rFonts w:ascii="Arial" w:cs="Arial" w:eastAsia="Arial" w:hAnsi="Arial"/>
                <w:sz w:val="14"/>
                <w:szCs w:val="14"/>
                <w:color w:val="auto"/>
              </w:rPr>
              <w:t>Ratio</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58.7 %</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63.2 %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64.2 %</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40.5 %</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57.8% for the first three months of 2025 compared to 59.6% for the first three months of 2024, an improvement of 1.8 percentage points.</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1.8 percentage points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lower premiums in the crop business, which has a higher loss and LAE ratio than some of the other businesses in the Property and transportation sub-segment and the impact of a large property loss in the first quarter of 2024.</w:t>
      </w:r>
    </w:p>
    <w:p>
      <w:pPr>
        <w:spacing w:after="0" w:line="216" w:lineRule="exact"/>
        <w:rPr>
          <w:sz w:val="20"/>
          <w:szCs w:val="20"/>
          <w:color w:val="auto"/>
        </w:rPr>
      </w:pPr>
    </w:p>
    <w:p>
      <w:pPr>
        <w:jc w:val="both"/>
        <w:ind w:right="28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0.6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social services business in the first quarter of 2025, partially offset by higher losses in the excess and surplus businesses.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1.1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and 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0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$20 million in the first three months of 2025 compared to $51 million in the first three months of 2024, a decrease of $31 million (61%).</w:t>
      </w:r>
    </w:p>
    <w:p>
      <w:pPr>
        <w:spacing w:after="0" w:line="216" w:lineRule="exact"/>
        <w:rPr>
          <w:sz w:val="20"/>
          <w:szCs w:val="20"/>
          <w:color w:val="auto"/>
        </w:rPr>
      </w:pPr>
    </w:p>
    <w:p>
      <w:pPr>
        <w:jc w:val="both"/>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$19 million in the first three months of 2025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and lower than anticipated claim frequency and severity in the trucking business. Net favorable reserve development of $46 million in the first three months of 2024 reflects lower than anticipated losses in the crop business and lower than expected claim severity in the property and inland marine business.</w:t>
      </w:r>
    </w:p>
    <w:p>
      <w:pPr>
        <w:spacing w:after="0" w:line="218"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adverse reserve development of $12 million in the first three months of 2025 reflects higher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excess liability businesses partially offset by lower than anticipated claim severity in the workers’ compensation businesses. Net favorable reserve development of $11 million in the first three months of 2024 reflects lower than anticipated claim severity in the workers’ compensation businesses and lower than expected claim frequency and severity in the executive liability business, partially offset by higher than anticipated claim severity in the excess liability businesses and higher than expected claim frequency and severity in the social services business.</w:t>
      </w:r>
    </w:p>
    <w:p>
      <w:pPr>
        <w:spacing w:after="0" w:line="21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$13 million in the first three months of 2025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and severity in the financial institutions business. Net adverse reserve development of $6 million in the first three months of 2024 reflects higher than anticipated claim severity in the innovative markets business, partially offset by lower than anticipated claim frequency in the fidelity business and lower than expected claim frequency and severity in the financial institutions business.</w:t>
      </w:r>
    </w:p>
    <w:p>
      <w:pPr>
        <w:spacing w:after="0" w:line="218" w:lineRule="exact"/>
        <w:rPr>
          <w:sz w:val="20"/>
          <w:szCs w:val="20"/>
          <w:color w:val="auto"/>
        </w:rPr>
      </w:pPr>
    </w:p>
    <w:p>
      <w:pPr>
        <w:jc w:val="both"/>
        <w:ind w:right="38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the first three months of 2024 related to business outside of the Specialty group that AFG no longer writes.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AFG currently has comprehensive property catastrophe reinsurance coverage in place (including a $70 million per occurrence net retention) for losses up to $625 million in the vast majority of circumstances. This coverage consists of a combination of $245 million from traditional reinsurance and $310 million of coverage through a fully collateralized catastrophe bond (effective May 1, 2025 for losses occurring through December 31, 2028).Based on data available at December 31, 2024, management estimates that AFG’s exposure to a catastrophic earthquake or windstorm that industry models indicate should statistically occur once in every 500 years is just over 2% of AFG’s Shareholders’ Equity.</w:t>
      </w:r>
    </w:p>
    <w:p>
      <w:pPr>
        <w:spacing w:after="0" w:line="210"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Catastrophe losses of $72 million in the first three months of 2025 resulted primarily from California wildfires. Catastrophe losses of $34 million (before $1 million in net reinstatement premiums) in the first three months of 2024 resulted primarily from winter and convective storms in multiple regions of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$521 million in the first three months of 2025 compared to $486 million for the first three months of 2024, an increase of $35 million (7%). AFG’s underwriting expense ratio, calculated as commissions and other underwriting expenses divided by net premiums earned, was 33.0% for the first three months of 2025 compared to 31.5% for the first three months of 2024, an increase of</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1.5 percentage points. Detail of AFG’s property and casualty commissions and other underwriting expenses and underwriting expense ratios is shown below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5"/>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4"/>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0.6 %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30.0 %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2.0 %</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60" w:type="dxa"/>
            <w:vAlign w:val="bottom"/>
            <w:tcBorders>
              <w:bottom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60" w:type="dxa"/>
            <w:vAlign w:val="bottom"/>
            <w:tcBorders>
              <w:bottom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0"/>
        </w:trPr>
        <w:tc>
          <w:tcPr>
            <w:tcW w:w="4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521</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33.0 %</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31.5 %</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1.5 %</w:t>
            </w:r>
          </w:p>
        </w:tc>
      </w:tr>
      <w:tr>
        <w:trPr>
          <w:trHeight w:val="20"/>
        </w:trPr>
        <w:tc>
          <w:tcPr>
            <w:tcW w:w="4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increased</w:t>
      </w:r>
    </w:p>
    <w:p>
      <w:pPr>
        <w:spacing w:after="0" w:line="1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0.6 percentage points in the first three months of 2025 compared to the first three months of 2024. The increase reflects the impact of lower earned premiums on the ratio, a change in the mix of business and higher costs for certain software and other expenses associated with certain initiatives in IT security, customer experience and data analytics.</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2.0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three months of 2025 compared to the first three months of 2024 reflecting the impact of a change in the mix of business and higher costs for certain software and other expenses associated with certain initiatives in IT security, customer experience and data analytics.</w:t>
      </w:r>
    </w:p>
    <w:p>
      <w:pPr>
        <w:spacing w:after="0" w:line="216"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0.2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three months of 2025 compared to the first three months of 2024 due primarily to the impact of higher earned premiums in the financial institutions business on the ratio and lower average commission rates in certain businesses, partially offset by higher costs for certain software and other expenses associated with certain initiatives in IT security, customer experience and data analytics.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$170 million in the first three months of 2025 compared to</w:t>
      </w:r>
    </w:p>
    <w:p>
      <w:pPr>
        <w:spacing w:after="0" w:line="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$205 million in the first three months of 2024, a decrease of $35 million (17%).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color w:val="auto"/>
              </w:rPr>
              <w:t>Three months ended March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4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9</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6 %</w:t>
            </w:r>
          </w:p>
        </w:tc>
      </w:tr>
      <w:tr>
        <w:trPr>
          <w:trHeight w:val="216"/>
        </w:trPr>
        <w:tc>
          <w:tcPr>
            <w:tcW w:w="5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15,881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15,331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550</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4 %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Yield on fixed maturities (before investment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decrease in the property and casualty insurance segment’s net investment income for the first three months of 2025 compared to the first three months of 2024 reflects the impact of lower returns on AFG’s alternative investments portfolio (partnerships and similar investments and AFG-managed CLOs), partially offset by higher balances of invested assets and higher returns on fixed maturity investments. The property and casualty insurance segment’s overall yield on investments (net investment income as a percentage of average invested assets) was 4.28% for the first three months of 2025 compared to 5.35% for the first three months of 2024, a decrease of 1.07 percentage points. The annualized return earned on alternative investments was 1.8% in the first three months of 2025 compared to 9.0% in the comparable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$18 million for both the first three months of 2025 and the first three months of 2024.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1"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AFG’s net pretax loss outside of its property and casualty insurance segment (excluding realized gains and losses) totaled $52 million in the first three months of 2025 compared to $50 million in the first three months of 2024, an increase of $2 million (4%).</w:t>
      </w:r>
    </w:p>
    <w:p>
      <w:pPr>
        <w:spacing w:after="0" w:line="20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following table details AFG’s loss before income taxes from operations outside of its property and casualty insurance segment for the three months ended March 31, 2025 and 2024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2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excluding realized gains and losses</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17"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$5 million in the first three months of 2025 compared to $7 million in the first three months of 2024, a decrease of $2 million (29%), reflecting a decrease in average investments and a change in the investment mix.</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three months of 2025 and 2024, AFG collected $25 million in fees for these services. Management views this fee income, net of the $16 million in the first three months of 2025 and $14 million in the first three months of 2024 in expenses incurred to generate such fees, as a reduction in the cost of underwriting its property and casualty insurance policies. In addition, AFG’s property and casualty insurance businesses earned $11 million in fees during the first three months of 2024 as compensation for providing services related to the administration of crop insurance business generated by Crop Risk Services (“CRS”) for its former owner prior to AFG’s acquisition of CRS in July 2023. The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17"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 xml:space="preserve">Other income in the table above includes $3 million in both the first three months of 2025 and the first three months of 2024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1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other expenses of $40 million in the first three months of 2025 compared to $42 million in the first three months of 2024, a decrease of $2 million (5%).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17"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first three months of 2025 and the first three months of 2024.</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AFG’s realized gains (losses) on securities were net gains of $3 million in the first three months of 2025 compared to $14 million in the first three months of 2024, a decrease of $11 million (79%). Realized gains (losses) on securities consisted of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rPr>
              <w:t>Three months ended March 31,</w:t>
            </w:r>
          </w:p>
        </w:tc>
      </w:tr>
      <w:tr>
        <w:trPr>
          <w:trHeight w:val="199"/>
        </w:trPr>
        <w:tc>
          <w:tcPr>
            <w:tcW w:w="8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2024</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97"/>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The $9 million net realized gain from the change in the fair value of equity securities in the first three months of 2025 includes gains of $5 million on investments in media companies and $2 million on investments in natural gas companies. The $20 million net realized gain from the change in the fair value of equity securities in the first three months of 2024 includes gains of $11 million on investments in banks and financing companies and $4 million on investments in natural gas companies.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AFG’s consolidated provision for income taxes was $43 million for the first three months of 2025 compared to $62 million for the first three months of 2024, a decrease of $19 million (31%). See </w:t>
      </w:r>
      <w:r>
        <w:rPr>
          <w:rFonts w:ascii="Arial" w:cs="Arial" w:eastAsia="Arial" w:hAnsi="Arial"/>
          <w:sz w:val="17"/>
          <w:szCs w:val="17"/>
          <w:i w:val="1"/>
          <w:iCs w:val="1"/>
          <w:color w:val="auto"/>
        </w:rPr>
        <w:t>Note J — “Income Taxes”</w:t>
      </w:r>
      <w:r>
        <w:rPr>
          <w:rFonts w:ascii="Arial" w:cs="Arial" w:eastAsia="Arial" w:hAnsi="Arial"/>
          <w:sz w:val="17"/>
          <w:szCs w:val="17"/>
          <w:color w:val="auto"/>
        </w:rPr>
        <w:t xml:space="preserve"> to the financial statements for an analysis of items affecting AFG’s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RECENTLY ADOPTED ACCOUNTING STANDARDS</w:t>
      </w:r>
    </w:p>
    <w:p>
      <w:pPr>
        <w:spacing w:after="0" w:line="27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B — “Segments of Operations”</w:t>
      </w:r>
      <w:r>
        <w:rPr>
          <w:rFonts w:ascii="Arial" w:cs="Arial" w:eastAsia="Arial" w:hAnsi="Arial"/>
          <w:sz w:val="17"/>
          <w:szCs w:val="17"/>
          <w:color w:val="auto"/>
        </w:rPr>
        <w:t xml:space="preserve"> to the financial statements for accounting guidance adopted in the fourth quarter of 2024, which requires enhanced disclosures about significant segment expenses and a description of the composition of other segment expenses by business segment. The title and position of the chief operating decision maker (“CODM”) and an explanation of how the CODM uses the reported measures of segment profit or loss in assessing segment performance and deciding how to allocate resources is also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7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March 31, 2025, AFG has not adopted ASU 2023-09. Management is evaluating the impact of the standard to AFG’s income tax disclosures. Since ASU 2023-09 only requires additional disclosure, the adoption of this guidance will not have an impact on AFG’s results of operations or financial condition.</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 xml:space="preserve">In November 2024, the FASB issued ASU No. 2024-03 (“ASU 2024-03”), </w:t>
      </w:r>
      <w:r>
        <w:rPr>
          <w:rFonts w:ascii="Arial" w:cs="Arial" w:eastAsia="Arial" w:hAnsi="Arial"/>
          <w:sz w:val="17"/>
          <w:szCs w:val="17"/>
          <w:i w:val="1"/>
          <w:iCs w:val="1"/>
          <w:color w:val="auto"/>
        </w:rPr>
        <w:t>Income Statement — Reporting Comprehensive Income —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Disaggregation Disclosures (Subtopic 220-40): Disaggregation of Income Statement Expenses. </w:t>
      </w:r>
      <w:r>
        <w:rPr>
          <w:rFonts w:ascii="Arial" w:cs="Arial" w:eastAsia="Arial" w:hAnsi="Arial"/>
          <w:sz w:val="17"/>
          <w:szCs w:val="17"/>
          <w:color w:val="auto"/>
        </w:rPr>
        <w:t>ASU 2024-03 requires additional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disaggregation of specified expense categories in the notes to financial statements. ASU 2024-04 is effective for fiscal years beginning after December 15, 2026, and interim periods within fiscal years beginning after December 15, 2027, with early adoption permitted and applied either prospectively or retrospectively. As of March 31, 2025, AFG has not adopted ASU 2024-03. Management is evaluating the impact of the standard to AFG’s income statement expense disclosures. Since ASU 2024-03 only requires additional disclosures, the adoption of this guidance will not have an impact on AFG’s results of operations or financial condition.</w:t>
      </w:r>
    </w:p>
    <w:p>
      <w:pPr>
        <w:spacing w:after="0" w:line="207"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 xml:space="preserve">As of March 31, 2025,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2024 Form 10-K.</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had at March 31, 2025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10,639</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(319)</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first fiscal quarter of 2025 that materially affected, or are reasonably likely to materially affect, AFG’s internal control over financial reporting.</w:t>
      </w:r>
    </w:p>
    <w:p>
      <w:pPr>
        <w:spacing w:after="0" w:line="206"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first fiscal quarter of 2025 that have materially affected, or are reasonably likely to materially affect, AFG’s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2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repurchased shares of its Common Stock during 2025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Average</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of Shares</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Price Paid</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rPr>
              <w:t>Purchased</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rPr>
              <w:t>Per Share</w:t>
            </w:r>
          </w:p>
        </w:tc>
        <w:tc>
          <w:tcPr>
            <w:tcW w:w="1600" w:type="dxa"/>
            <w:vAlign w:val="bottom"/>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or Programs (*)</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January</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5,729,010</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February</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399,706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399,706</w:t>
            </w:r>
          </w:p>
        </w:tc>
        <w:tc>
          <w:tcPr>
            <w:tcW w:w="17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5,329,304</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March</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62,692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124.12</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62,692</w:t>
            </w:r>
          </w:p>
        </w:tc>
        <w:tc>
          <w:tcPr>
            <w:tcW w:w="17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5,266,612</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462,398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462,398</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right="40" w:hanging="412"/>
        <w:spacing w:after="0" w:line="284" w:lineRule="auto"/>
        <w:tabs>
          <w:tab w:leader="none" w:pos="4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2025 under the Plans authorized by AFG’s Board of Directors in October 2020 and May 2021.</w:t>
      </w:r>
    </w:p>
    <w:p>
      <w:pPr>
        <w:spacing w:after="0" w:line="185"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In connection with its stock incentive plans, AFG acquired 1,220 shares (at $135.72 per share) in January 2025, 41,328 shares (at $120.17 per share) in February 2025 and 261 shares (at an average of $129.00 per share) in March 2025.</w:t>
      </w:r>
    </w:p>
    <w:p>
      <w:pPr>
        <w:spacing w:after="0" w:line="197"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During the three months ended March 31, 2025,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8280" w:type="dxa"/>
            <w:vAlign w:val="bottom"/>
            <w:gridSpan w:val="2"/>
          </w:tcPr>
          <w:p>
            <w:pPr>
              <w:ind w:left="200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2900" w:type="dxa"/>
            <w:vAlign w:val="bottom"/>
          </w:tcPr>
          <w:p>
            <w:pPr>
              <w:spacing w:after="0"/>
              <w:rPr>
                <w:sz w:val="20"/>
                <w:szCs w:val="20"/>
                <w:color w:val="auto"/>
              </w:rPr>
            </w:pPr>
            <w:r>
              <w:rPr>
                <w:rFonts w:ascii="Arial" w:cs="Arial" w:eastAsia="Arial" w:hAnsi="Arial"/>
                <w:sz w:val="16"/>
                <w:szCs w:val="16"/>
                <w:color w:val="auto"/>
              </w:rPr>
              <w:t>May 8, 2025</w:t>
            </w:r>
          </w:p>
        </w:tc>
        <w:tc>
          <w:tcPr>
            <w:tcW w:w="2760" w:type="dxa"/>
            <w:vAlign w:val="bottom"/>
          </w:tcPr>
          <w:p>
            <w:pPr>
              <w:ind w:left="200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2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2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00"/>
          </w:cols>
          <w:pgMar w:left="320" w:top="116"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8, 2025</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8, 2025</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8, 2025</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March 31, 2025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upperLetter"/>
      <w:start w:val="1"/>
    </w:lvl>
  </w:abstractNum>
  <w:abstractNum w:abstractNumId="3">
    <w:nsid w:val="628C895D"/>
    <w:multiLevelType w:val="hybridMultilevel"/>
    <w:lvl w:ilvl="0">
      <w:lvlJc w:val="left"/>
      <w:lvlText w:val="(%1)"/>
      <w:numFmt w:val="lowerRoman"/>
      <w:start w:val="3"/>
    </w:lvl>
  </w:abstractNum>
  <w:abstractNum w:abstractNumId="4">
    <w:nsid w:val="333AB105"/>
    <w:multiLevelType w:val="hybridMultilevel"/>
    <w:lvl w:ilvl="0">
      <w:lvlJc w:val="left"/>
      <w:lvlText w:val="%1."/>
      <w:numFmt w:val="upperLetter"/>
      <w:start w:val="2"/>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upperLetter"/>
      <w:start w:val="3"/>
    </w:lvl>
  </w:abstractNum>
  <w:abstractNum w:abstractNumId="8">
    <w:nsid w:val="6763845E"/>
    <w:multiLevelType w:val="hybridMultilevel"/>
    <w:lvl w:ilvl="0">
      <w:lvlJc w:val="left"/>
      <w:lvlText w:val="%1."/>
      <w:numFmt w:val="upperLetter"/>
      <w:start w:val="4"/>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upperLetter"/>
      <w:start w:val="5"/>
    </w:lvl>
  </w:abstractNum>
  <w:abstractNum w:abstractNumId="14">
    <w:nsid w:val="189A769B"/>
    <w:multiLevelType w:val="hybridMultilevel"/>
    <w:lvl w:ilvl="0">
      <w:lvlJc w:val="left"/>
      <w:lvlText w:val="%1."/>
      <w:numFmt w:val="upperLetter"/>
      <w:start w:val="6"/>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upperLetter"/>
      <w:start w:val="7"/>
    </w:lvl>
  </w:abstractNum>
  <w:abstractNum w:abstractNumId="18">
    <w:nsid w:val="836C40E"/>
    <w:multiLevelType w:val="hybridMultilevel"/>
    <w:lvl w:ilvl="0">
      <w:lvlJc w:val="left"/>
      <w:lvlText w:val="%1."/>
      <w:numFmt w:val="upperLetter"/>
      <w:start w:val="9"/>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upperLetter"/>
      <w:start w:val="10"/>
    </w:lvl>
  </w:abstractNum>
  <w:abstractNum w:abstractNumId="21">
    <w:nsid w:val="8138641"/>
    <w:multiLevelType w:val="hybridMultilevel"/>
    <w:lvl w:ilvl="0">
      <w:lvlJc w:val="left"/>
      <w:lvlText w:val="%1."/>
      <w:numFmt w:val="upperLetter"/>
      <w:start w:val="11"/>
    </w:lvl>
  </w:abstractNum>
  <w:abstractNum w:abstractNumId="22">
    <w:nsid w:val="1E7FF521"/>
    <w:multiLevelType w:val="hybridMultilevel"/>
    <w:lvl w:ilvl="0">
      <w:lvlJc w:val="left"/>
      <w:lvlText w:val="%1."/>
      <w:numFmt w:val="upperLetter"/>
      <w:start w:val="12"/>
    </w:lvl>
  </w:abstractNum>
  <w:abstractNum w:abstractNumId="23">
    <w:nsid w:val="7C3DBD3D"/>
    <w:multiLevelType w:val="hybridMultilevel"/>
    <w:lvl w:ilvl="0">
      <w:lvlJc w:val="left"/>
      <w:lvlText w:val="(%1)"/>
      <w:numFmt w:val="lowerRoman"/>
      <w:start w:val="2"/>
    </w:lvl>
  </w:abstractNum>
  <w:abstractNum w:abstractNumId="24">
    <w:nsid w:val="737B8DDC"/>
    <w:multiLevelType w:val="hybridMultilevel"/>
    <w:lvl w:ilvl="0">
      <w:lvlJc w:val="left"/>
      <w:lvlText w:val="(%1)"/>
      <w:numFmt w:val="lowerRoman"/>
      <w:start w:val="2"/>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2025-05-08T13:11:16Z</dcterms:created>
  <dcterms:modified xsi:type="dcterms:W3CDTF">2025-05-08T13:11:16Z</dcterms:modified>
</cp:coreProperties>
</file>