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 SECURITIES AND EXCHANGE COMMISSION</w:t>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FORM 10-Q</w:t>
      </w:r>
    </w:p>
    <w:p>
      <w:pPr>
        <w:ind w:left="1980" w:hanging="210"/>
        <w:spacing w:after="0"/>
        <w:tabs>
          <w:tab w:leader="none" w:pos="19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For the Quarterly Period Ended June 30, 2024</w:t>
      </w:r>
    </w:p>
    <w:p>
      <w:pPr>
        <w:spacing w:after="0" w:line="1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or</w:t>
      </w:r>
    </w:p>
    <w:p>
      <w:pPr>
        <w:spacing w:after="0" w:line="12" w:lineRule="exact"/>
        <w:rPr>
          <w:sz w:val="24"/>
          <w:szCs w:val="24"/>
          <w:color w:val="auto"/>
        </w:rPr>
      </w:pPr>
    </w:p>
    <w:p>
      <w:pPr>
        <w:jc w:val="center"/>
        <w:ind w:left="3920" w:right="1660" w:hanging="2181"/>
        <w:spacing w:after="0" w:line="271" w:lineRule="auto"/>
        <w:tabs>
          <w:tab w:leader="none" w:pos="195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 to ____</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Commission File No. 1-13653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172720</wp:posOffset>
            </wp:positionV>
            <wp:extent cx="2228850" cy="1140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8850" cy="1140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003366"/>
        </w:rPr>
        <w:t>AMERICAN FINANCIAL GROUP, INC.</w:t>
      </w:r>
    </w:p>
    <w:p>
      <w:pPr>
        <w:spacing w:after="0" w:line="137" w:lineRule="exact"/>
        <w:rPr>
          <w:sz w:val="24"/>
          <w:szCs w:val="24"/>
          <w:color w:val="auto"/>
        </w:rPr>
      </w:pPr>
    </w:p>
    <w:p>
      <w:pPr>
        <w:ind w:left="1020"/>
        <w:spacing w:after="0"/>
        <w:tabs>
          <w:tab w:leader="none" w:pos="7360" w:val="left"/>
        </w:tabs>
        <w:rPr>
          <w:sz w:val="20"/>
          <w:szCs w:val="20"/>
          <w:color w:val="auto"/>
        </w:rPr>
      </w:pPr>
      <w:r>
        <w:rPr>
          <w:rFonts w:ascii="Arial" w:cs="Arial" w:eastAsia="Arial" w:hAnsi="Arial"/>
          <w:sz w:val="18"/>
          <w:szCs w:val="18"/>
          <w:b w:val="1"/>
          <w:bCs w:val="1"/>
          <w:color w:val="auto"/>
        </w:rPr>
        <w:t>Incorporated under the Laws of Ohio</w:t>
      </w:r>
      <w:r>
        <w:rPr>
          <w:sz w:val="20"/>
          <w:szCs w:val="20"/>
          <w:color w:val="auto"/>
        </w:rPr>
        <w:tab/>
      </w:r>
      <w:r>
        <w:rPr>
          <w:rFonts w:ascii="Arial" w:cs="Arial" w:eastAsia="Arial" w:hAnsi="Arial"/>
          <w:sz w:val="17"/>
          <w:szCs w:val="17"/>
          <w:b w:val="1"/>
          <w:bCs w:val="1"/>
          <w:color w:val="auto"/>
        </w:rPr>
        <w:t>IRS Employer I.D. No. 31-1544320</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301 East Fourth Street, Cincinnati, Ohio 45202</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(513) 579-2121</w:t>
      </w:r>
    </w:p>
    <w:p>
      <w:pPr>
        <w:spacing w:after="0" w:line="12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1" w:lineRule="exact"/>
        <w:rPr>
          <w:sz w:val="24"/>
          <w:szCs w:val="24"/>
          <w:color w:val="auto"/>
        </w:rPr>
      </w:pPr>
    </w:p>
    <w:tbl>
      <w:tblPr>
        <w:tblLayout w:type="fixed"/>
        <w:tblInd w:w="260" w:type="dxa"/>
        <w:tblCellMar>
          <w:top w:w="0" w:type="dxa"/>
          <w:left w:w="0" w:type="dxa"/>
          <w:bottom w:w="0" w:type="dxa"/>
          <w:right w:w="0" w:type="dxa"/>
        </w:tblCellMar>
      </w:tblPr>
      <w:tr>
        <w:trPr>
          <w:trHeight w:val="161"/>
        </w:trPr>
        <w:tc>
          <w:tcPr>
            <w:tcW w:w="5320" w:type="dxa"/>
            <w:vAlign w:val="bottom"/>
            <w:gridSpan w:val="3"/>
          </w:tcPr>
          <w:p>
            <w:pPr>
              <w:spacing w:after="0"/>
              <w:rPr>
                <w:sz w:val="20"/>
                <w:szCs w:val="20"/>
                <w:color w:val="auto"/>
              </w:rPr>
            </w:pPr>
            <w:r>
              <w:rPr>
                <w:rFonts w:ascii="Arial" w:cs="Arial" w:eastAsia="Arial" w:hAnsi="Arial"/>
                <w:sz w:val="14"/>
                <w:szCs w:val="14"/>
                <w:color w:val="auto"/>
              </w:rPr>
              <w:t>Title of Each Class</w:t>
            </w:r>
          </w:p>
        </w:tc>
        <w:tc>
          <w:tcPr>
            <w:tcW w:w="1440" w:type="dxa"/>
            <w:vAlign w:val="bottom"/>
            <w:gridSpan w:val="2"/>
          </w:tcPr>
          <w:p>
            <w:pPr>
              <w:spacing w:after="0"/>
              <w:rPr>
                <w:sz w:val="20"/>
                <w:szCs w:val="20"/>
                <w:color w:val="auto"/>
              </w:rPr>
            </w:pPr>
            <w:r>
              <w:rPr>
                <w:rFonts w:ascii="Arial" w:cs="Arial" w:eastAsia="Arial" w:hAnsi="Arial"/>
                <w:sz w:val="14"/>
                <w:szCs w:val="14"/>
                <w:color w:val="auto"/>
              </w:rPr>
              <w:t>Trading Symbol(s)</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Name of Each Exchange on Which Registered</w:t>
            </w: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42"/>
        </w:trPr>
        <w:tc>
          <w:tcPr>
            <w:tcW w:w="118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41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AFG</w:t>
            </w:r>
          </w:p>
        </w:tc>
        <w:tc>
          <w:tcPr>
            <w:tcW w:w="260" w:type="dxa"/>
            <w:vAlign w:val="bottom"/>
          </w:tcPr>
          <w:p>
            <w:pPr>
              <w:spacing w:after="0"/>
              <w:rPr>
                <w:sz w:val="21"/>
                <w:szCs w:val="21"/>
                <w:color w:val="auto"/>
              </w:rPr>
            </w:pP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29"/>
        </w:trPr>
        <w:tc>
          <w:tcPr>
            <w:tcW w:w="500" w:type="dxa"/>
            <w:vAlign w:val="bottom"/>
          </w:tcPr>
          <w:p>
            <w:pPr>
              <w:spacing w:after="0"/>
              <w:rPr>
                <w:sz w:val="20"/>
                <w:szCs w:val="20"/>
                <w:color w:val="auto"/>
              </w:rPr>
            </w:pPr>
            <w:r>
              <w:rPr>
                <w:rFonts w:ascii="Arial" w:cs="Arial" w:eastAsia="Arial" w:hAnsi="Arial"/>
                <w:sz w:val="14"/>
                <w:szCs w:val="14"/>
                <w:color w:val="auto"/>
              </w:rPr>
              <w:t>5.875%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March 30, 2059</w:t>
            </w:r>
          </w:p>
        </w:tc>
        <w:tc>
          <w:tcPr>
            <w:tcW w:w="1440" w:type="dxa"/>
            <w:vAlign w:val="bottom"/>
            <w:gridSpan w:val="2"/>
          </w:tcPr>
          <w:p>
            <w:pPr>
              <w:spacing w:after="0"/>
              <w:rPr>
                <w:sz w:val="20"/>
                <w:szCs w:val="20"/>
                <w:color w:val="auto"/>
              </w:rPr>
            </w:pPr>
            <w:r>
              <w:rPr>
                <w:rFonts w:ascii="Arial" w:cs="Arial" w:eastAsia="Arial" w:hAnsi="Arial"/>
                <w:sz w:val="14"/>
                <w:szCs w:val="14"/>
                <w:color w:val="auto"/>
              </w:rPr>
              <w:t>AFGB</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00" w:type="dxa"/>
            <w:vAlign w:val="bottom"/>
          </w:tcPr>
          <w:p>
            <w:pPr>
              <w:spacing w:after="0"/>
              <w:rPr>
                <w:sz w:val="20"/>
                <w:szCs w:val="20"/>
                <w:color w:val="auto"/>
              </w:rPr>
            </w:pPr>
            <w:r>
              <w:rPr>
                <w:rFonts w:ascii="Arial" w:cs="Arial" w:eastAsia="Arial" w:hAnsi="Arial"/>
                <w:sz w:val="14"/>
                <w:szCs w:val="14"/>
                <w:color w:val="auto"/>
              </w:rPr>
              <w:t>5.625%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June 1, 2060</w:t>
            </w:r>
          </w:p>
        </w:tc>
        <w:tc>
          <w:tcPr>
            <w:tcW w:w="1440" w:type="dxa"/>
            <w:vAlign w:val="bottom"/>
            <w:gridSpan w:val="2"/>
          </w:tcPr>
          <w:p>
            <w:pPr>
              <w:spacing w:after="0"/>
              <w:rPr>
                <w:sz w:val="20"/>
                <w:szCs w:val="20"/>
                <w:color w:val="auto"/>
              </w:rPr>
            </w:pPr>
            <w:r>
              <w:rPr>
                <w:rFonts w:ascii="Arial" w:cs="Arial" w:eastAsia="Arial" w:hAnsi="Arial"/>
                <w:sz w:val="14"/>
                <w:szCs w:val="14"/>
                <w:color w:val="auto"/>
              </w:rPr>
              <w:t>AFGD</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00" w:type="dxa"/>
            <w:vAlign w:val="bottom"/>
          </w:tcPr>
          <w:p>
            <w:pPr>
              <w:spacing w:after="0"/>
              <w:rPr>
                <w:sz w:val="20"/>
                <w:szCs w:val="20"/>
                <w:color w:val="auto"/>
              </w:rPr>
            </w:pPr>
            <w:r>
              <w:rPr>
                <w:rFonts w:ascii="Arial" w:cs="Arial" w:eastAsia="Arial" w:hAnsi="Arial"/>
                <w:sz w:val="14"/>
                <w:szCs w:val="14"/>
                <w:color w:val="auto"/>
              </w:rPr>
              <w:t>5.125%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December 15, 2059</w:t>
            </w:r>
          </w:p>
        </w:tc>
        <w:tc>
          <w:tcPr>
            <w:tcW w:w="1440" w:type="dxa"/>
            <w:vAlign w:val="bottom"/>
            <w:gridSpan w:val="2"/>
          </w:tcPr>
          <w:p>
            <w:pPr>
              <w:spacing w:after="0"/>
              <w:rPr>
                <w:sz w:val="20"/>
                <w:szCs w:val="20"/>
                <w:color w:val="auto"/>
              </w:rPr>
            </w:pPr>
            <w:r>
              <w:rPr>
                <w:rFonts w:ascii="Arial" w:cs="Arial" w:eastAsia="Arial" w:hAnsi="Arial"/>
                <w:sz w:val="14"/>
                <w:szCs w:val="14"/>
                <w:color w:val="auto"/>
              </w:rPr>
              <w:t>AFGC</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320" w:type="dxa"/>
            <w:vAlign w:val="bottom"/>
            <w:gridSpan w:val="3"/>
          </w:tcPr>
          <w:p>
            <w:pPr>
              <w:spacing w:after="0"/>
              <w:rPr>
                <w:sz w:val="20"/>
                <w:szCs w:val="20"/>
                <w:color w:val="auto"/>
              </w:rPr>
            </w:pPr>
            <w:r>
              <w:rPr>
                <w:rFonts w:ascii="Arial" w:cs="Arial" w:eastAsia="Arial" w:hAnsi="Arial"/>
                <w:sz w:val="14"/>
                <w:szCs w:val="14"/>
                <w:color w:val="auto"/>
              </w:rPr>
              <w:t>4.50% Subordinated Debentures due September 15, 2060</w:t>
            </w:r>
          </w:p>
        </w:tc>
        <w:tc>
          <w:tcPr>
            <w:tcW w:w="1440" w:type="dxa"/>
            <w:vAlign w:val="bottom"/>
            <w:gridSpan w:val="2"/>
          </w:tcPr>
          <w:p>
            <w:pPr>
              <w:spacing w:after="0"/>
              <w:rPr>
                <w:sz w:val="20"/>
                <w:szCs w:val="20"/>
                <w:color w:val="auto"/>
              </w:rPr>
            </w:pPr>
            <w:r>
              <w:rPr>
                <w:rFonts w:ascii="Arial" w:cs="Arial" w:eastAsia="Arial" w:hAnsi="Arial"/>
                <w:sz w:val="14"/>
                <w:szCs w:val="14"/>
                <w:color w:val="auto"/>
              </w:rPr>
              <w:t>AFGE</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bl>
    <w:p>
      <w:pPr>
        <w:spacing w:after="0" w:line="151" w:lineRule="exact"/>
        <w:rPr>
          <w:sz w:val="24"/>
          <w:szCs w:val="24"/>
          <w:color w:val="auto"/>
        </w:rPr>
      </w:pPr>
    </w:p>
    <w:p>
      <w:pPr>
        <w:ind w:right="80"/>
        <w:spacing w:after="0" w:line="23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8" w:lineRule="exact"/>
        <w:rPr>
          <w:sz w:val="24"/>
          <w:szCs w:val="24"/>
          <w:color w:val="auto"/>
        </w:rPr>
      </w:pPr>
    </w:p>
    <w:p>
      <w:pPr>
        <w:ind w:right="80"/>
        <w:spacing w:after="0" w:line="23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right="28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60"/>
          </w:cols>
          <w:pgMar w:left="320" w:top="1182" w:right="419" w:bottom="1440" w:gutter="0" w:footer="0" w:header="0"/>
        </w:sectPr>
      </w:pPr>
    </w:p>
    <w:p>
      <w:pPr>
        <w:spacing w:after="0" w:line="63" w:lineRule="exact"/>
        <w:rPr>
          <w:sz w:val="24"/>
          <w:szCs w:val="24"/>
          <w:color w:val="auto"/>
        </w:rPr>
      </w:pPr>
    </w:p>
    <w:p>
      <w:pPr>
        <w:ind w:left="16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6">
            <w:col w:w="3420" w:space="100"/>
            <w:col w:w="640" w:space="720"/>
            <w:col w:w="1280" w:space="100"/>
            <w:col w:w="700" w:space="720"/>
            <w:col w:w="1660" w:space="100"/>
            <w:col w:w="1720"/>
          </w:cols>
          <w:pgMar w:left="320" w:top="1182" w:right="419" w:bottom="1440" w:gutter="0" w:footer="0" w:header="0"/>
          <w:type w:val="continuous"/>
        </w:sectPr>
      </w:pPr>
    </w:p>
    <w:p>
      <w:pPr>
        <w:spacing w:after="0" w:line="21" w:lineRule="exact"/>
        <w:rPr>
          <w:sz w:val="24"/>
          <w:szCs w:val="24"/>
          <w:color w:val="auto"/>
        </w:rPr>
      </w:pPr>
    </w:p>
    <w:p>
      <w:pPr>
        <w:ind w:left="2800"/>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8" w:lineRule="exact"/>
        <w:rPr>
          <w:sz w:val="24"/>
          <w:szCs w:val="24"/>
          <w:color w:val="auto"/>
        </w:rPr>
      </w:pPr>
    </w:p>
    <w:p>
      <w:pPr>
        <w:sectPr>
          <w:pgSz w:w="11900" w:h="16838" w:orient="portrait"/>
          <w:cols w:equalWidth="0" w:num="4">
            <w:col w:w="4940" w:space="100"/>
            <w:col w:w="300" w:space="720"/>
            <w:col w:w="2140" w:space="80"/>
            <w:col w:w="2880"/>
          </w:cols>
          <w:pgMar w:left="320" w:top="1182" w:right="419" w:bottom="1440" w:gutter="0" w:footer="0" w:header="0"/>
          <w:type w:val="continuous"/>
        </w:sectPr>
      </w:pPr>
    </w:p>
    <w:p>
      <w:pPr>
        <w:ind w:right="12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As of August 1, 2024, there were 83,903,815 shares of the Registrant’s Common Stock outstanding, excluding 14.9 million shares owned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126365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60"/>
          </w:cols>
          <w:pgMar w:left="320" w:top="1182"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20" w:type="dxa"/>
            <w:vAlign w:val="bottom"/>
          </w:tcPr>
          <w:p>
            <w:pPr>
              <w:spacing w:after="0"/>
              <w:rPr>
                <w:sz w:val="23"/>
                <w:szCs w:val="23"/>
                <w:color w:val="auto"/>
              </w:rPr>
            </w:pPr>
          </w:p>
        </w:tc>
        <w:tc>
          <w:tcPr>
            <w:tcW w:w="9980" w:type="dxa"/>
            <w:vAlign w:val="bottom"/>
          </w:tcPr>
          <w:p>
            <w:pPr>
              <w:ind w:left="2840"/>
              <w:spacing w:after="0"/>
              <w:rPr>
                <w:sz w:val="20"/>
                <w:szCs w:val="20"/>
                <w:color w:val="auto"/>
              </w:rPr>
            </w:pPr>
            <w:r>
              <w:rPr>
                <w:rFonts w:ascii="Arial" w:cs="Arial" w:eastAsia="Arial" w:hAnsi="Arial"/>
                <w:sz w:val="20"/>
                <w:szCs w:val="20"/>
                <w:b w:val="1"/>
                <w:bCs w:val="1"/>
                <w:color w:val="003366"/>
              </w:rPr>
              <w:t>AMERICAN FINANCIAL GROUP, INC. 10-Q</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7"/>
        </w:trPr>
        <w:tc>
          <w:tcPr>
            <w:tcW w:w="820" w:type="dxa"/>
            <w:vAlign w:val="bottom"/>
          </w:tcPr>
          <w:p>
            <w:pPr>
              <w:spacing w:after="0"/>
              <w:rPr>
                <w:sz w:val="24"/>
                <w:szCs w:val="24"/>
                <w:color w:val="auto"/>
              </w:rPr>
            </w:pPr>
          </w:p>
        </w:tc>
        <w:tc>
          <w:tcPr>
            <w:tcW w:w="9980" w:type="dxa"/>
            <w:vAlign w:val="bottom"/>
          </w:tcPr>
          <w:p>
            <w:pPr>
              <w:ind w:left="3740"/>
              <w:spacing w:after="0"/>
              <w:rPr>
                <w:sz w:val="20"/>
                <w:szCs w:val="20"/>
                <w:color w:val="auto"/>
              </w:rPr>
            </w:pPr>
            <w:r>
              <w:rPr>
                <w:rFonts w:ascii="Arial" w:cs="Arial" w:eastAsia="Arial" w:hAnsi="Arial"/>
                <w:sz w:val="20"/>
                <w:szCs w:val="20"/>
                <w:b w:val="1"/>
                <w:bCs w:val="1"/>
                <w:color w:val="003366"/>
              </w:rPr>
              <w:t>TABLE OF CONTENTS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0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0000FF"/>
              </w:rPr>
              <w:t>Part I — Financial Information</w:t>
            </w:r>
          </w:p>
        </w:tc>
        <w:tc>
          <w:tcPr>
            <w:tcW w:w="440" w:type="dxa"/>
            <w:vAlign w:val="bottom"/>
            <w:gridSpan w:val="2"/>
          </w:tcPr>
          <w:p>
            <w:pPr>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36"/>
        </w:trPr>
        <w:tc>
          <w:tcPr>
            <w:tcW w:w="10800" w:type="dxa"/>
            <w:vAlign w:val="bottom"/>
            <w:gridSpan w:val="2"/>
            <w:vMerge w:val="continue"/>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1 — Financial Statements: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Balance Sheet</w:t>
            </w:r>
          </w:p>
        </w:tc>
        <w:tc>
          <w:tcPr>
            <w:tcW w:w="400" w:type="dxa"/>
            <w:vAlign w:val="bottom"/>
          </w:tcPr>
          <w:p>
            <w:pPr>
              <w:jc w:val="right"/>
              <w:spacing w:after="0"/>
              <w:rPr>
                <w:sz w:val="20"/>
                <w:szCs w:val="20"/>
                <w:color w:val="auto"/>
              </w:rPr>
            </w:pPr>
            <w:r>
              <w:rPr>
                <w:rFonts w:ascii="Arial" w:cs="Arial" w:eastAsia="Arial" w:hAnsi="Arial"/>
                <w:sz w:val="16"/>
                <w:szCs w:val="16"/>
                <w:color w:val="0000FF"/>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Earnings</w:t>
            </w:r>
          </w:p>
        </w:tc>
        <w:tc>
          <w:tcPr>
            <w:tcW w:w="400" w:type="dxa"/>
            <w:vAlign w:val="bottom"/>
          </w:tcPr>
          <w:p>
            <w:pPr>
              <w:jc w:val="right"/>
              <w:spacing w:after="0"/>
              <w:rPr>
                <w:sz w:val="20"/>
                <w:szCs w:val="20"/>
                <w:color w:val="auto"/>
              </w:rPr>
            </w:pPr>
            <w:r>
              <w:rPr>
                <w:rFonts w:ascii="Arial" w:cs="Arial" w:eastAsia="Arial" w:hAnsi="Arial"/>
                <w:sz w:val="16"/>
                <w:szCs w:val="16"/>
                <w:color w:val="0000FF"/>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Comprehensive Income</w:t>
            </w:r>
          </w:p>
        </w:tc>
        <w:tc>
          <w:tcPr>
            <w:tcW w:w="400" w:type="dxa"/>
            <w:vAlign w:val="bottom"/>
          </w:tcPr>
          <w:p>
            <w:pPr>
              <w:jc w:val="right"/>
              <w:spacing w:after="0"/>
              <w:rPr>
                <w:sz w:val="20"/>
                <w:szCs w:val="20"/>
                <w:color w:val="auto"/>
              </w:rPr>
            </w:pPr>
            <w:r>
              <w:rPr>
                <w:rFonts w:ascii="Arial" w:cs="Arial" w:eastAsia="Arial" w:hAnsi="Arial"/>
                <w:sz w:val="16"/>
                <w:szCs w:val="16"/>
                <w:color w:val="0000FF"/>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Changes in Equity</w:t>
            </w:r>
          </w:p>
        </w:tc>
        <w:tc>
          <w:tcPr>
            <w:tcW w:w="400" w:type="dxa"/>
            <w:vAlign w:val="bottom"/>
          </w:tcPr>
          <w:p>
            <w:pPr>
              <w:jc w:val="right"/>
              <w:spacing w:after="0"/>
              <w:rPr>
                <w:sz w:val="20"/>
                <w:szCs w:val="20"/>
                <w:color w:val="auto"/>
              </w:rPr>
            </w:pPr>
            <w:r>
              <w:rPr>
                <w:rFonts w:ascii="Arial" w:cs="Arial" w:eastAsia="Arial" w:hAnsi="Arial"/>
                <w:sz w:val="16"/>
                <w:szCs w:val="16"/>
                <w:color w:val="0000FF"/>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Cash Flows</w:t>
            </w:r>
          </w:p>
        </w:tc>
        <w:tc>
          <w:tcPr>
            <w:tcW w:w="400" w:type="dxa"/>
            <w:vAlign w:val="bottom"/>
          </w:tcPr>
          <w:p>
            <w:pPr>
              <w:jc w:val="right"/>
              <w:spacing w:after="0"/>
              <w:rPr>
                <w:sz w:val="20"/>
                <w:szCs w:val="20"/>
                <w:color w:val="auto"/>
              </w:rPr>
            </w:pPr>
            <w:r>
              <w:rPr>
                <w:rFonts w:ascii="Arial" w:cs="Arial" w:eastAsia="Arial" w:hAnsi="Arial"/>
                <w:sz w:val="16"/>
                <w:szCs w:val="16"/>
                <w:color w:val="0000FF"/>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Notes to Consolidated Financial Statements</w:t>
            </w:r>
          </w:p>
        </w:tc>
        <w:tc>
          <w:tcPr>
            <w:tcW w:w="400" w:type="dxa"/>
            <w:vAlign w:val="bottom"/>
          </w:tcPr>
          <w:p>
            <w:pPr>
              <w:jc w:val="right"/>
              <w:spacing w:after="0"/>
              <w:rPr>
                <w:sz w:val="20"/>
                <w:szCs w:val="20"/>
                <w:color w:val="auto"/>
              </w:rPr>
            </w:pPr>
            <w:r>
              <w:rPr>
                <w:rFonts w:ascii="Arial" w:cs="Arial" w:eastAsia="Arial" w:hAnsi="Arial"/>
                <w:sz w:val="16"/>
                <w:szCs w:val="16"/>
                <w:color w:val="0000FF"/>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2 — Management’s Discussion and Analysis of Financial Condition and Results of Operations</w:t>
            </w:r>
          </w:p>
        </w:tc>
        <w:tc>
          <w:tcPr>
            <w:tcW w:w="400" w:type="dxa"/>
            <w:vAlign w:val="bottom"/>
          </w:tcPr>
          <w:p>
            <w:pPr>
              <w:jc w:val="right"/>
              <w:spacing w:after="0"/>
              <w:rPr>
                <w:sz w:val="20"/>
                <w:szCs w:val="20"/>
                <w:color w:val="auto"/>
              </w:rPr>
            </w:pPr>
            <w:r>
              <w:rPr>
                <w:rFonts w:ascii="Arial" w:cs="Arial" w:eastAsia="Arial" w:hAnsi="Arial"/>
                <w:sz w:val="16"/>
                <w:szCs w:val="16"/>
                <w:color w:val="0000FF"/>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3 — Quantitative and Qualitative Disclosure about Market Risk</w:t>
            </w:r>
          </w:p>
        </w:tc>
        <w:tc>
          <w:tcPr>
            <w:tcW w:w="400" w:type="dxa"/>
            <w:vAlign w:val="bottom"/>
          </w:tcPr>
          <w:p>
            <w:pPr>
              <w:jc w:val="right"/>
              <w:spacing w:after="0"/>
              <w:rPr>
                <w:sz w:val="20"/>
                <w:szCs w:val="20"/>
                <w:color w:val="auto"/>
              </w:rPr>
            </w:pPr>
            <w:r>
              <w:rPr>
                <w:rFonts w:ascii="Arial" w:cs="Arial" w:eastAsia="Arial" w:hAnsi="Arial"/>
                <w:sz w:val="16"/>
                <w:szCs w:val="16"/>
                <w:color w:val="0000FF"/>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4</w:t>
            </w:r>
          </w:p>
        </w:tc>
        <w:tc>
          <w:tcPr>
            <w:tcW w:w="9980" w:type="dxa"/>
            <w:vAlign w:val="bottom"/>
          </w:tcPr>
          <w:p>
            <w:pPr>
              <w:ind w:left="20"/>
              <w:spacing w:after="0"/>
              <w:rPr>
                <w:sz w:val="20"/>
                <w:szCs w:val="20"/>
                <w:color w:val="auto"/>
              </w:rPr>
            </w:pPr>
            <w:r>
              <w:rPr>
                <w:rFonts w:ascii="Arial" w:cs="Arial" w:eastAsia="Arial" w:hAnsi="Arial"/>
                <w:sz w:val="16"/>
                <w:szCs w:val="16"/>
                <w:color w:val="0000FF"/>
              </w:rPr>
              <w:t>— Controls and Procedures</w:t>
            </w:r>
          </w:p>
        </w:tc>
        <w:tc>
          <w:tcPr>
            <w:tcW w:w="400" w:type="dxa"/>
            <w:vAlign w:val="bottom"/>
          </w:tcPr>
          <w:p>
            <w:pPr>
              <w:jc w:val="right"/>
              <w:spacing w:after="0"/>
              <w:rPr>
                <w:sz w:val="20"/>
                <w:szCs w:val="20"/>
                <w:color w:val="auto"/>
              </w:rPr>
            </w:pPr>
            <w:r>
              <w:rPr>
                <w:rFonts w:ascii="Arial" w:cs="Arial" w:eastAsia="Arial" w:hAnsi="Arial"/>
                <w:sz w:val="16"/>
                <w:szCs w:val="16"/>
                <w:color w:val="0000FF"/>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7"/>
        </w:trPr>
        <w:tc>
          <w:tcPr>
            <w:tcW w:w="10800" w:type="dxa"/>
            <w:vAlign w:val="bottom"/>
            <w:gridSpan w:val="2"/>
          </w:tcPr>
          <w:p>
            <w:pPr>
              <w:ind w:left="20"/>
              <w:spacing w:after="0"/>
              <w:rPr>
                <w:sz w:val="20"/>
                <w:szCs w:val="20"/>
                <w:color w:val="auto"/>
              </w:rPr>
            </w:pPr>
            <w:r>
              <w:rPr>
                <w:rFonts w:ascii="Arial" w:cs="Arial" w:eastAsia="Arial" w:hAnsi="Arial"/>
                <w:sz w:val="16"/>
                <w:szCs w:val="16"/>
                <w:b w:val="1"/>
                <w:bCs w:val="1"/>
                <w:color w:val="0000FF"/>
              </w:rPr>
              <w:t>Part II — Other Information</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2</w:t>
            </w:r>
          </w:p>
        </w:tc>
        <w:tc>
          <w:tcPr>
            <w:tcW w:w="9980" w:type="dxa"/>
            <w:vAlign w:val="bottom"/>
          </w:tcPr>
          <w:p>
            <w:pPr>
              <w:ind w:left="20"/>
              <w:spacing w:after="0"/>
              <w:rPr>
                <w:sz w:val="20"/>
                <w:szCs w:val="20"/>
                <w:color w:val="auto"/>
              </w:rPr>
            </w:pPr>
            <w:r>
              <w:rPr>
                <w:rFonts w:ascii="Arial" w:cs="Arial" w:eastAsia="Arial" w:hAnsi="Arial"/>
                <w:sz w:val="16"/>
                <w:szCs w:val="16"/>
                <w:color w:val="0000FF"/>
              </w:rPr>
              <w:t>— Unregistered Sales of Equity Securities and Use of Proceeds</w:t>
            </w:r>
          </w:p>
        </w:tc>
        <w:tc>
          <w:tcPr>
            <w:tcW w:w="400" w:type="dxa"/>
            <w:vAlign w:val="bottom"/>
          </w:tcPr>
          <w:p>
            <w:pPr>
              <w:jc w:val="right"/>
              <w:spacing w:after="0"/>
              <w:rPr>
                <w:sz w:val="20"/>
                <w:szCs w:val="20"/>
                <w:color w:val="auto"/>
              </w:rPr>
            </w:pPr>
            <w:r>
              <w:rPr>
                <w:rFonts w:ascii="Arial" w:cs="Arial" w:eastAsia="Arial" w:hAnsi="Arial"/>
                <w:sz w:val="16"/>
                <w:szCs w:val="16"/>
                <w:color w:val="0000FF"/>
              </w:rPr>
              <w:t>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5</w:t>
            </w:r>
          </w:p>
        </w:tc>
        <w:tc>
          <w:tcPr>
            <w:tcW w:w="9980" w:type="dxa"/>
            <w:vAlign w:val="bottom"/>
          </w:tcPr>
          <w:p>
            <w:pPr>
              <w:ind w:left="20"/>
              <w:spacing w:after="0"/>
              <w:rPr>
                <w:sz w:val="20"/>
                <w:szCs w:val="20"/>
                <w:color w:val="auto"/>
              </w:rPr>
            </w:pPr>
            <w:r>
              <w:rPr>
                <w:rFonts w:ascii="Arial" w:cs="Arial" w:eastAsia="Arial" w:hAnsi="Arial"/>
                <w:sz w:val="16"/>
                <w:szCs w:val="16"/>
                <w:color w:val="0000FF"/>
              </w:rPr>
              <w:t>— Other Information</w:t>
            </w:r>
          </w:p>
        </w:tc>
        <w:tc>
          <w:tcPr>
            <w:tcW w:w="400" w:type="dxa"/>
            <w:vAlign w:val="bottom"/>
          </w:tcPr>
          <w:p>
            <w:pPr>
              <w:jc w:val="right"/>
              <w:spacing w:after="0"/>
              <w:rPr>
                <w:sz w:val="20"/>
                <w:szCs w:val="20"/>
                <w:color w:val="auto"/>
              </w:rPr>
            </w:pPr>
            <w:r>
              <w:rPr>
                <w:rFonts w:ascii="Arial" w:cs="Arial" w:eastAsia="Arial" w:hAnsi="Arial"/>
                <w:sz w:val="16"/>
                <w:szCs w:val="16"/>
                <w:color w:val="0000FF"/>
              </w:rPr>
              <w:t>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6</w:t>
            </w:r>
          </w:p>
        </w:tc>
        <w:tc>
          <w:tcPr>
            <w:tcW w:w="9980" w:type="dxa"/>
            <w:vAlign w:val="bottom"/>
          </w:tcPr>
          <w:p>
            <w:pPr>
              <w:ind w:left="20"/>
              <w:spacing w:after="0"/>
              <w:rPr>
                <w:sz w:val="20"/>
                <w:szCs w:val="20"/>
                <w:color w:val="auto"/>
              </w:rPr>
            </w:pPr>
            <w:r>
              <w:rPr>
                <w:rFonts w:ascii="Arial" w:cs="Arial" w:eastAsia="Arial" w:hAnsi="Arial"/>
                <w:sz w:val="16"/>
                <w:szCs w:val="16"/>
                <w:color w:val="0000FF"/>
              </w:rPr>
              <w:t>— Exhibits</w:t>
            </w:r>
          </w:p>
        </w:tc>
        <w:tc>
          <w:tcPr>
            <w:tcW w:w="400" w:type="dxa"/>
            <w:vAlign w:val="bottom"/>
          </w:tcPr>
          <w:p>
            <w:pPr>
              <w:jc w:val="right"/>
              <w:spacing w:after="0"/>
              <w:rPr>
                <w:sz w:val="20"/>
                <w:szCs w:val="20"/>
                <w:color w:val="auto"/>
              </w:rPr>
            </w:pPr>
            <w:r>
              <w:rPr>
                <w:rFonts w:ascii="Arial" w:cs="Arial" w:eastAsia="Arial" w:hAnsi="Arial"/>
                <w:sz w:val="16"/>
                <w:szCs w:val="16"/>
                <w:color w:val="0000FF"/>
              </w:rPr>
              <w:t>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Signature</w:t>
            </w:r>
          </w:p>
        </w:tc>
        <w:tc>
          <w:tcPr>
            <w:tcW w:w="400" w:type="dxa"/>
            <w:vAlign w:val="bottom"/>
          </w:tcPr>
          <w:p>
            <w:pPr>
              <w:jc w:val="right"/>
              <w:spacing w:after="0"/>
              <w:rPr>
                <w:sz w:val="20"/>
                <w:szCs w:val="20"/>
                <w:color w:val="auto"/>
              </w:rPr>
            </w:pPr>
            <w:r>
              <w:rPr>
                <w:rFonts w:ascii="Arial" w:cs="Arial" w:eastAsia="Arial" w:hAnsi="Arial"/>
                <w:sz w:val="16"/>
                <w:szCs w:val="16"/>
                <w:color w:val="0000FF"/>
              </w:rPr>
              <w:t>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1"/>
        </w:trPr>
        <w:tc>
          <w:tcPr>
            <w:tcW w:w="820" w:type="dxa"/>
            <w:vAlign w:val="bottom"/>
            <w:tcBorders>
              <w:bottom w:val="single" w:sz="8" w:color="9A9A9A"/>
            </w:tcBorders>
          </w:tcPr>
          <w:p>
            <w:pPr>
              <w:spacing w:after="0"/>
              <w:rPr>
                <w:sz w:val="24"/>
                <w:szCs w:val="24"/>
                <w:color w:val="auto"/>
              </w:rPr>
            </w:pPr>
          </w:p>
        </w:tc>
        <w:tc>
          <w:tcPr>
            <w:tcW w:w="99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003366"/>
        </w:rPr>
        <w:t>PART I</w:t>
      </w:r>
    </w:p>
    <w:p>
      <w:pPr>
        <w:spacing w:after="0" w:line="3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003366"/>
        </w:rPr>
        <w:t>ITEM 1. — FINANCIAL STATEMENTS</w:t>
      </w: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13"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003366"/>
        </w:rPr>
        <w:t>CONSOLIDATED BALANCE SHEET (UNAUDITED)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5"/>
                <w:szCs w:val="15"/>
                <w:color w:val="auto"/>
              </w:rPr>
              <w:t>June 30,</w:t>
            </w:r>
          </w:p>
        </w:tc>
        <w:tc>
          <w:tcPr>
            <w:tcW w:w="160" w:type="dxa"/>
            <w:vAlign w:val="bottom"/>
          </w:tcPr>
          <w:p>
            <w:pPr>
              <w:spacing w:after="0"/>
              <w:rPr>
                <w:sz w:val="14"/>
                <w:szCs w:val="14"/>
                <w:color w:val="auto"/>
              </w:rPr>
            </w:pPr>
          </w:p>
        </w:tc>
        <w:tc>
          <w:tcPr>
            <w:tcW w:w="1220" w:type="dxa"/>
            <w:vAlign w:val="bottom"/>
          </w:tcPr>
          <w:p>
            <w:pPr>
              <w:jc w:val="right"/>
              <w:ind w:right="119"/>
              <w:spacing w:after="0"/>
              <w:rPr>
                <w:sz w:val="20"/>
                <w:szCs w:val="20"/>
                <w:color w:val="auto"/>
              </w:rPr>
            </w:pPr>
            <w:r>
              <w:rPr>
                <w:rFonts w:ascii="Arial" w:cs="Arial" w:eastAsia="Arial" w:hAnsi="Arial"/>
                <w:sz w:val="15"/>
                <w:szCs w:val="15"/>
                <w:color w:val="auto"/>
              </w:rPr>
              <w:t>December 31,</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680"/>
              <w:spacing w:after="0" w:line="162" w:lineRule="exact"/>
              <w:rPr>
                <w:sz w:val="20"/>
                <w:szCs w:val="20"/>
                <w:color w:val="auto"/>
              </w:rPr>
            </w:pPr>
            <w:r>
              <w:rPr>
                <w:rFonts w:ascii="Arial" w:cs="Arial" w:eastAsia="Arial" w:hAnsi="Arial"/>
                <w:sz w:val="16"/>
                <w:szCs w:val="16"/>
                <w:color w:val="auto"/>
              </w:rPr>
              <w:t>Fixed maturities, available for sale at fair value (amortized cost — $10,573 and $10,752; allowance for</w:t>
            </w: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10,196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10,377</w:t>
            </w:r>
          </w:p>
        </w:tc>
        <w:tc>
          <w:tcPr>
            <w:tcW w:w="0" w:type="dxa"/>
            <w:vAlign w:val="bottom"/>
          </w:tcPr>
          <w:p>
            <w:pPr>
              <w:spacing w:after="0"/>
              <w:rPr>
                <w:sz w:val="1"/>
                <w:szCs w:val="1"/>
                <w:color w:val="auto"/>
              </w:rPr>
            </w:pPr>
          </w:p>
        </w:tc>
      </w:tr>
      <w:tr>
        <w:trPr>
          <w:trHeight w:val="215"/>
        </w:trPr>
        <w:tc>
          <w:tcPr>
            <w:tcW w:w="8400" w:type="dxa"/>
            <w:vAlign w:val="bottom"/>
          </w:tcPr>
          <w:p>
            <w:pPr>
              <w:ind w:left="1000"/>
              <w:spacing w:after="0"/>
              <w:rPr>
                <w:sz w:val="20"/>
                <w:szCs w:val="20"/>
                <w:color w:val="auto"/>
              </w:rPr>
            </w:pPr>
            <w:r>
              <w:rPr>
                <w:rFonts w:ascii="Arial" w:cs="Arial" w:eastAsia="Arial" w:hAnsi="Arial"/>
                <w:sz w:val="16"/>
                <w:szCs w:val="16"/>
                <w:color w:val="auto"/>
              </w:rPr>
              <w:t>expected credit losses of $10 and $12)</w:t>
            </w: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Fixed maturities, trading at fair value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Equity securities, at fair value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Investments accounted for using the equity method</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Mortgage loans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 estate and other investments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9"/>
        </w:trPr>
        <w:tc>
          <w:tcPr>
            <w:tcW w:w="8400" w:type="dxa"/>
            <w:vAlign w:val="bottom"/>
          </w:tcPr>
          <w:p>
            <w:pPr>
              <w:ind w:left="1440"/>
              <w:spacing w:after="0"/>
              <w:rPr>
                <w:sz w:val="20"/>
                <w:szCs w:val="20"/>
                <w:color w:val="auto"/>
              </w:rPr>
            </w:pPr>
            <w:r>
              <w:rPr>
                <w:rFonts w:ascii="Arial" w:cs="Arial" w:eastAsia="Arial" w:hAnsi="Arial"/>
                <w:sz w:val="16"/>
                <w:szCs w:val="16"/>
                <w:color w:val="auto"/>
              </w:rPr>
              <w:t>Total cash and investments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15,263</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Recoverables from reinsurers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4,477</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reinsurance premiums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Agents’ balances and premiums receivable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1,471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policy acquisition costs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Assets of managed investment entities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4,484</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0"/>
        </w:trPr>
        <w:tc>
          <w:tcPr>
            <w:tcW w:w="8400" w:type="dxa"/>
            <w:vAlign w:val="bottom"/>
          </w:tcPr>
          <w:p>
            <w:pPr>
              <w:ind w:left="14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29,913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29,787</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Unpaid losses and loss adjustment expenses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13,087</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Unearned premiums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3,451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Payable to reinsurers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Liabilities of managed investment entities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4,307</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25,529</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Shareholders’ equity:</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680"/>
              <w:spacing w:after="0" w:line="162" w:lineRule="exact"/>
              <w:rPr>
                <w:sz w:val="20"/>
                <w:szCs w:val="20"/>
                <w:color w:val="auto"/>
              </w:rPr>
            </w:pPr>
            <w:r>
              <w:rPr>
                <w:rFonts w:ascii="Arial" w:cs="Arial" w:eastAsia="Arial" w:hAnsi="Arial"/>
                <w:sz w:val="16"/>
                <w:szCs w:val="16"/>
                <w:color w:val="auto"/>
              </w:rPr>
              <w:t>Common Stock, no par value</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980"/>
              <w:spacing w:after="0" w:line="162" w:lineRule="exact"/>
              <w:rPr>
                <w:sz w:val="20"/>
                <w:szCs w:val="20"/>
                <w:color w:val="auto"/>
              </w:rPr>
            </w:pPr>
            <w:r>
              <w:rPr>
                <w:rFonts w:ascii="Arial" w:cs="Arial" w:eastAsia="Arial" w:hAnsi="Arial"/>
                <w:sz w:val="16"/>
                <w:szCs w:val="16"/>
                <w:color w:val="auto"/>
              </w:rPr>
              <w:t>— 200,000,000 shares authorized</w:t>
            </w: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5"/>
        </w:trPr>
        <w:tc>
          <w:tcPr>
            <w:tcW w:w="8400" w:type="dxa"/>
            <w:vAlign w:val="bottom"/>
          </w:tcPr>
          <w:p>
            <w:pPr>
              <w:ind w:left="980"/>
              <w:spacing w:after="0"/>
              <w:rPr>
                <w:sz w:val="20"/>
                <w:szCs w:val="20"/>
                <w:color w:val="auto"/>
              </w:rPr>
            </w:pPr>
            <w:r>
              <w:rPr>
                <w:rFonts w:ascii="Arial" w:cs="Arial" w:eastAsia="Arial" w:hAnsi="Arial"/>
                <w:sz w:val="16"/>
                <w:szCs w:val="16"/>
                <w:color w:val="auto"/>
              </w:rPr>
              <w:t>— 83,897,267 and 83,635,807 shares outstanding</w:t>
            </w: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Capital surplus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3,121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Accumulated other comprehensive income (loss), net of tax</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4,258</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Total liabilities and shareholders’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29,787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CONSOLIDATED STATEMENT OF EARNINGS (UNAUDITED)</w:t>
      </w:r>
    </w:p>
    <w:p>
      <w:pPr>
        <w:jc w:val="center"/>
        <w:spacing w:after="0"/>
        <w:rPr>
          <w:sz w:val="20"/>
          <w:szCs w:val="20"/>
          <w:color w:val="auto"/>
        </w:rPr>
      </w:pPr>
      <w:r>
        <w:rPr>
          <w:rFonts w:ascii="Arial" w:cs="Arial" w:eastAsia="Arial" w:hAnsi="Arial"/>
          <w:sz w:val="20"/>
          <w:szCs w:val="20"/>
          <w:b w:val="1"/>
          <w:bCs w:val="1"/>
          <w:color w:val="003366"/>
        </w:rPr>
        <w:t>(In Millions,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4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0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40" w:type="dxa"/>
            <w:vAlign w:val="bottom"/>
          </w:tcPr>
          <w:p>
            <w:pPr>
              <w:ind w:left="360"/>
              <w:spacing w:after="0"/>
              <w:rPr>
                <w:sz w:val="20"/>
                <w:szCs w:val="20"/>
                <w:color w:val="auto"/>
              </w:rPr>
            </w:pPr>
            <w:r>
              <w:rPr>
                <w:rFonts w:ascii="Arial" w:cs="Arial" w:eastAsia="Arial" w:hAnsi="Arial"/>
                <w:sz w:val="16"/>
                <w:szCs w:val="16"/>
                <w:color w:val="auto"/>
              </w:rPr>
              <w:t>Property and casualty insurance net earned premiums</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1,585</w:t>
            </w:r>
          </w:p>
        </w:tc>
        <w:tc>
          <w:tcPr>
            <w:tcW w:w="100" w:type="dxa"/>
            <w:vAlign w:val="bottom"/>
          </w:tcPr>
          <w:p>
            <w:pPr>
              <w:spacing w:after="0"/>
              <w:rPr>
                <w:sz w:val="18"/>
                <w:szCs w:val="18"/>
                <w:color w:val="auto"/>
              </w:rPr>
            </w:pP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1,507</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3,131</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2,944</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investment income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15"/>
        </w:trPr>
        <w:tc>
          <w:tcPr>
            <w:tcW w:w="5240" w:type="dxa"/>
            <w:vAlign w:val="bottom"/>
          </w:tcPr>
          <w:p>
            <w:pPr>
              <w:ind w:left="360"/>
              <w:spacing w:after="0"/>
              <w:rPr>
                <w:sz w:val="20"/>
                <w:szCs w:val="20"/>
                <w:color w:val="auto"/>
              </w:rPr>
            </w:pPr>
            <w:r>
              <w:rPr>
                <w:rFonts w:ascii="Arial" w:cs="Arial" w:eastAsia="Arial" w:hAnsi="Arial"/>
                <w:sz w:val="16"/>
                <w:szCs w:val="16"/>
                <w:color w:val="auto"/>
              </w:rPr>
              <w:t>Realized gains (losses) on securities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of managed investment entities: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40" w:type="dxa"/>
            <w:vAlign w:val="bottom"/>
          </w:tcPr>
          <w:p>
            <w:pPr>
              <w:ind w:left="680"/>
              <w:spacing w:after="0"/>
              <w:rPr>
                <w:sz w:val="20"/>
                <w:szCs w:val="20"/>
                <w:color w:val="auto"/>
              </w:rPr>
            </w:pPr>
            <w:r>
              <w:rPr>
                <w:rFonts w:ascii="Arial" w:cs="Arial" w:eastAsia="Arial" w:hAnsi="Arial"/>
                <w:sz w:val="16"/>
                <w:szCs w:val="16"/>
                <w:color w:val="auto"/>
              </w:rPr>
              <w:t>Investment income</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(loss) on change in fair value of assets/liabilities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income</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revenues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1,840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40" w:type="dxa"/>
            <w:vAlign w:val="bottom"/>
          </w:tcPr>
          <w:p>
            <w:pPr>
              <w:ind w:left="360"/>
              <w:spacing w:after="0"/>
              <w:rPr>
                <w:sz w:val="20"/>
                <w:szCs w:val="20"/>
                <w:color w:val="auto"/>
              </w:rPr>
            </w:pPr>
            <w:r>
              <w:rPr>
                <w:rFonts w:ascii="Arial" w:cs="Arial" w:eastAsia="Arial" w:hAnsi="Arial"/>
                <w:sz w:val="16"/>
                <w:szCs w:val="16"/>
                <w:color w:val="auto"/>
              </w:rPr>
              <w:t>Property and casualty insurance:</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Losses and loss adjustment expenses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0" w:type="dxa"/>
            <w:vAlign w:val="bottom"/>
          </w:tcPr>
          <w:p>
            <w:pPr>
              <w:spacing w:after="0"/>
              <w:rPr>
                <w:sz w:val="1"/>
                <w:szCs w:val="1"/>
                <w:color w:val="auto"/>
              </w:rPr>
            </w:pPr>
          </w:p>
        </w:tc>
      </w:tr>
      <w:tr>
        <w:trPr>
          <w:trHeight w:val="215"/>
        </w:trPr>
        <w:tc>
          <w:tcPr>
            <w:tcW w:w="5240" w:type="dxa"/>
            <w:vAlign w:val="bottom"/>
          </w:tcPr>
          <w:p>
            <w:pPr>
              <w:ind w:left="680"/>
              <w:spacing w:after="0"/>
              <w:rPr>
                <w:sz w:val="20"/>
                <w:szCs w:val="20"/>
                <w:color w:val="auto"/>
              </w:rPr>
            </w:pPr>
            <w:r>
              <w:rPr>
                <w:rFonts w:ascii="Arial" w:cs="Arial" w:eastAsia="Arial" w:hAnsi="Arial"/>
                <w:sz w:val="16"/>
                <w:szCs w:val="16"/>
                <w:color w:val="auto"/>
              </w:rPr>
              <w:t>Commissions and other underwriting expenses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charges on borrowed money</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5"/>
        </w:trPr>
        <w:tc>
          <w:tcPr>
            <w:tcW w:w="5240" w:type="dxa"/>
            <w:vAlign w:val="bottom"/>
          </w:tcPr>
          <w:p>
            <w:pPr>
              <w:ind w:left="360"/>
              <w:spacing w:after="0"/>
              <w:rPr>
                <w:sz w:val="20"/>
                <w:szCs w:val="20"/>
                <w:color w:val="auto"/>
              </w:rPr>
            </w:pPr>
            <w:r>
              <w:rPr>
                <w:rFonts w:ascii="Arial" w:cs="Arial" w:eastAsia="Arial" w:hAnsi="Arial"/>
                <w:sz w:val="16"/>
                <w:szCs w:val="16"/>
                <w:color w:val="auto"/>
              </w:rPr>
              <w:t>Expenses of managed investment entities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expenses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9"/>
        </w:trPr>
        <w:tc>
          <w:tcPr>
            <w:tcW w:w="52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costs and expenses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1,585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3,061</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before income taxes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15"/>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3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40" w:type="dxa"/>
            <w:vAlign w:val="bottom"/>
          </w:tcPr>
          <w:p>
            <w:pPr>
              <w:ind w:left="360"/>
              <w:spacing w:after="0"/>
              <w:rPr>
                <w:sz w:val="20"/>
                <w:szCs w:val="20"/>
                <w:color w:val="auto"/>
              </w:rPr>
            </w:pPr>
            <w:r>
              <w:rPr>
                <w:rFonts w:ascii="Arial" w:cs="Arial" w:eastAsia="Arial" w:hAnsi="Arial"/>
                <w:sz w:val="16"/>
                <w:szCs w:val="16"/>
                <w:color w:val="auto"/>
              </w:rPr>
              <w:t>Total basic earnings</w:t>
            </w: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diluted earnings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Average number of Common Shares: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2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15"/>
        </w:trPr>
        <w:tc>
          <w:tcPr>
            <w:tcW w:w="5240" w:type="dxa"/>
            <w:vAlign w:val="bottom"/>
          </w:tcPr>
          <w:p>
            <w:pPr>
              <w:ind w:left="360"/>
              <w:spacing w:after="0"/>
              <w:rPr>
                <w:sz w:val="20"/>
                <w:szCs w:val="20"/>
                <w:color w:val="auto"/>
              </w:rPr>
            </w:pPr>
            <w:r>
              <w:rPr>
                <w:rFonts w:ascii="Arial" w:cs="Arial" w:eastAsia="Arial" w:hAnsi="Arial"/>
                <w:sz w:val="16"/>
                <w:szCs w:val="16"/>
                <w:color w:val="auto"/>
              </w:rPr>
              <w:t>Diluted</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003366"/>
        </w:rPr>
        <w:t>CONSOLIDATED STATEMENT OF COMPREHENSIVE INCOME (UNAUDITED)</w:t>
      </w:r>
    </w:p>
    <w:p>
      <w:pPr>
        <w:jc w:val="center"/>
        <w:spacing w:after="0"/>
        <w:rPr>
          <w:sz w:val="20"/>
          <w:szCs w:val="20"/>
          <w:color w:val="auto"/>
        </w:rPr>
      </w:pPr>
      <w:r>
        <w:rPr>
          <w:rFonts w:ascii="Arial" w:cs="Arial" w:eastAsia="Arial" w:hAnsi="Arial"/>
          <w:sz w:val="20"/>
          <w:szCs w:val="20"/>
          <w:b w:val="1"/>
          <w:bCs w:val="1"/>
          <w:color w:val="003366"/>
        </w:rPr>
        <w:t>(In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40" w:type="dxa"/>
            <w:vAlign w:val="bottom"/>
          </w:tcPr>
          <w:p>
            <w:pPr>
              <w:spacing w:after="0"/>
              <w:rPr>
                <w:sz w:val="17"/>
                <w:szCs w:val="17"/>
                <w:color w:val="auto"/>
              </w:rPr>
            </w:pPr>
          </w:p>
        </w:tc>
        <w:tc>
          <w:tcPr>
            <w:tcW w:w="27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5"/>
                <w:szCs w:val="15"/>
                <w:color w:val="auto"/>
              </w:rPr>
              <w:t>Three months ended June 30,</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5"/>
                <w:szCs w:val="15"/>
                <w:color w:val="auto"/>
              </w:rPr>
              <w:t>Six months ended June 30,</w:t>
            </w:r>
          </w:p>
        </w:tc>
        <w:tc>
          <w:tcPr>
            <w:tcW w:w="0" w:type="dxa"/>
            <w:vAlign w:val="bottom"/>
          </w:tcPr>
          <w:p>
            <w:pPr>
              <w:spacing w:after="0"/>
              <w:rPr>
                <w:sz w:val="1"/>
                <w:szCs w:val="1"/>
                <w:color w:val="auto"/>
              </w:rPr>
            </w:pPr>
          </w:p>
        </w:tc>
      </w:tr>
      <w:tr>
        <w:trPr>
          <w:trHeight w:val="198"/>
        </w:trPr>
        <w:tc>
          <w:tcPr>
            <w:tcW w:w="47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rPr>
              <w:t>2024</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color w:val="auto"/>
              </w:rPr>
              <w:t>2023</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140"/>
              <w:spacing w:after="0"/>
              <w:rPr>
                <w:sz w:val="20"/>
                <w:szCs w:val="20"/>
                <w:color w:val="auto"/>
              </w:rPr>
            </w:pPr>
            <w:r>
              <w:rPr>
                <w:rFonts w:ascii="Arial" w:cs="Arial" w:eastAsia="Arial" w:hAnsi="Arial"/>
                <w:sz w:val="16"/>
                <w:szCs w:val="16"/>
                <w:color w:val="auto"/>
              </w:rPr>
              <w:t>Net unrealized gains (losses) on securities: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Unrealized holding gains (losses) on securities arising during</w:t>
            </w:r>
          </w:p>
        </w:tc>
        <w:tc>
          <w:tcPr>
            <w:tcW w:w="108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the period</w:t>
            </w:r>
          </w:p>
        </w:tc>
        <w:tc>
          <w:tcPr>
            <w:tcW w:w="108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40"/>
              <w:spacing w:after="0" w:line="162" w:lineRule="exact"/>
              <w:rPr>
                <w:sz w:val="20"/>
                <w:szCs w:val="20"/>
                <w:color w:val="auto"/>
              </w:rPr>
            </w:pPr>
            <w:r>
              <w:rPr>
                <w:rFonts w:ascii="Arial" w:cs="Arial" w:eastAsia="Arial" w:hAnsi="Arial"/>
                <w:sz w:val="16"/>
                <w:szCs w:val="16"/>
                <w:color w:val="auto"/>
              </w:rPr>
              <w:t>Reclassification adjustment for realized (gains) losses</w:t>
            </w:r>
          </w:p>
        </w:tc>
        <w:tc>
          <w:tcPr>
            <w:tcW w:w="10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47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included in net earnings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net unrealized gains (losses) on securities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5"/>
        </w:trPr>
        <w:tc>
          <w:tcPr>
            <w:tcW w:w="4740" w:type="dxa"/>
            <w:vAlign w:val="bottom"/>
          </w:tcPr>
          <w:p>
            <w:pPr>
              <w:ind w:left="140"/>
              <w:spacing w:after="0"/>
              <w:rPr>
                <w:sz w:val="20"/>
                <w:szCs w:val="20"/>
                <w:color w:val="auto"/>
              </w:rPr>
            </w:pPr>
            <w:r>
              <w:rPr>
                <w:rFonts w:ascii="Arial" w:cs="Arial" w:eastAsia="Arial" w:hAnsi="Arial"/>
                <w:sz w:val="16"/>
                <w:szCs w:val="16"/>
                <w:color w:val="auto"/>
              </w:rPr>
              <w:t>Net unrealized gains (losses) on cash flow hedges: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Unrealized holding gains (losses) on cash flow hedges arising</w:t>
            </w:r>
          </w:p>
        </w:tc>
        <w:tc>
          <w:tcPr>
            <w:tcW w:w="108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during the period</w:t>
            </w:r>
          </w:p>
        </w:tc>
        <w:tc>
          <w:tcPr>
            <w:tcW w:w="108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40"/>
              <w:spacing w:after="0" w:line="162" w:lineRule="exact"/>
              <w:rPr>
                <w:sz w:val="20"/>
                <w:szCs w:val="20"/>
                <w:color w:val="auto"/>
              </w:rPr>
            </w:pPr>
            <w:r>
              <w:rPr>
                <w:rFonts w:ascii="Arial" w:cs="Arial" w:eastAsia="Arial" w:hAnsi="Arial"/>
                <w:sz w:val="16"/>
                <w:szCs w:val="16"/>
                <w:color w:val="auto"/>
              </w:rPr>
              <w:t>Reclassification adjustment for investment income included in</w:t>
            </w:r>
          </w:p>
        </w:tc>
        <w:tc>
          <w:tcPr>
            <w:tcW w:w="10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47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net earnings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net unrealized gains (losses) on cash flow hedges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Other comprehensive income (loss), net of tax</w:t>
            </w: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51"/>
        </w:trPr>
        <w:tc>
          <w:tcPr>
            <w:tcW w:w="4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003366"/>
        </w:rPr>
        <w:t>CONSOLIDATED STATEMENT OF CHANGES IN EQUITY (UNAUDITED)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Shareholders’ Equity</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Common Stock and</w:t>
            </w: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color w:val="auto"/>
              </w:rPr>
              <w:t>Retained</w:t>
            </w:r>
          </w:p>
        </w:tc>
        <w:tc>
          <w:tcPr>
            <w:tcW w:w="1460" w:type="dxa"/>
            <w:vAlign w:val="bottom"/>
            <w:gridSpan w:val="3"/>
          </w:tcPr>
          <w:p>
            <w:pPr>
              <w:jc w:val="right"/>
              <w:ind w:right="160"/>
              <w:spacing w:after="0" w:line="142" w:lineRule="exact"/>
              <w:rPr>
                <w:sz w:val="20"/>
                <w:szCs w:val="20"/>
                <w:color w:val="auto"/>
              </w:rPr>
            </w:pPr>
            <w:r>
              <w:rPr>
                <w:rFonts w:ascii="Arial" w:cs="Arial" w:eastAsia="Arial" w:hAnsi="Arial"/>
                <w:sz w:val="14"/>
                <w:szCs w:val="14"/>
                <w:color w:val="auto"/>
              </w:rPr>
              <w:t>Accumulated Other</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Comp. Income</w:t>
            </w:r>
          </w:p>
        </w:tc>
        <w:tc>
          <w:tcPr>
            <w:tcW w:w="220" w:type="dxa"/>
            <w:vAlign w:val="bottom"/>
          </w:tcPr>
          <w:p>
            <w:pPr>
              <w:spacing w:after="0"/>
              <w:rPr>
                <w:sz w:val="12"/>
                <w:szCs w:val="12"/>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4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Capital Surplus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rPr>
              <w:t>(Loss)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83,857,354</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4,240</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Dividends ($0.71 per share)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3,283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awards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35,357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acquired and retired</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2024</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83,897,267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4,384</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1280" w:type="dxa"/>
            <w:vAlign w:val="bottom"/>
          </w:tcPr>
          <w:p>
            <w:pPr>
              <w:jc w:val="right"/>
              <w:spacing w:after="0"/>
              <w:rPr>
                <w:sz w:val="20"/>
                <w:szCs w:val="20"/>
                <w:color w:val="auto"/>
              </w:rPr>
            </w:pPr>
            <w:r>
              <w:rPr>
                <w:rFonts w:ascii="Arial" w:cs="Arial" w:eastAsia="Arial" w:hAnsi="Arial"/>
                <w:sz w:val="16"/>
                <w:szCs w:val="16"/>
                <w:color w:val="auto"/>
              </w:rPr>
              <w:t>85,171,658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1,459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2,933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3,941</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($0.63 per share)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tcPr>
          <w:p>
            <w:pPr>
              <w:jc w:val="right"/>
              <w:spacing w:after="0"/>
              <w:rPr>
                <w:sz w:val="20"/>
                <w:szCs w:val="20"/>
                <w:color w:val="auto"/>
              </w:rPr>
            </w:pPr>
            <w:r>
              <w:rPr>
                <w:rFonts w:ascii="Arial" w:cs="Arial" w:eastAsia="Arial" w:hAnsi="Arial"/>
                <w:sz w:val="16"/>
                <w:szCs w:val="16"/>
                <w:color w:val="auto"/>
              </w:rPr>
              <w:t>18,344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33,988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tcPr>
          <w:p>
            <w:pPr>
              <w:jc w:val="right"/>
              <w:spacing w:after="0"/>
              <w:rPr>
                <w:sz w:val="20"/>
                <w:szCs w:val="20"/>
                <w:color w:val="auto"/>
              </w:rPr>
            </w:pPr>
            <w:r>
              <w:rPr>
                <w:rFonts w:ascii="Arial" w:cs="Arial" w:eastAsia="Arial" w:hAnsi="Arial"/>
                <w:sz w:val="16"/>
                <w:szCs w:val="16"/>
                <w:color w:val="auto"/>
              </w:rPr>
              <w:t>1,552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tcPr>
          <w:p>
            <w:pPr>
              <w:jc w:val="right"/>
              <w:spacing w:after="0"/>
              <w:rPr>
                <w:sz w:val="20"/>
                <w:szCs w:val="20"/>
                <w:color w:val="auto"/>
              </w:rPr>
            </w:pPr>
            <w:r>
              <w:rPr>
                <w:rFonts w:ascii="Arial" w:cs="Arial" w:eastAsia="Arial" w:hAnsi="Arial"/>
                <w:sz w:val="16"/>
                <w:szCs w:val="16"/>
                <w:color w:val="auto"/>
              </w:rPr>
              <w:t>(374,958)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tcPr>
          <w:p>
            <w:pPr>
              <w:jc w:val="right"/>
              <w:spacing w:after="0"/>
              <w:rPr>
                <w:sz w:val="20"/>
                <w:szCs w:val="20"/>
                <w:color w:val="auto"/>
              </w:rPr>
            </w:pPr>
            <w:r>
              <w:rPr>
                <w:rFonts w:ascii="Arial" w:cs="Arial" w:eastAsia="Arial" w:hAnsi="Arial"/>
                <w:sz w:val="16"/>
                <w:szCs w:val="16"/>
                <w:color w:val="auto"/>
              </w:rPr>
              <w:t>(4,064)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84,858,528</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1600"/>
        <w:spacing w:after="0"/>
        <w:rPr>
          <w:sz w:val="20"/>
          <w:szCs w:val="20"/>
          <w:color w:val="auto"/>
        </w:rPr>
      </w:pPr>
      <w:r>
        <w:rPr>
          <w:rFonts w:ascii="Arial" w:cs="Arial" w:eastAsia="Arial" w:hAnsi="Arial"/>
          <w:sz w:val="20"/>
          <w:szCs w:val="20"/>
          <w:b w:val="1"/>
          <w:bCs w:val="1"/>
          <w:color w:val="003366"/>
        </w:rPr>
        <w:t>CONSOLIDATED STATEMENT OF CHANGES IN EQUITY (UNAUDITED) — CONTINUED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Shareholders’ Equity</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Common Stock and</w:t>
            </w:r>
          </w:p>
        </w:tc>
        <w:tc>
          <w:tcPr>
            <w:tcW w:w="16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color w:val="auto"/>
              </w:rPr>
              <w:t>Retained</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color w:val="auto"/>
              </w:rPr>
              <w:t>Accumulated Other</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Comp. Income</w:t>
            </w:r>
          </w:p>
        </w:tc>
        <w:tc>
          <w:tcPr>
            <w:tcW w:w="220" w:type="dxa"/>
            <w:vAlign w:val="bottom"/>
          </w:tcPr>
          <w:p>
            <w:pPr>
              <w:spacing w:after="0"/>
              <w:rPr>
                <w:sz w:val="12"/>
                <w:szCs w:val="12"/>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4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Capital Surplus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rPr>
              <w:t>(Loss)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83,635,807</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4,258</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Dividends ($3.92 per share)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96,134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157,681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51,161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acquired and retired</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(47,891)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2024</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83,897,267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4,384</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280" w:type="dxa"/>
            <w:vAlign w:val="bottom"/>
          </w:tcPr>
          <w:p>
            <w:pPr>
              <w:jc w:val="right"/>
              <w:spacing w:after="0"/>
              <w:rPr>
                <w:sz w:val="20"/>
                <w:szCs w:val="20"/>
                <w:color w:val="auto"/>
              </w:rPr>
            </w:pPr>
            <w:r>
              <w:rPr>
                <w:rFonts w:ascii="Arial" w:cs="Arial" w:eastAsia="Arial" w:hAnsi="Arial"/>
                <w:sz w:val="16"/>
                <w:szCs w:val="16"/>
                <w:color w:val="auto"/>
              </w:rPr>
              <w:t>85,204,006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1,453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3,142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4,052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($5.26 per share)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77,401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tcPr>
          <w:p>
            <w:pPr>
              <w:jc w:val="right"/>
              <w:spacing w:after="0"/>
              <w:rPr>
                <w:sz w:val="20"/>
                <w:szCs w:val="20"/>
                <w:color w:val="auto"/>
              </w:rPr>
            </w:pPr>
            <w:r>
              <w:rPr>
                <w:rFonts w:ascii="Arial" w:cs="Arial" w:eastAsia="Arial" w:hAnsi="Arial"/>
                <w:sz w:val="16"/>
                <w:szCs w:val="16"/>
                <w:color w:val="auto"/>
              </w:rPr>
              <w:t>165,513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46,287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tcPr>
          <w:p>
            <w:pPr>
              <w:jc w:val="right"/>
              <w:spacing w:after="0"/>
              <w:rPr>
                <w:sz w:val="20"/>
                <w:szCs w:val="20"/>
                <w:color w:val="auto"/>
              </w:rPr>
            </w:pPr>
            <w:r>
              <w:rPr>
                <w:rFonts w:ascii="Arial" w:cs="Arial" w:eastAsia="Arial" w:hAnsi="Arial"/>
                <w:sz w:val="16"/>
                <w:szCs w:val="16"/>
                <w:color w:val="auto"/>
              </w:rPr>
              <w:t>12,463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tcPr>
          <w:p>
            <w:pPr>
              <w:jc w:val="right"/>
              <w:spacing w:after="0"/>
              <w:rPr>
                <w:sz w:val="20"/>
                <w:szCs w:val="20"/>
                <w:color w:val="auto"/>
              </w:rPr>
            </w:pPr>
            <w:r>
              <w:rPr>
                <w:rFonts w:ascii="Arial" w:cs="Arial" w:eastAsia="Arial" w:hAnsi="Arial"/>
                <w:sz w:val="16"/>
                <w:szCs w:val="16"/>
                <w:color w:val="auto"/>
              </w:rPr>
              <w:t>(574,720)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(56,436)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tcPr>
          <w:p>
            <w:pPr>
              <w:jc w:val="right"/>
              <w:spacing w:after="0"/>
              <w:rPr>
                <w:sz w:val="20"/>
                <w:szCs w:val="20"/>
                <w:color w:val="auto"/>
              </w:rPr>
            </w:pPr>
            <w:r>
              <w:rPr>
                <w:rFonts w:ascii="Arial" w:cs="Arial" w:eastAsia="Arial" w:hAnsi="Arial"/>
                <w:sz w:val="16"/>
                <w:szCs w:val="16"/>
                <w:color w:val="auto"/>
              </w:rPr>
              <w:t>(15,986)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84,858,528</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7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003366"/>
        </w:rPr>
        <w:t>CONSOLIDATED STATEMENT OF CASH FLOWS (UNAUDITED)</w:t>
      </w:r>
    </w:p>
    <w:p>
      <w:pPr>
        <w:jc w:val="center"/>
        <w:spacing w:after="0"/>
        <w:rPr>
          <w:sz w:val="20"/>
          <w:szCs w:val="20"/>
          <w:color w:val="auto"/>
        </w:rPr>
      </w:pPr>
      <w:r>
        <w:rPr>
          <w:rFonts w:ascii="Arial" w:cs="Arial" w:eastAsia="Arial" w:hAnsi="Arial"/>
          <w:sz w:val="20"/>
          <w:szCs w:val="20"/>
          <w:b w:val="1"/>
          <w:bCs w:val="1"/>
          <w:color w:val="003366"/>
        </w:rPr>
        <w:t>(In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196"/>
        </w:trPr>
        <w:tc>
          <w:tcPr>
            <w:tcW w:w="83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520" w:type="dxa"/>
            <w:vAlign w:val="bottom"/>
            <w:tcBorders>
              <w:bottom w:val="single" w:sz="8" w:color="auto"/>
            </w:tcBorders>
          </w:tcPr>
          <w:p>
            <w:pPr>
              <w:spacing w:after="0"/>
              <w:rPr>
                <w:sz w:val="17"/>
                <w:szCs w:val="17"/>
                <w:color w:val="auto"/>
              </w:rPr>
            </w:pPr>
          </w:p>
        </w:tc>
      </w:tr>
      <w:tr>
        <w:trPr>
          <w:trHeight w:val="20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Net earnings</w:t>
            </w:r>
          </w:p>
        </w:tc>
        <w:tc>
          <w:tcPr>
            <w:tcW w:w="860" w:type="dxa"/>
            <w:vAlign w:val="bottom"/>
          </w:tcPr>
          <w:p>
            <w:pPr>
              <w:jc w:val="right"/>
              <w:ind w:right="684"/>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900" w:type="dxa"/>
            <w:vAlign w:val="bottom"/>
          </w:tcPr>
          <w:p>
            <w:pPr>
              <w:jc w:val="right"/>
              <w:ind w:right="70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Realized (gains) losses on investing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Net purchases of trading securities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 in:</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Reinsurance and other receivables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(354)</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Other assets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Insurance claims and reserves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Payable to reinsurers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Other liabilities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Managed investment entities’ assets/liabilities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5"/>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operating activities, net</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209"/>
        </w:trPr>
        <w:tc>
          <w:tcPr>
            <w:tcW w:w="83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Net cash provided by operating activities</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w:t>
            </w:r>
          </w:p>
        </w:tc>
      </w:tr>
      <w:tr>
        <w:trPr>
          <w:trHeight w:val="197"/>
        </w:trPr>
        <w:tc>
          <w:tcPr>
            <w:tcW w:w="8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Purchases of:</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Fixed maturities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Equity securities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Mortgage loans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Other investments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 estate, property and equipment</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Proceeds from:</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Maturities and redemptions of fixed maturities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Repayments of mortgage loans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Sales of fixed maturities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Sales of equity securities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Sales of other investments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Sales of real estate, property and equipment</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Managed investment entities: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Purchases of investments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(1,078)</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(951)</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Proceeds from sales and redemptions of investments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w:t>
            </w:r>
          </w:p>
        </w:tc>
      </w:tr>
      <w:tr>
        <w:trPr>
          <w:trHeight w:val="215"/>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investing activities, net</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(used in) investing activities</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r>
      <w:tr>
        <w:trPr>
          <w:trHeight w:val="197"/>
        </w:trPr>
        <w:tc>
          <w:tcPr>
            <w:tcW w:w="8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Reductions of long-term debt</w:t>
            </w:r>
          </w:p>
        </w:tc>
        <w:tc>
          <w:tcPr>
            <w:tcW w:w="8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Issuances of Common Stock</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Repurchases of Common Stock</w:t>
            </w:r>
          </w:p>
        </w:tc>
        <w:tc>
          <w:tcPr>
            <w:tcW w:w="8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 paid on Common Stock</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Issuances of managed investment entities’ liabilities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1,774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617</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Retirements of managed investment entities’ liabilities</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(1,574)</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w:t>
            </w:r>
          </w:p>
        </w:tc>
      </w:tr>
      <w:tr>
        <w:trPr>
          <w:trHeight w:val="209"/>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financing activities</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w:t>
            </w: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r>
      <w:tr>
        <w:trPr>
          <w:trHeight w:val="23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4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320" w:type="dxa"/>
            <w:vAlign w:val="bottom"/>
            <w:gridSpan w:val="2"/>
          </w:tcPr>
          <w:p>
            <w:pPr>
              <w:ind w:left="900"/>
              <w:spacing w:after="0"/>
              <w:rPr>
                <w:sz w:val="20"/>
                <w:szCs w:val="20"/>
                <w:color w:val="auto"/>
              </w:rPr>
            </w:pPr>
            <w:r>
              <w:rPr>
                <w:rFonts w:ascii="Arial" w:cs="Arial" w:eastAsia="Arial" w:hAnsi="Arial"/>
                <w:sz w:val="20"/>
                <w:szCs w:val="20"/>
                <w:b w:val="1"/>
                <w:bCs w:val="1"/>
                <w:color w:val="003366"/>
              </w:rPr>
              <w:t>INDEX TO NOTES</w:t>
            </w:r>
          </w:p>
        </w:tc>
      </w:tr>
      <w:tr>
        <w:trPr>
          <w:trHeight w:val="392"/>
        </w:trPr>
        <w:tc>
          <w:tcPr>
            <w:tcW w:w="400" w:type="dxa"/>
            <w:vAlign w:val="bottom"/>
          </w:tcPr>
          <w:p>
            <w:pPr>
              <w:spacing w:after="0"/>
              <w:rPr>
                <w:sz w:val="20"/>
                <w:szCs w:val="20"/>
                <w:color w:val="auto"/>
              </w:rPr>
            </w:pPr>
            <w:r>
              <w:rPr>
                <w:rFonts w:ascii="Arial" w:cs="Arial" w:eastAsia="Arial" w:hAnsi="Arial"/>
                <w:sz w:val="20"/>
                <w:szCs w:val="20"/>
                <w:b w:val="1"/>
                <w:bCs w:val="1"/>
                <w:color w:val="003366"/>
              </w:rPr>
              <w:t>A.</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Accounting Policies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H.</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w w:val="98"/>
              </w:rPr>
              <w:t>Goodwill and Other Intangibles</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B.</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Acquisition of Business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I.</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Long-Term Debt</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C.</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Segments of Operations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J.</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Shareholders’ Equity</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D.</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Fair Value Measurements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K.</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Income Taxes</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E.</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Investments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L.</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Contingencies</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F.</w:t>
            </w:r>
          </w:p>
        </w:tc>
        <w:tc>
          <w:tcPr>
            <w:tcW w:w="3480" w:type="dxa"/>
            <w:vAlign w:val="bottom"/>
          </w:tcPr>
          <w:p>
            <w:pPr>
              <w:ind w:left="200"/>
              <w:spacing w:after="0"/>
              <w:rPr>
                <w:sz w:val="20"/>
                <w:szCs w:val="20"/>
                <w:color w:val="auto"/>
              </w:rPr>
            </w:pPr>
            <w:r>
              <w:rPr>
                <w:rFonts w:ascii="Arial" w:cs="Arial" w:eastAsia="Arial" w:hAnsi="Arial"/>
                <w:sz w:val="20"/>
                <w:szCs w:val="20"/>
                <w:b w:val="1"/>
                <w:bCs w:val="1"/>
                <w:color w:val="003366"/>
              </w:rPr>
              <w:t>Derivatives</w:t>
            </w:r>
          </w:p>
        </w:tc>
        <w:tc>
          <w:tcPr>
            <w:tcW w:w="2200" w:type="dxa"/>
            <w:vAlign w:val="bottom"/>
          </w:tcPr>
          <w:p>
            <w:pPr>
              <w:ind w:left="1780"/>
              <w:spacing w:after="0"/>
              <w:rPr>
                <w:sz w:val="20"/>
                <w:szCs w:val="20"/>
                <w:color w:val="auto"/>
              </w:rPr>
            </w:pPr>
            <w:r>
              <w:rPr>
                <w:rFonts w:ascii="Arial" w:cs="Arial" w:eastAsia="Arial" w:hAnsi="Arial"/>
                <w:sz w:val="20"/>
                <w:szCs w:val="20"/>
                <w:b w:val="1"/>
                <w:bCs w:val="1"/>
                <w:color w:val="003366"/>
              </w:rPr>
              <w:t>M.</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Insurance</w:t>
            </w:r>
          </w:p>
        </w:tc>
      </w:tr>
    </w:tbl>
    <w:p>
      <w:pPr>
        <w:spacing w:after="0" w:line="24" w:lineRule="exact"/>
        <w:rPr>
          <w:sz w:val="20"/>
          <w:szCs w:val="20"/>
          <w:color w:val="auto"/>
        </w:rPr>
      </w:pPr>
    </w:p>
    <w:p>
      <w:pPr>
        <w:ind w:left="620" w:hanging="594"/>
        <w:spacing w:after="0"/>
        <w:tabs>
          <w:tab w:leader="none" w:pos="620" w:val="left"/>
        </w:tabs>
        <w:numPr>
          <w:ilvl w:val="0"/>
          <w:numId w:val="3"/>
        </w:numPr>
        <w:rPr>
          <w:rFonts w:ascii="Arial" w:cs="Arial" w:eastAsia="Arial" w:hAnsi="Arial"/>
          <w:sz w:val="20"/>
          <w:szCs w:val="20"/>
          <w:b w:val="1"/>
          <w:bCs w:val="1"/>
          <w:color w:val="003366"/>
        </w:rPr>
      </w:pPr>
      <w:r>
        <w:rPr>
          <w:rFonts w:ascii="Arial" w:cs="Arial" w:eastAsia="Arial" w:hAnsi="Arial"/>
          <w:sz w:val="20"/>
          <w:szCs w:val="20"/>
          <w:b w:val="1"/>
          <w:bCs w:val="1"/>
          <w:color w:val="003366"/>
        </w:rPr>
        <w:t>Managed Investment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600" w:hanging="592"/>
        <w:spacing w:after="0"/>
        <w:tabs>
          <w:tab w:leader="none" w:pos="600" w:val="left"/>
        </w:tabs>
        <w:numPr>
          <w:ilvl w:val="0"/>
          <w:numId w:val="4"/>
        </w:numPr>
        <w:rPr>
          <w:rFonts w:ascii="Arial" w:cs="Arial" w:eastAsia="Arial" w:hAnsi="Arial"/>
          <w:sz w:val="29"/>
          <w:szCs w:val="29"/>
          <w:b w:val="1"/>
          <w:bCs w:val="1"/>
          <w:color w:val="003366"/>
        </w:rPr>
      </w:pPr>
      <w:r>
        <w:rPr>
          <w:rFonts w:ascii="Arial" w:cs="Arial" w:eastAsia="Arial" w:hAnsi="Arial"/>
          <w:sz w:val="29"/>
          <w:szCs w:val="29"/>
          <w:b w:val="1"/>
          <w:bCs w:val="1"/>
          <w:color w:val="003366"/>
        </w:rPr>
        <w:t>Accounting Policies</w:t>
      </w:r>
    </w:p>
    <w:p>
      <w:pPr>
        <w:spacing w:after="0" w:line="258"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color w:val="003366"/>
        </w:rPr>
        <w:t xml:space="preserve">Basis of Presentation </w:t>
      </w:r>
      <w:r>
        <w:rPr>
          <w:rFonts w:ascii="Arial" w:cs="Arial" w:eastAsia="Arial" w:hAnsi="Arial"/>
          <w:sz w:val="17"/>
          <w:szCs w:val="17"/>
          <w:color w:val="000000"/>
        </w:rPr>
        <w:t>The accompanying consolidated financial statements for American Financial Group, Inc. and its subsidiaries (“AFG”)</w:t>
      </w:r>
      <w:r>
        <w:rPr>
          <w:rFonts w:ascii="Arial" w:cs="Arial" w:eastAsia="Arial" w:hAnsi="Arial"/>
          <w:sz w:val="20"/>
          <w:szCs w:val="20"/>
          <w:b w:val="1"/>
          <w:bCs w:val="1"/>
          <w:color w:val="003366"/>
        </w:rPr>
        <w:t xml:space="preserve"> </w:t>
      </w:r>
      <w:r>
        <w:rPr>
          <w:rFonts w:ascii="Arial" w:cs="Arial" w:eastAsia="Arial" w:hAnsi="Arial"/>
          <w:sz w:val="17"/>
          <w:szCs w:val="17"/>
          <w:color w:val="000000"/>
        </w:rPr>
        <w:t>are unaudited; however, management believes that all adjustments (consisting only of normal recurring accruals unless otherwise disclosed herein) necessary for fair presentation have been made. The results of operations for interim periods are not necessarily indicative of results to be expected for the year. The financial statements have been prepared in accordance with the instructions to Form 10-Q and, therefore, do not include all information and footnotes necessary to be in conformity with U.S. generally accepted accounting principles (“GAAP”).</w:t>
      </w:r>
    </w:p>
    <w:p>
      <w:pPr>
        <w:spacing w:after="0" w:line="219"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Certain reclassifications have been made to prior periods to conform to the current year’s presentation. All significant intercompany balances and transactions have been eliminated. The results of operations of companies since their formation or acquisition are included in the consolidated financial statements. Events or transactions occurring subsequent to June 30, 2024, and prior to the filing of this Form 10-Q, have been evaluated for potential recognition or disclosure herein.</w:t>
      </w:r>
    </w:p>
    <w:p>
      <w:pPr>
        <w:spacing w:after="0" w:line="206" w:lineRule="exact"/>
        <w:rPr>
          <w:sz w:val="20"/>
          <w:szCs w:val="20"/>
          <w:color w:val="auto"/>
        </w:rPr>
      </w:pPr>
    </w:p>
    <w:p>
      <w:pPr>
        <w:jc w:val="both"/>
        <w:ind w:right="500"/>
        <w:spacing w:after="0" w:line="301" w:lineRule="auto"/>
        <w:rPr>
          <w:sz w:val="20"/>
          <w:szCs w:val="20"/>
          <w:color w:val="auto"/>
        </w:rPr>
      </w:pPr>
      <w:r>
        <w:rPr>
          <w:rFonts w:ascii="Arial" w:cs="Arial" w:eastAsia="Arial" w:hAnsi="Arial"/>
          <w:sz w:val="17"/>
          <w:szCs w:val="17"/>
          <w:color w:val="auto"/>
        </w:rPr>
        <w:t>The preparation of the financial statements requires management to make estimates and assumptions that affect the amounts reported in the financial statements and accompanying notes. Changes in circumstances could cause actual results to differ materially from those estimates.</w:t>
      </w:r>
    </w:p>
    <w:p>
      <w:pPr>
        <w:spacing w:after="0" w:line="170"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color w:val="003366"/>
        </w:rPr>
        <w:t xml:space="preserve">Fair Value Measurements </w:t>
      </w:r>
      <w:r>
        <w:rPr>
          <w:rFonts w:ascii="Arial" w:cs="Arial" w:eastAsia="Arial" w:hAnsi="Arial"/>
          <w:sz w:val="17"/>
          <w:szCs w:val="17"/>
          <w:color w:val="000000"/>
        </w:rPr>
        <w:t>Accounting standards define fair value as the price that would be received to sell an asset or paid to transfer a</w:t>
      </w:r>
      <w:r>
        <w:rPr>
          <w:rFonts w:ascii="Arial" w:cs="Arial" w:eastAsia="Arial" w:hAnsi="Arial"/>
          <w:sz w:val="20"/>
          <w:szCs w:val="20"/>
          <w:b w:val="1"/>
          <w:bCs w:val="1"/>
          <w:color w:val="003366"/>
        </w:rPr>
        <w:t xml:space="preserve"> </w:t>
      </w:r>
      <w:r>
        <w:rPr>
          <w:rFonts w:ascii="Arial" w:cs="Arial" w:eastAsia="Arial" w:hAnsi="Arial"/>
          <w:sz w:val="17"/>
          <w:szCs w:val="17"/>
          <w:color w:val="000000"/>
        </w:rPr>
        <w:t>liability (an exit price) in an orderly transaction between market participants on the measurement date. The standards establish a hierarchy of valuation techniques based on whether the assumptions that market participants would use in pricing the asset or liability (“inputs”) are observable or unobservable. Observable inputs reflect market data obtained from independent sources, while unobservable inputs reflect AFG’s assumptions about the assumptions market participants would use in pricing the asset or liability. AFG did not have any material nonrecurring fair value measurements in the first six months of 2024.</w:t>
      </w:r>
    </w:p>
    <w:p>
      <w:pPr>
        <w:spacing w:after="0" w:line="215" w:lineRule="exact"/>
        <w:rPr>
          <w:sz w:val="20"/>
          <w:szCs w:val="20"/>
          <w:color w:val="auto"/>
        </w:rPr>
      </w:pPr>
    </w:p>
    <w:p>
      <w:pPr>
        <w:ind w:right="180"/>
        <w:spacing w:after="0" w:line="248" w:lineRule="auto"/>
        <w:rPr>
          <w:sz w:val="20"/>
          <w:szCs w:val="20"/>
          <w:color w:val="auto"/>
        </w:rPr>
      </w:pPr>
      <w:r>
        <w:rPr>
          <w:rFonts w:ascii="Arial" w:cs="Arial" w:eastAsia="Arial" w:hAnsi="Arial"/>
          <w:sz w:val="20"/>
          <w:szCs w:val="20"/>
          <w:b w:val="1"/>
          <w:bCs w:val="1"/>
          <w:color w:val="003366"/>
        </w:rPr>
        <w:t xml:space="preserve">Investments </w:t>
      </w:r>
      <w:r>
        <w:rPr>
          <w:rFonts w:ascii="Arial" w:cs="Arial" w:eastAsia="Arial" w:hAnsi="Arial"/>
          <w:sz w:val="17"/>
          <w:szCs w:val="17"/>
          <w:color w:val="000000"/>
        </w:rPr>
        <w:t>Equity securities other than those accounted for under the equity method are reported at fair value with holding gains and losses</w:t>
      </w:r>
      <w:r>
        <w:rPr>
          <w:rFonts w:ascii="Arial" w:cs="Arial" w:eastAsia="Arial" w:hAnsi="Arial"/>
          <w:sz w:val="20"/>
          <w:szCs w:val="20"/>
          <w:b w:val="1"/>
          <w:bCs w:val="1"/>
          <w:color w:val="003366"/>
        </w:rPr>
        <w:t xml:space="preserve"> </w:t>
      </w:r>
      <w:r>
        <w:rPr>
          <w:rFonts w:ascii="Arial" w:cs="Arial" w:eastAsia="Arial" w:hAnsi="Arial"/>
          <w:sz w:val="17"/>
          <w:szCs w:val="17"/>
          <w:color w:val="000000"/>
        </w:rPr>
        <w:t>generally recorded in realized gains (losses) on securities. However, AFG records holding gains and losses on limited partnerships and similar investments that do not qualify for equity method accounting (and are therefore carried at fair value), and certain other securities classified at purchase as “fair value through net investment income” in net investment income.</w:t>
      </w:r>
    </w:p>
    <w:p>
      <w:pPr>
        <w:spacing w:after="0" w:line="216"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Fixed maturity securities classified as “available for sale” are reported at fair value with unrealized gains and losses included in accumulated other comprehensive income (“AOCI”) in AFG’s Balance Sheet. Fixed maturity securities classified as “trading” are reported at fair value with changes in unrealized holding gains or losses during the period included in net investment income. Mortgage loans (net of any allowance) are carried primarily at the aggregate unpaid balance.</w:t>
      </w:r>
    </w:p>
    <w:p>
      <w:pPr>
        <w:spacing w:after="0" w:line="200"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Realized gains or losses on the disposal of fixed maturity securities are determined on the specific identification basis. Premiums and discounts on fixed maturity securities are amortized using the effective interest method. Mortgage-backed securities (“MBS”) are amortized over a period based on estimated future principal payments, including prepayments. Prepayment assumptions are reviewed periodically and adjusted to reflect actual prepayments and changes in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Limited partnerships and similar investments are generally accounted for using the equity method of accounting. Under the equity method, AFG records its share of the earnings or losses of the investee based on when it is reported by the investee in its financial statements rather than in the period in which the investee declares a dividend. AFG’s share of the earnings or losses from equity method investments is generally recorded on a quarter lag due to the timing of the receipt of the investee’s financial statements. AFG’s equity in the earnings (losses) of limited partnerships and similar investments is included in net investment income.</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b w:val="1"/>
          <w:bCs w:val="1"/>
          <w:color w:val="003366"/>
        </w:rPr>
        <w:t xml:space="preserve">Credit Losses on Fixed Maturity Investments </w:t>
      </w:r>
      <w:r>
        <w:rPr>
          <w:rFonts w:ascii="Arial" w:cs="Arial" w:eastAsia="Arial" w:hAnsi="Arial"/>
          <w:sz w:val="17"/>
          <w:szCs w:val="17"/>
          <w:color w:val="000000"/>
        </w:rPr>
        <w:t>When a decline in the value of an available for sale fixed maturity is considered to be</w:t>
      </w:r>
      <w:r>
        <w:rPr>
          <w:rFonts w:ascii="Arial" w:cs="Arial" w:eastAsia="Arial" w:hAnsi="Arial"/>
          <w:sz w:val="20"/>
          <w:szCs w:val="20"/>
          <w:b w:val="1"/>
          <w:bCs w:val="1"/>
          <w:color w:val="003366"/>
        </w:rPr>
        <w:t xml:space="preserve"> </w:t>
      </w:r>
      <w:r>
        <w:rPr>
          <w:rFonts w:ascii="Arial" w:cs="Arial" w:eastAsia="Arial" w:hAnsi="Arial"/>
          <w:sz w:val="17"/>
          <w:szCs w:val="17"/>
          <w:color w:val="000000"/>
        </w:rPr>
        <w:t>other-than-temporary at the balance sheet date, an allowance for credit losses (impairment), including any write-off of accrued interest, is charged to earnings (included in realized gains (losses) on securities). If management can assert that it does not intend to sell the security and it is not more likely than not that it will have to sell it before recovery of its amortized cost basis (net of allowance), then the impairment is separated into two components: (i) the allowance related to credit losses (recorded in earnings) and (ii) the amount related to all other factors (recorded in other comprehensive income). The credit-related portion is measured by comparing a security’s amortized cost to the present value of its current expected cash flows discounted at its effective yield prior to the charge. The allowance is limited to the difference between a security’s amortized cost basis and its fair value. Subsequent increases or decreases in expected credit losses are recorded immediately in net earnings through realized gains (losses). If management intends to sell an impaired security, or it is more likely than not that it will be required to sell the security before recovery, an impairment is recorded in earnings to reduce the amortized cost (net of allowance) of that security to fair value.</w:t>
      </w:r>
    </w:p>
    <w:p>
      <w:pPr>
        <w:spacing w:after="0" w:line="208"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b w:val="1"/>
          <w:bCs w:val="1"/>
          <w:color w:val="003366"/>
        </w:rPr>
        <w:t xml:space="preserve">Credit Losses on Financial Instruments Measured at Amortized Cost </w:t>
      </w:r>
      <w:r>
        <w:rPr>
          <w:rFonts w:ascii="Arial" w:cs="Arial" w:eastAsia="Arial" w:hAnsi="Arial"/>
          <w:sz w:val="17"/>
          <w:szCs w:val="17"/>
          <w:color w:val="000000"/>
        </w:rPr>
        <w:t>Credit-related impairments for financial instruments</w:t>
      </w:r>
      <w:r>
        <w:rPr>
          <w:rFonts w:ascii="Arial" w:cs="Arial" w:eastAsia="Arial" w:hAnsi="Arial"/>
          <w:sz w:val="20"/>
          <w:szCs w:val="20"/>
          <w:b w:val="1"/>
          <w:bCs w:val="1"/>
          <w:color w:val="003366"/>
        </w:rPr>
        <w:t xml:space="preserve"> </w:t>
      </w:r>
      <w:r>
        <w:rPr>
          <w:rFonts w:ascii="Arial" w:cs="Arial" w:eastAsia="Arial" w:hAnsi="Arial"/>
          <w:sz w:val="17"/>
          <w:szCs w:val="17"/>
          <w:color w:val="000000"/>
        </w:rPr>
        <w:t>measured at amortized cost (mortgage loans, premiums receivable and reinsurance recoverables) reflect estimated credit losses expected over the life of an exposure or pool of exposures. The estimate of expected credit losses considers historical information, current information, as well as reasonable and supportable forecasts, including estimates of prepayments. Expected credit losses, and subsequent increases or decreases in such expected losses, are recorded immediately through net earnings as an allowance that is deducted from the amortized cost basis of the financial asset, with the net carrying value of the financial asset presented on the balance sheet at the amount expected to be collected.</w:t>
      </w:r>
    </w:p>
    <w:p>
      <w:pPr>
        <w:spacing w:after="0" w:line="213"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Derivatives </w:t>
      </w:r>
      <w:r>
        <w:rPr>
          <w:rFonts w:ascii="Arial" w:cs="Arial" w:eastAsia="Arial" w:hAnsi="Arial"/>
          <w:sz w:val="17"/>
          <w:szCs w:val="17"/>
          <w:color w:val="000000"/>
        </w:rPr>
        <w:t>Derivatives included in AFG’s Balance Sheet are recorded at fair value. Changes in fair value of derivatives are included in earnings</w:t>
      </w:r>
      <w:r>
        <w:rPr>
          <w:rFonts w:ascii="Arial" w:cs="Arial" w:eastAsia="Arial" w:hAnsi="Arial"/>
          <w:sz w:val="20"/>
          <w:szCs w:val="20"/>
          <w:b w:val="1"/>
          <w:bCs w:val="1"/>
          <w:color w:val="003366"/>
        </w:rPr>
        <w:t xml:space="preserve"> </w:t>
      </w:r>
      <w:r>
        <w:rPr>
          <w:rFonts w:ascii="Arial" w:cs="Arial" w:eastAsia="Arial" w:hAnsi="Arial"/>
          <w:sz w:val="17"/>
          <w:szCs w:val="17"/>
          <w:color w:val="000000"/>
        </w:rPr>
        <w:t>unless the derivatives are designated and qualify as highly effective cash flow hedges. AFG’s derivatives that do not qualify for hedge accounting under GAAP consist primarily of components of certain fixed maturity securities (convertible fixed maturities and interest-only and principal-only MBS) and a total return swap related to its deferred compensation obligations to employees.</w:t>
      </w:r>
    </w:p>
    <w:p>
      <w:pPr>
        <w:spacing w:after="0" w:line="216"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To qualify for hedge accounting, at the inception of a derivative contract, AFG formally documents the relationship between the terms of the hedge and the hedged items and its risk management objective. This documentation includes defining how hedge effectiveness is evaluated at the inception date and over the life of the derivative.</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Changes in the fair value of derivatives that are designated and qualify as highly effective cash flow hedges are recorded in AOCI and are reclassified into earnings when the variability of the cash flows from the hedged items impacts earnings. When the change in the fair value of a qualifying cash flow hedge is included in earnings, it is included in the same line item in the statement of earnings as the cash flows from the hedged item. AFG uses interest rate swaps that are designated and qualify as highly effective cash flow hedges to mitigate interest rate risk related to certain floating-rate securities.</w:t>
      </w:r>
    </w:p>
    <w:p>
      <w:pPr>
        <w:spacing w:after="0" w:line="205"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003366"/>
        </w:rPr>
        <w:t xml:space="preserve">Goodwill </w:t>
      </w:r>
      <w:r>
        <w:rPr>
          <w:rFonts w:ascii="Arial" w:cs="Arial" w:eastAsia="Arial" w:hAnsi="Arial"/>
          <w:sz w:val="17"/>
          <w:szCs w:val="17"/>
          <w:color w:val="000000"/>
        </w:rPr>
        <w:t>Goodwill represents the excess of cost of subsidiaries over AFG’s equity in their underlying net assets at the date of acquisition.</w:t>
      </w:r>
      <w:r>
        <w:rPr>
          <w:rFonts w:ascii="Arial" w:cs="Arial" w:eastAsia="Arial" w:hAnsi="Arial"/>
          <w:sz w:val="20"/>
          <w:szCs w:val="20"/>
          <w:b w:val="1"/>
          <w:bCs w:val="1"/>
          <w:color w:val="003366"/>
        </w:rPr>
        <w:t xml:space="preserve"> </w:t>
      </w:r>
      <w:r>
        <w:rPr>
          <w:rFonts w:ascii="Arial" w:cs="Arial" w:eastAsia="Arial" w:hAnsi="Arial"/>
          <w:sz w:val="17"/>
          <w:szCs w:val="17"/>
          <w:color w:val="000000"/>
        </w:rPr>
        <w:t>Goodwill is not amortized, but is subject to an impairment test at least annually. An entity is not required to complete the quantitative annual goodwill impairment test on a reporting unit if the entity elects to perform a qualitative analysis and determines that it is more likely than not that the reporting unit’s fair value exceeds its carrying amount.</w:t>
      </w:r>
    </w:p>
    <w:p>
      <w:pPr>
        <w:spacing w:after="0" w:line="228"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b w:val="1"/>
          <w:bCs w:val="1"/>
          <w:color w:val="003366"/>
        </w:rPr>
        <w:t xml:space="preserve">Reinsurance </w:t>
      </w:r>
      <w:r>
        <w:rPr>
          <w:rFonts w:ascii="Arial" w:cs="Arial" w:eastAsia="Arial" w:hAnsi="Arial"/>
          <w:sz w:val="17"/>
          <w:szCs w:val="17"/>
          <w:color w:val="000000"/>
        </w:rPr>
        <w:t>Amounts recoverable from reinsurers are estimated in a manner consistent with the claim liability associated with the reinsured</w:t>
      </w:r>
      <w:r>
        <w:rPr>
          <w:rFonts w:ascii="Arial" w:cs="Arial" w:eastAsia="Arial" w:hAnsi="Arial"/>
          <w:sz w:val="20"/>
          <w:szCs w:val="20"/>
          <w:b w:val="1"/>
          <w:bCs w:val="1"/>
          <w:color w:val="003366"/>
        </w:rPr>
        <w:t xml:space="preserve"> </w:t>
      </w:r>
      <w:r>
        <w:rPr>
          <w:rFonts w:ascii="Arial" w:cs="Arial" w:eastAsia="Arial" w:hAnsi="Arial"/>
          <w:sz w:val="17"/>
          <w:szCs w:val="17"/>
          <w:color w:val="000000"/>
        </w:rPr>
        <w:t>policies. AFG reports as assets (i) the estimated reinsurance recoverable on paid and unpaid losses, including an estimate for losses incurred but not reported, and (ii) amounts paid or due to reinsurers applicable to the unexpired terms of policies in force. Payable to reinsurers includes ceded premiums due to reinsurers, as well as ceded premiums retained by AFG under contracts to fund ceded losses as they become due. AFG also assumes reinsurance from other companies. Earnings on reinsurance assumed is recognized based on information received from ceding companies.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51" w:lineRule="auto"/>
        <w:rPr>
          <w:sz w:val="20"/>
          <w:szCs w:val="20"/>
          <w:color w:val="auto"/>
        </w:rPr>
      </w:pPr>
      <w:r>
        <w:rPr>
          <w:rFonts w:ascii="Arial" w:cs="Arial" w:eastAsia="Arial" w:hAnsi="Arial"/>
          <w:sz w:val="20"/>
          <w:szCs w:val="20"/>
          <w:b w:val="1"/>
          <w:bCs w:val="1"/>
          <w:color w:val="003366"/>
        </w:rPr>
        <w:t xml:space="preserve">Deferred Policy Acquisition Costs (“DPAC”) </w:t>
      </w:r>
      <w:r>
        <w:rPr>
          <w:rFonts w:ascii="Arial" w:cs="Arial" w:eastAsia="Arial" w:hAnsi="Arial"/>
          <w:sz w:val="17"/>
          <w:szCs w:val="17"/>
          <w:color w:val="000000"/>
        </w:rPr>
        <w:t>Policy acquisition costs (principally commissions, premium taxes and certain underwriting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and policy issuance costs) directly related to the successful acquisition or renewal of an insurance contract are deferred. DPAC is limited based upon recoverability without any consideration for anticipated investment income and is charged against income ratably over the terms of the related policies. A premium deficiency is recognized if the sum of expected claims costs, claims adjustment expenses and unamortized acquisition costs exceed the related unearned premiums. A premium deficiency is first recognized by charging any unamortized acquisition costs to expense to the extent required to eliminate the deficiency. If the premium deficiency is greater than unamortized acquisition costs, a liability is accrued for the excess deficiency and reported with unpaid losses and loss adjustment expenses.</w:t>
      </w:r>
    </w:p>
    <w:p>
      <w:pPr>
        <w:spacing w:after="0" w:line="211" w:lineRule="exact"/>
        <w:rPr>
          <w:sz w:val="20"/>
          <w:szCs w:val="20"/>
          <w:color w:val="auto"/>
        </w:rPr>
      </w:pPr>
    </w:p>
    <w:p>
      <w:pPr>
        <w:ind w:right="140"/>
        <w:spacing w:after="0" w:line="249" w:lineRule="auto"/>
        <w:rPr>
          <w:sz w:val="20"/>
          <w:szCs w:val="20"/>
          <w:color w:val="auto"/>
        </w:rPr>
      </w:pPr>
      <w:r>
        <w:rPr>
          <w:rFonts w:ascii="Arial" w:cs="Arial" w:eastAsia="Arial" w:hAnsi="Arial"/>
          <w:sz w:val="20"/>
          <w:szCs w:val="20"/>
          <w:b w:val="1"/>
          <w:bCs w:val="1"/>
          <w:color w:val="003366"/>
        </w:rPr>
        <w:t xml:space="preserve">Managed Investment Entities </w:t>
      </w:r>
      <w:r>
        <w:rPr>
          <w:rFonts w:ascii="Arial" w:cs="Arial" w:eastAsia="Arial" w:hAnsi="Arial"/>
          <w:sz w:val="17"/>
          <w:szCs w:val="17"/>
          <w:color w:val="000000"/>
        </w:rPr>
        <w:t>A company is considered the primary beneficiary of, and therefore must consolidate, a variable interest entity</w:t>
      </w:r>
      <w:r>
        <w:rPr>
          <w:rFonts w:ascii="Arial" w:cs="Arial" w:eastAsia="Arial" w:hAnsi="Arial"/>
          <w:sz w:val="20"/>
          <w:szCs w:val="20"/>
          <w:b w:val="1"/>
          <w:bCs w:val="1"/>
          <w:color w:val="003366"/>
        </w:rPr>
        <w:t xml:space="preserve"> </w:t>
      </w:r>
      <w:r>
        <w:rPr>
          <w:rFonts w:ascii="Arial" w:cs="Arial" w:eastAsia="Arial" w:hAnsi="Arial"/>
          <w:sz w:val="17"/>
          <w:szCs w:val="17"/>
          <w:color w:val="000000"/>
        </w:rPr>
        <w:t>(“VIE”) based primarily on its ability to direct the activities of the VIE that most significantly impact that entity’s economic performance and the obligation to absorb losses of, or receive benefits from, the entity that could potentially be significant to the VIE.</w:t>
      </w:r>
    </w:p>
    <w:p>
      <w:pPr>
        <w:spacing w:after="0" w:line="212"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 xml:space="preserve">AFG manages, and has investments in, collateralized loan obligations (“CLOs”) that are VIEs (see </w:t>
      </w:r>
      <w:r>
        <w:rPr>
          <w:rFonts w:ascii="Arial" w:cs="Arial" w:eastAsia="Arial" w:hAnsi="Arial"/>
          <w:sz w:val="17"/>
          <w:szCs w:val="17"/>
          <w:i w:val="1"/>
          <w:iCs w:val="1"/>
          <w:color w:val="auto"/>
        </w:rPr>
        <w:t>Note G — “Managed Investment Entities”</w:t>
      </w:r>
      <w:r>
        <w:rPr>
          <w:rFonts w:ascii="Arial" w:cs="Arial" w:eastAsia="Arial" w:hAnsi="Arial"/>
          <w:sz w:val="17"/>
          <w:szCs w:val="17"/>
          <w:color w:val="auto"/>
        </w:rPr>
        <w:t>). AFG has determined that it is the primary beneficiary of these CLOs because (i) its role as asset manager gives it the power to direct the activities that most significantly impact the economic performance of the CLOs and (ii) through its investment in the CLO debt tranches, it has exposure to CLO losses (limited to the amount AFG invested) and the right to receive CLO benefits that could potentially be significant to the CLOs.</w:t>
      </w:r>
    </w:p>
    <w:p>
      <w:pPr>
        <w:spacing w:after="0" w:line="20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Because AFG has no right to use the CLO assets and no obligation to pay the CLO liabilities, the assets and liabilities of the CLOs are shown separately in AFG’s Balance Sheet. AFG has elected the fair value option for reporting on the CLO assets and liabilities to improve the transparency of financial reporting related to the CLOs. The net gain or loss from accounting for the CLO assets and liabilities at fair value is presented separately in AFG’s Statement of Earnings.</w:t>
      </w:r>
    </w:p>
    <w:p>
      <w:pPr>
        <w:spacing w:after="0" w:line="200" w:lineRule="exact"/>
        <w:rPr>
          <w:sz w:val="20"/>
          <w:szCs w:val="20"/>
          <w:color w:val="auto"/>
        </w:rPr>
      </w:pPr>
    </w:p>
    <w:p>
      <w:pPr>
        <w:ind w:right="540"/>
        <w:spacing w:after="0" w:line="266" w:lineRule="auto"/>
        <w:rPr>
          <w:sz w:val="20"/>
          <w:szCs w:val="20"/>
          <w:color w:val="auto"/>
        </w:rPr>
      </w:pPr>
      <w:r>
        <w:rPr>
          <w:rFonts w:ascii="Arial" w:cs="Arial" w:eastAsia="Arial" w:hAnsi="Arial"/>
          <w:sz w:val="17"/>
          <w:szCs w:val="17"/>
          <w:color w:val="auto"/>
        </w:rPr>
        <w:t>The fair values of a CLO’s assets may differ from the separately measured fair values of its liabilities even though the CLO liabilities only have recourse to the CLO assets. AFG has set the carrying value of the CLO liabilities equal to the fair value of the CLO assets (which have more observable fair values) as an alternative to reporting those liabilities at a separately measured fair value. CLO earnings attributable to AFG’s shareholders are measured by the change in the fair value of AFG’s investments in the CLOs and management fees earned.</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b w:val="1"/>
          <w:bCs w:val="1"/>
          <w:color w:val="003366"/>
        </w:rPr>
        <w:t xml:space="preserve">Unpaid Losses and Loss Adjustment Expenses </w:t>
      </w:r>
      <w:r>
        <w:rPr>
          <w:rFonts w:ascii="Arial" w:cs="Arial" w:eastAsia="Arial" w:hAnsi="Arial"/>
          <w:sz w:val="17"/>
          <w:szCs w:val="17"/>
          <w:color w:val="000000"/>
        </w:rPr>
        <w:t>The liabilities stated for unpaid claims and for expenses of investigation and adjustment</w:t>
      </w:r>
      <w:r>
        <w:rPr>
          <w:rFonts w:ascii="Arial" w:cs="Arial" w:eastAsia="Arial" w:hAnsi="Arial"/>
          <w:sz w:val="20"/>
          <w:szCs w:val="20"/>
          <w:b w:val="1"/>
          <w:bCs w:val="1"/>
          <w:color w:val="003366"/>
        </w:rPr>
        <w:t xml:space="preserve"> </w:t>
      </w:r>
      <w:r>
        <w:rPr>
          <w:rFonts w:ascii="Arial" w:cs="Arial" w:eastAsia="Arial" w:hAnsi="Arial"/>
          <w:sz w:val="17"/>
          <w:szCs w:val="17"/>
          <w:color w:val="000000"/>
        </w:rPr>
        <w:t>of unpaid claims represent management’s best estimate and are based upon (i) the accumulation of case estimates for losses reported prior to the close of the accounting period on direct business written; (ii) estimates received from ceding reinsurers and insurance pools and associations;</w:t>
      </w:r>
    </w:p>
    <w:p>
      <w:pPr>
        <w:spacing w:after="0" w:line="2" w:lineRule="exact"/>
        <w:rPr>
          <w:sz w:val="20"/>
          <w:szCs w:val="20"/>
          <w:color w:val="auto"/>
        </w:rPr>
      </w:pPr>
    </w:p>
    <w:p>
      <w:pPr>
        <w:ind w:right="20" w:firstLine="8"/>
        <w:spacing w:after="0" w:line="256" w:lineRule="auto"/>
        <w:tabs>
          <w:tab w:leader="none" w:pos="275" w:val="left"/>
        </w:tabs>
        <w:numPr>
          <w:ilvl w:val="0"/>
          <w:numId w:val="5"/>
        </w:numPr>
        <w:rPr>
          <w:rFonts w:ascii="Arial" w:cs="Arial" w:eastAsia="Arial" w:hAnsi="Arial"/>
          <w:sz w:val="17"/>
          <w:szCs w:val="17"/>
          <w:color w:val="auto"/>
        </w:rPr>
      </w:pPr>
      <w:r>
        <w:rPr>
          <w:rFonts w:ascii="Arial" w:cs="Arial" w:eastAsia="Arial" w:hAnsi="Arial"/>
          <w:sz w:val="17"/>
          <w:szCs w:val="17"/>
          <w:color w:val="auto"/>
        </w:rPr>
        <w:t>estimates of unreported losses (including possible development on known claims) based on past experience; (iv) estimates based on experience of expenses for investigating and adjusting claims; and (v) the current state of the law and coverage litigation. Establishing reserves for asbestos, environmental and other mass tort claims involves considerably more judgment than other types of claims due to, among other things, inconsistent court decisions, an increase in bankruptcy filings as a result of asbestos-related liabilities, novel theories of coverage, and judicial interpretations that often expand theories of recovery and broaden the scope of coverage.</w:t>
      </w:r>
    </w:p>
    <w:p>
      <w:pPr>
        <w:spacing w:after="0" w:line="210"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Loss reserve liabilities are subject to the impact of changes in claim amounts and frequency and other factors. Changes in estimates of the liabilities for losses and loss adjustment expenses are reflected in the statement of earnings in the period in which determined. Despite the variability inherent in such estimates, management believes that the liabilities for unpaid losses and loss adjustment expenses are adequate and reasonable.</w:t>
      </w:r>
    </w:p>
    <w:p>
      <w:pPr>
        <w:spacing w:after="0" w:line="199" w:lineRule="exact"/>
        <w:rPr>
          <w:sz w:val="20"/>
          <w:szCs w:val="20"/>
          <w:color w:val="auto"/>
        </w:rPr>
      </w:pPr>
    </w:p>
    <w:p>
      <w:pPr>
        <w:jc w:val="both"/>
        <w:ind w:right="320"/>
        <w:spacing w:after="0" w:line="249" w:lineRule="auto"/>
        <w:rPr>
          <w:sz w:val="20"/>
          <w:szCs w:val="20"/>
          <w:color w:val="auto"/>
        </w:rPr>
      </w:pPr>
      <w:r>
        <w:rPr>
          <w:rFonts w:ascii="Arial" w:cs="Arial" w:eastAsia="Arial" w:hAnsi="Arial"/>
          <w:sz w:val="20"/>
          <w:szCs w:val="20"/>
          <w:b w:val="1"/>
          <w:bCs w:val="1"/>
          <w:color w:val="003366"/>
        </w:rPr>
        <w:t xml:space="preserve">Debt Issuance Costs </w:t>
      </w:r>
      <w:r>
        <w:rPr>
          <w:rFonts w:ascii="Arial" w:cs="Arial" w:eastAsia="Arial" w:hAnsi="Arial"/>
          <w:sz w:val="17"/>
          <w:szCs w:val="17"/>
          <w:color w:val="000000"/>
        </w:rPr>
        <w:t>Debt issuance costs related to AFG’s outstanding debt are presented in its Balance Sheet as a direct reduction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carrying value of long-term debt and are amortized over the life of the related debt using the effective interest method as a component of interest expense. Debt issuance costs related to AFG’s revolving credit facilities are included in other assets in AFG’s Balance Sheet.</w:t>
      </w:r>
    </w:p>
    <w:p>
      <w:pPr>
        <w:spacing w:after="0" w:line="211"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b w:val="1"/>
          <w:bCs w:val="1"/>
          <w:color w:val="003366"/>
        </w:rPr>
        <w:t xml:space="preserve">Leases </w:t>
      </w:r>
      <w:r>
        <w:rPr>
          <w:rFonts w:ascii="Arial" w:cs="Arial" w:eastAsia="Arial" w:hAnsi="Arial"/>
          <w:sz w:val="17"/>
          <w:szCs w:val="17"/>
          <w:color w:val="000000"/>
        </w:rPr>
        <w:t>Leases for terms of longer than one year are recognized as assets and liabilities for the rights and obligations created by those leases on</w:t>
      </w:r>
      <w:r>
        <w:rPr>
          <w:rFonts w:ascii="Arial" w:cs="Arial" w:eastAsia="Arial" w:hAnsi="Arial"/>
          <w:sz w:val="20"/>
          <w:szCs w:val="20"/>
          <w:b w:val="1"/>
          <w:bCs w:val="1"/>
          <w:color w:val="003366"/>
        </w:rPr>
        <w:t xml:space="preserve"> </w:t>
      </w:r>
      <w:r>
        <w:rPr>
          <w:rFonts w:ascii="Arial" w:cs="Arial" w:eastAsia="Arial" w:hAnsi="Arial"/>
          <w:sz w:val="17"/>
          <w:szCs w:val="17"/>
          <w:color w:val="000000"/>
        </w:rPr>
        <w:t>the balance sheet based on the present value of contractual cash flows.</w:t>
      </w:r>
    </w:p>
    <w:p>
      <w:pPr>
        <w:spacing w:after="0" w:line="213"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At June 30, 2024 AFG has a $227 million lease liability included in other liabilities and a lease right-of-use asset of $206 million included in other assets compared to $198 million and $176 million, respectively, at December 31, 2023.</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color w:val="003366"/>
        </w:rPr>
        <w:t xml:space="preserve">Premium Recognition </w:t>
      </w:r>
      <w:r>
        <w:rPr>
          <w:rFonts w:ascii="Arial" w:cs="Arial" w:eastAsia="Arial" w:hAnsi="Arial"/>
          <w:sz w:val="17"/>
          <w:szCs w:val="17"/>
          <w:color w:val="000000"/>
        </w:rPr>
        <w:t>Property and casualty premiums are earned generally over the terms of the policies on a pro rata basis. Unearned</w:t>
      </w:r>
      <w:r>
        <w:rPr>
          <w:rFonts w:ascii="Arial" w:cs="Arial" w:eastAsia="Arial" w:hAnsi="Arial"/>
          <w:sz w:val="20"/>
          <w:szCs w:val="20"/>
          <w:b w:val="1"/>
          <w:bCs w:val="1"/>
          <w:color w:val="003366"/>
        </w:rPr>
        <w:t xml:space="preserve"> </w:t>
      </w:r>
      <w:r>
        <w:rPr>
          <w:rFonts w:ascii="Arial" w:cs="Arial" w:eastAsia="Arial" w:hAnsi="Arial"/>
          <w:sz w:val="17"/>
          <w:szCs w:val="17"/>
          <w:color w:val="000000"/>
        </w:rPr>
        <w:t>premiums represent that portion of premiums written, which is applicable to the unexpired terms of policies in force. On reinsurance assumed from other insurance companies or written through various underwriting organizations, unearned premiums are based on information received from such companies and organizations.</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003366"/>
        </w:rPr>
        <w:t xml:space="preserve">Income Taxes </w:t>
      </w:r>
      <w:r>
        <w:rPr>
          <w:rFonts w:ascii="Arial" w:cs="Arial" w:eastAsia="Arial" w:hAnsi="Arial"/>
          <w:sz w:val="17"/>
          <w:szCs w:val="17"/>
          <w:color w:val="000000"/>
        </w:rPr>
        <w:t>Deferred income taxes are calculated using the liability method. Under this method, deferred income tax assets and liabilities are</w:t>
      </w:r>
      <w:r>
        <w:rPr>
          <w:rFonts w:ascii="Arial" w:cs="Arial" w:eastAsia="Arial" w:hAnsi="Arial"/>
          <w:sz w:val="20"/>
          <w:szCs w:val="20"/>
          <w:b w:val="1"/>
          <w:bCs w:val="1"/>
          <w:color w:val="003366"/>
        </w:rPr>
        <w:t xml:space="preserve"> </w:t>
      </w:r>
      <w:r>
        <w:rPr>
          <w:rFonts w:ascii="Arial" w:cs="Arial" w:eastAsia="Arial" w:hAnsi="Arial"/>
          <w:sz w:val="17"/>
          <w:szCs w:val="17"/>
          <w:color w:val="000000"/>
        </w:rPr>
        <w:t>determined based on differences between financial reporting and tax bases and are measured using enacted tax rates. A valuation allowance is established to reduce total deferred tax assets to an amount that will more likely than not be realized. The effect of a change in tax rates on deferred tax assets and liabilities is recorded in net earnings in the period that includes the enactment date.</w:t>
      </w:r>
    </w:p>
    <w:p>
      <w:pPr>
        <w:spacing w:after="0" w:line="216" w:lineRule="exact"/>
        <w:rPr>
          <w:sz w:val="20"/>
          <w:szCs w:val="20"/>
          <w:color w:val="auto"/>
        </w:rPr>
      </w:pPr>
    </w:p>
    <w:p>
      <w:pPr>
        <w:ind w:right="260"/>
        <w:spacing w:after="0" w:line="301" w:lineRule="auto"/>
        <w:rPr>
          <w:sz w:val="20"/>
          <w:szCs w:val="20"/>
          <w:color w:val="auto"/>
        </w:rPr>
      </w:pPr>
      <w:r>
        <w:rPr>
          <w:rFonts w:ascii="Arial" w:cs="Arial" w:eastAsia="Arial" w:hAnsi="Arial"/>
          <w:sz w:val="17"/>
          <w:szCs w:val="17"/>
          <w:color w:val="auto"/>
        </w:rPr>
        <w:t>AFG recognizes the tax benefits of uncertain tax positions only when the position is more likely than not to be sustained under examination by the appropriate taxing authority. Interest and penalties on AFG’s reserve for uncertain tax positions are recognized as a component of tax expense.</w:t>
      </w:r>
    </w:p>
    <w:p>
      <w:pPr>
        <w:spacing w:after="0" w:line="170" w:lineRule="exact"/>
        <w:rPr>
          <w:sz w:val="20"/>
          <w:szCs w:val="20"/>
          <w:color w:val="auto"/>
        </w:rPr>
      </w:pPr>
    </w:p>
    <w:p>
      <w:pPr>
        <w:ind w:right="440"/>
        <w:spacing w:after="0" w:line="237" w:lineRule="auto"/>
        <w:rPr>
          <w:sz w:val="20"/>
          <w:szCs w:val="20"/>
          <w:color w:val="auto"/>
        </w:rPr>
      </w:pPr>
      <w:r>
        <w:rPr>
          <w:rFonts w:ascii="Arial" w:cs="Arial" w:eastAsia="Arial" w:hAnsi="Arial"/>
          <w:sz w:val="20"/>
          <w:szCs w:val="20"/>
          <w:b w:val="1"/>
          <w:bCs w:val="1"/>
          <w:color w:val="003366"/>
        </w:rPr>
        <w:t xml:space="preserve">Stock-Based Compensation </w:t>
      </w:r>
      <w:r>
        <w:rPr>
          <w:rFonts w:ascii="Arial" w:cs="Arial" w:eastAsia="Arial" w:hAnsi="Arial"/>
          <w:sz w:val="17"/>
          <w:szCs w:val="17"/>
          <w:color w:val="000000"/>
        </w:rPr>
        <w:t>All share-based grants are recognized as compensation expense on a straight-line basis over their vesting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periods based on their calculated fair value at the date of grant.</w:t>
      </w:r>
    </w:p>
    <w:p>
      <w:pPr>
        <w:spacing w:after="0" w:line="222" w:lineRule="exact"/>
        <w:rPr>
          <w:sz w:val="20"/>
          <w:szCs w:val="20"/>
          <w:color w:val="auto"/>
        </w:rPr>
      </w:pPr>
    </w:p>
    <w:p>
      <w:pPr>
        <w:ind w:right="300"/>
        <w:spacing w:after="0" w:line="301" w:lineRule="auto"/>
        <w:rPr>
          <w:sz w:val="20"/>
          <w:szCs w:val="20"/>
          <w:color w:val="auto"/>
        </w:rPr>
      </w:pPr>
      <w:r>
        <w:rPr>
          <w:rFonts w:ascii="Arial" w:cs="Arial" w:eastAsia="Arial" w:hAnsi="Arial"/>
          <w:sz w:val="17"/>
          <w:szCs w:val="17"/>
          <w:color w:val="auto"/>
        </w:rPr>
        <w:t>AFG records excess tax benefits or deficiencies for share-based payments through income tax expense in the statement of earnings. In addition, AFG accounts for forfeitures of awards when they occur.</w:t>
      </w:r>
    </w:p>
    <w:p>
      <w:pPr>
        <w:spacing w:after="0" w:line="170" w:lineRule="exact"/>
        <w:rPr>
          <w:sz w:val="20"/>
          <w:szCs w:val="20"/>
          <w:color w:val="auto"/>
        </w:rPr>
      </w:pPr>
    </w:p>
    <w:p>
      <w:pPr>
        <w:jc w:val="both"/>
        <w:ind w:right="400"/>
        <w:spacing w:after="0" w:line="248" w:lineRule="auto"/>
        <w:rPr>
          <w:sz w:val="20"/>
          <w:szCs w:val="20"/>
          <w:color w:val="auto"/>
        </w:rPr>
      </w:pPr>
      <w:r>
        <w:rPr>
          <w:rFonts w:ascii="Arial" w:cs="Arial" w:eastAsia="Arial" w:hAnsi="Arial"/>
          <w:sz w:val="20"/>
          <w:szCs w:val="20"/>
          <w:b w:val="1"/>
          <w:bCs w:val="1"/>
          <w:color w:val="003366"/>
        </w:rPr>
        <w:t xml:space="preserve">Benefit Plans </w:t>
      </w:r>
      <w:r>
        <w:rPr>
          <w:rFonts w:ascii="Arial" w:cs="Arial" w:eastAsia="Arial" w:hAnsi="Arial"/>
          <w:sz w:val="17"/>
          <w:szCs w:val="17"/>
          <w:color w:val="000000"/>
        </w:rPr>
        <w:t>AFG provides retirement benefits to qualified employees of participating companies through the AFG 401(k) Retirement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Savings Plan, a defined contribution plan. AFG makes all contributions to the retirement fund portion of the plan and matches a percentage of employee contributions to the savings fund. Company contributions are expensed in the year for which they are declared. AFG and many of its subsidiaries provide health care and life insurance benefits to eligible retirees. AFG also provides postemployment benefits to former or inactive employees (primarily those on disability) who were not deemed retired under other company plans. The projected future cost of providing these benefits is expensed over the period employees earn such benefits.</w:t>
      </w:r>
    </w:p>
    <w:p>
      <w:pPr>
        <w:spacing w:after="0" w:line="215" w:lineRule="exact"/>
        <w:rPr>
          <w:sz w:val="20"/>
          <w:szCs w:val="20"/>
          <w:color w:val="auto"/>
        </w:rPr>
      </w:pPr>
    </w:p>
    <w:p>
      <w:pPr>
        <w:spacing w:after="0" w:line="249" w:lineRule="auto"/>
        <w:rPr>
          <w:sz w:val="20"/>
          <w:szCs w:val="20"/>
          <w:color w:val="auto"/>
        </w:rPr>
      </w:pPr>
      <w:r>
        <w:rPr>
          <w:rFonts w:ascii="Arial" w:cs="Arial" w:eastAsia="Arial" w:hAnsi="Arial"/>
          <w:sz w:val="20"/>
          <w:szCs w:val="20"/>
          <w:b w:val="1"/>
          <w:bCs w:val="1"/>
          <w:color w:val="003366"/>
        </w:rPr>
        <w:t xml:space="preserve">Earnings Per Share </w:t>
      </w:r>
      <w:r>
        <w:rPr>
          <w:rFonts w:ascii="Arial" w:cs="Arial" w:eastAsia="Arial" w:hAnsi="Arial"/>
          <w:sz w:val="17"/>
          <w:szCs w:val="17"/>
          <w:color w:val="000000"/>
        </w:rPr>
        <w:t>Although basic earnings per share only considers shares of common stock outstanding during the period, the calculation of</w:t>
      </w:r>
      <w:r>
        <w:rPr>
          <w:rFonts w:ascii="Arial" w:cs="Arial" w:eastAsia="Arial" w:hAnsi="Arial"/>
          <w:sz w:val="20"/>
          <w:szCs w:val="20"/>
          <w:b w:val="1"/>
          <w:bCs w:val="1"/>
          <w:color w:val="003366"/>
        </w:rPr>
        <w:t xml:space="preserve"> </w:t>
      </w:r>
      <w:r>
        <w:rPr>
          <w:rFonts w:ascii="Arial" w:cs="Arial" w:eastAsia="Arial" w:hAnsi="Arial"/>
          <w:sz w:val="17"/>
          <w:szCs w:val="17"/>
          <w:color w:val="000000"/>
        </w:rPr>
        <w:t>diluted earnings per share includes the following adjustments to weighted average common shares related to stock-based compensation plans: second quarter of 2024 and 2023 — none and 0.1 million; first six months of both 2024 and 2023 — 0.1 million.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anti-dilutive potential common shares for the second quarter or the first six months of 2024 or 2023.</w:t>
      </w:r>
    </w:p>
    <w:p>
      <w:pPr>
        <w:spacing w:after="0" w:line="262"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003366"/>
        </w:rPr>
        <w:t xml:space="preserve">Statement of Cash Flows </w:t>
      </w:r>
      <w:r>
        <w:rPr>
          <w:rFonts w:ascii="Arial" w:cs="Arial" w:eastAsia="Arial" w:hAnsi="Arial"/>
          <w:sz w:val="17"/>
          <w:szCs w:val="17"/>
          <w:color w:val="000000"/>
        </w:rPr>
        <w:t>For cash flow purposes, “investing activities” are defined as making and collecting loans and acquiring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disposing of debt or equity instruments, property and equipment and businesses. “Financing activities” include obtaining resources from owners and providing them with a return on their investments, borrowing money and repaying amounts borrowed. All other activities are considered “operating.” Short-term investments having original maturities of three months or less when purchased are considered to be cash equivalents for purposes of the financial statements.</w:t>
      </w:r>
    </w:p>
    <w:p>
      <w:pPr>
        <w:spacing w:after="0" w:line="204" w:lineRule="exact"/>
        <w:rPr>
          <w:sz w:val="20"/>
          <w:szCs w:val="20"/>
          <w:color w:val="auto"/>
        </w:rPr>
      </w:pPr>
    </w:p>
    <w:p>
      <w:pPr>
        <w:ind w:left="600" w:hanging="592"/>
        <w:spacing w:after="0"/>
        <w:tabs>
          <w:tab w:leader="none" w:pos="600" w:val="left"/>
        </w:tabs>
        <w:numPr>
          <w:ilvl w:val="0"/>
          <w:numId w:val="6"/>
        </w:numPr>
        <w:rPr>
          <w:rFonts w:ascii="Arial" w:cs="Arial" w:eastAsia="Arial" w:hAnsi="Arial"/>
          <w:sz w:val="29"/>
          <w:szCs w:val="29"/>
          <w:b w:val="1"/>
          <w:bCs w:val="1"/>
          <w:color w:val="003366"/>
        </w:rPr>
      </w:pPr>
      <w:r>
        <w:rPr>
          <w:rFonts w:ascii="Arial" w:cs="Arial" w:eastAsia="Arial" w:hAnsi="Arial"/>
          <w:sz w:val="29"/>
          <w:szCs w:val="29"/>
          <w:b w:val="1"/>
          <w:bCs w:val="1"/>
          <w:color w:val="003366"/>
        </w:rPr>
        <w:t>Acquisition of Business</w:t>
      </w:r>
    </w:p>
    <w:p>
      <w:pPr>
        <w:spacing w:after="0" w:line="258"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003366"/>
        </w:rPr>
        <w:t xml:space="preserve">Crop Risk Services </w:t>
      </w:r>
      <w:r>
        <w:rPr>
          <w:rFonts w:ascii="Arial" w:cs="Arial" w:eastAsia="Arial" w:hAnsi="Arial"/>
          <w:sz w:val="17"/>
          <w:szCs w:val="17"/>
          <w:color w:val="000000"/>
        </w:rPr>
        <w:t>On July 3, 2023, AFG completed the acquisition of Crop Risk Services (“CRS”) from American International Group (“AIG”).</w:t>
      </w:r>
      <w:r>
        <w:rPr>
          <w:rFonts w:ascii="Arial" w:cs="Arial" w:eastAsia="Arial" w:hAnsi="Arial"/>
          <w:sz w:val="20"/>
          <w:szCs w:val="20"/>
          <w:b w:val="1"/>
          <w:bCs w:val="1"/>
          <w:color w:val="003366"/>
        </w:rPr>
        <w:t xml:space="preserve"> </w:t>
      </w:r>
      <w:r>
        <w:rPr>
          <w:rFonts w:ascii="Arial" w:cs="Arial" w:eastAsia="Arial" w:hAnsi="Arial"/>
          <w:sz w:val="17"/>
          <w:szCs w:val="17"/>
          <w:color w:val="000000"/>
        </w:rPr>
        <w:t>CRS is a primary crop insurance general agent based in Decatur, Illinois, that generated crop year 2022 gross written premiums of approximately $1.2 billion and was the seventh largest provider of multi-peril crop insurance in the United States based on 2022 premiums. At closing, AFG paid AIG $234 million (based on $24 million in net tangible assets) using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Expenses related to the acquisition were $3 million and were expensed as incurred. The purchase price was allocated to the acquired assets and liabilities of CRS based on management’s best estimate of fair value as of the acquisition date. The purchase price allocation is shown below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July 3, 2023</w:t>
            </w:r>
          </w:p>
        </w:tc>
      </w:tr>
      <w:tr>
        <w:trPr>
          <w:trHeight w:val="210"/>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at purchase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16"/>
        </w:trPr>
        <w:tc>
          <w:tcPr>
            <w:tcW w:w="9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Tangible assets acquired:</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970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7"/>
        </w:trPr>
        <w:tc>
          <w:tcPr>
            <w:tcW w:w="9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Agents’ balances and premiums receivable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15"/>
        </w:trPr>
        <w:tc>
          <w:tcPr>
            <w:tcW w:w="9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9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tangible assets acquired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16"/>
        </w:trPr>
        <w:tc>
          <w:tcPr>
            <w:tcW w:w="9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acquired:</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9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r>
      <w:tr>
        <w:trPr>
          <w:trHeight w:val="210"/>
        </w:trPr>
        <w:tc>
          <w:tcPr>
            <w:tcW w:w="9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liabilities acquired</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09"/>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tangible assets acquired, at fair value</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35"/>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Excess purchase price over net tangible assets acquired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Allocation of excess purchase price: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9700" w:type="dxa"/>
            <w:vAlign w:val="bottom"/>
          </w:tcPr>
          <w:p>
            <w:pPr>
              <w:ind w:left="240"/>
              <w:spacing w:after="0"/>
              <w:rPr>
                <w:sz w:val="20"/>
                <w:szCs w:val="20"/>
                <w:color w:val="auto"/>
              </w:rPr>
            </w:pPr>
            <w:r>
              <w:rPr>
                <w:rFonts w:ascii="Arial" w:cs="Arial" w:eastAsia="Arial" w:hAnsi="Arial"/>
                <w:sz w:val="16"/>
                <w:szCs w:val="16"/>
                <w:color w:val="auto"/>
              </w:rPr>
              <w:t>Intangible assets acquired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7"/>
        </w:trPr>
        <w:tc>
          <w:tcPr>
            <w:tcW w:w="9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tax asset (*)</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9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35"/>
        </w:trPr>
        <w:tc>
          <w:tcPr>
            <w:tcW w:w="97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Included in Other assets in AFG’s Balance Sheet.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In the purchase price allocation, $124 million of the purchase price was recognized as finite lived intangible assets primarily related to existing</w:t>
      </w:r>
    </w:p>
    <w:p>
      <w:pPr>
        <w:spacing w:after="0" w:line="10"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agency relationships, which will be amortized over an average estimated life of approximately 14 years. The acquisition resulted in the recognition of $85 million in GAAP basis goodwill based on the excess of the purchase price over the fair value of the net assets acquired. The acquisition resulted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$79 million of tax basis goodwill which is deductible for tax purposes.</w:t>
      </w:r>
    </w:p>
    <w:p>
      <w:pPr>
        <w:spacing w:after="0" w:line="209" w:lineRule="exact"/>
        <w:rPr>
          <w:sz w:val="20"/>
          <w:szCs w:val="20"/>
          <w:color w:val="auto"/>
        </w:rPr>
      </w:pPr>
    </w:p>
    <w:p>
      <w:pPr>
        <w:ind w:left="620" w:hanging="612"/>
        <w:spacing w:after="0"/>
        <w:tabs>
          <w:tab w:leader="none" w:pos="620" w:val="left"/>
        </w:tabs>
        <w:numPr>
          <w:ilvl w:val="0"/>
          <w:numId w:val="8"/>
        </w:numPr>
        <w:rPr>
          <w:rFonts w:ascii="Arial" w:cs="Arial" w:eastAsia="Arial" w:hAnsi="Arial"/>
          <w:sz w:val="29"/>
          <w:szCs w:val="29"/>
          <w:b w:val="1"/>
          <w:bCs w:val="1"/>
          <w:color w:val="003366"/>
        </w:rPr>
      </w:pPr>
      <w:r>
        <w:rPr>
          <w:rFonts w:ascii="Arial" w:cs="Arial" w:eastAsia="Arial" w:hAnsi="Arial"/>
          <w:sz w:val="29"/>
          <w:szCs w:val="29"/>
          <w:b w:val="1"/>
          <w:bCs w:val="1"/>
          <w:color w:val="003366"/>
        </w:rPr>
        <w:t>Segments of Operations</w:t>
      </w:r>
    </w:p>
    <w:p>
      <w:pPr>
        <w:spacing w:after="0" w:line="272"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AFG manages its business as two segments: Property and casualty insurance and Other, which includes holding company costs and operations attributable to the noncontrolling interests of the managed investment entities.</w:t>
      </w:r>
    </w:p>
    <w:p>
      <w:pPr>
        <w:spacing w:after="0" w:line="185"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AFG reports its property and casualty insurance business in the following Specialty sub-segments: (i) Property and transportation, which includes physical damage and liability coverage for buses and trucks and other specialty transportation niches, inland and ocean marine, agricultural-related products and other commercial property coverages, (ii) Specialty casualty, which includes primarily excess and surplus, executive and professional liability, general liability, umbrella and excess liability, specialty coverages in targeted markets, customized programs for small to mid-sized businesses and workers’ compensation insurance, and (iii) Specialty financial, which includes risk management insurance programs for lending and leasing institutions (including equipment leasing and collateral and lender-placed mortgage property insurance), fidelity and surety products and trade credit insurance. Premiums and underwriting profit included under Other specialty represent business assumed by AFG’s internal reinsurance program from the operations that make up AFG’s other Specialty sub-segments and amortization of a deferred gain on a retroactive reinsurance transaction related to the sale of a business. AFG’s reportable segments and their components were determined based primarily upon similar economic characteristics,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(in millions) show AFG’s revenues and earnings before income taxes by segment and sub-segment.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June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5"/>
                <w:szCs w:val="15"/>
                <w:color w:val="auto"/>
              </w:rPr>
              <w:t>Six months ended June 30,</w:t>
            </w:r>
          </w:p>
        </w:tc>
        <w:tc>
          <w:tcPr>
            <w:tcW w:w="0" w:type="dxa"/>
            <w:vAlign w:val="bottom"/>
          </w:tcPr>
          <w:p>
            <w:pPr>
              <w:spacing w:after="0"/>
              <w:rPr>
                <w:sz w:val="1"/>
                <w:szCs w:val="1"/>
                <w:color w:val="auto"/>
              </w:rPr>
            </w:pPr>
          </w:p>
        </w:tc>
      </w:tr>
      <w:tr>
        <w:trPr>
          <w:trHeight w:val="198"/>
        </w:trPr>
        <w:tc>
          <w:tcPr>
            <w:tcW w:w="48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19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Property and casualty insurance: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Premiums earned:</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680"/>
              <w:spacing w:after="0"/>
              <w:rPr>
                <w:sz w:val="20"/>
                <w:szCs w:val="20"/>
                <w:color w:val="auto"/>
              </w:rPr>
            </w:pPr>
            <w:r>
              <w:rPr>
                <w:rFonts w:ascii="Arial" w:cs="Arial" w:eastAsia="Arial" w:hAnsi="Arial"/>
                <w:sz w:val="16"/>
                <w:szCs w:val="16"/>
                <w:color w:val="auto"/>
              </w:rPr>
              <w:t>Specialty</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Property and transportation</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15"/>
        </w:trPr>
        <w:tc>
          <w:tcPr>
            <w:tcW w:w="4860" w:type="dxa"/>
            <w:vAlign w:val="bottom"/>
          </w:tcPr>
          <w:p>
            <w:pPr>
              <w:ind w:left="1120"/>
              <w:spacing w:after="0"/>
              <w:rPr>
                <w:sz w:val="20"/>
                <w:szCs w:val="20"/>
                <w:color w:val="auto"/>
              </w:rPr>
            </w:pPr>
            <w:r>
              <w:rPr>
                <w:rFonts w:ascii="Arial" w:cs="Arial" w:eastAsia="Arial" w:hAnsi="Arial"/>
                <w:sz w:val="16"/>
                <w:szCs w:val="16"/>
                <w:color w:val="auto"/>
              </w:rPr>
              <w:t>Specialty casualty</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1,415</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Specialty financial</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 specialty</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Total premiums earned</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w:t>
            </w:r>
          </w:p>
        </w:tc>
        <w:tc>
          <w:tcPr>
            <w:tcW w:w="0" w:type="dxa"/>
            <w:vAlign w:val="bottom"/>
          </w:tcPr>
          <w:p>
            <w:pPr>
              <w:spacing w:after="0"/>
              <w:rPr>
                <w:sz w:val="1"/>
                <w:szCs w:val="1"/>
                <w:color w:val="auto"/>
              </w:rPr>
            </w:pPr>
          </w:p>
        </w:tc>
      </w:tr>
      <w:tr>
        <w:trPr>
          <w:trHeight w:val="215"/>
        </w:trPr>
        <w:tc>
          <w:tcPr>
            <w:tcW w:w="4860" w:type="dxa"/>
            <w:vAlign w:val="bottom"/>
          </w:tcPr>
          <w:p>
            <w:pPr>
              <w:ind w:left="360"/>
              <w:spacing w:after="0"/>
              <w:rPr>
                <w:sz w:val="20"/>
                <w:szCs w:val="20"/>
                <w:color w:val="auto"/>
              </w:rPr>
            </w:pPr>
            <w:r>
              <w:rPr>
                <w:rFonts w:ascii="Arial" w:cs="Arial" w:eastAsia="Arial" w:hAnsi="Arial"/>
                <w:sz w:val="16"/>
                <w:szCs w:val="16"/>
                <w:color w:val="auto"/>
              </w:rPr>
              <w:t>Net investment income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4860" w:type="dxa"/>
            <w:vAlign w:val="bottom"/>
          </w:tcPr>
          <w:p>
            <w:pPr>
              <w:ind w:left="680"/>
              <w:spacing w:after="0"/>
              <w:rPr>
                <w:sz w:val="20"/>
                <w:szCs w:val="20"/>
                <w:color w:val="auto"/>
              </w:rPr>
            </w:pPr>
            <w:r>
              <w:rPr>
                <w:rFonts w:ascii="Arial" w:cs="Arial" w:eastAsia="Arial" w:hAnsi="Arial"/>
                <w:sz w:val="16"/>
                <w:szCs w:val="16"/>
                <w:color w:val="auto"/>
              </w:rPr>
              <w:t>Total property and casualty insurance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1,776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3,350</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09"/>
        </w:trPr>
        <w:tc>
          <w:tcPr>
            <w:tcW w:w="4860" w:type="dxa"/>
            <w:vAlign w:val="bottom"/>
          </w:tcPr>
          <w:p>
            <w:pPr>
              <w:ind w:left="680"/>
              <w:spacing w:after="0"/>
              <w:rPr>
                <w:sz w:val="20"/>
                <w:szCs w:val="20"/>
                <w:color w:val="auto"/>
              </w:rPr>
            </w:pPr>
            <w:r>
              <w:rPr>
                <w:rFonts w:ascii="Arial" w:cs="Arial" w:eastAsia="Arial" w:hAnsi="Arial"/>
                <w:sz w:val="16"/>
                <w:szCs w:val="16"/>
                <w:color w:val="auto"/>
              </w:rPr>
              <w:t>Total revenues before realized gains (losses)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1,902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1,842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3,628</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on securities</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0"/>
        </w:trPr>
        <w:tc>
          <w:tcPr>
            <w:tcW w:w="4860" w:type="dxa"/>
            <w:vAlign w:val="bottom"/>
          </w:tcPr>
          <w:p>
            <w:pPr>
              <w:ind w:left="680"/>
              <w:spacing w:after="0"/>
              <w:rPr>
                <w:sz w:val="20"/>
                <w:szCs w:val="20"/>
                <w:color w:val="auto"/>
              </w:rPr>
            </w:pPr>
            <w:r>
              <w:rPr>
                <w:rFonts w:ascii="Arial" w:cs="Arial" w:eastAsia="Arial" w:hAnsi="Arial"/>
                <w:sz w:val="16"/>
                <w:szCs w:val="16"/>
                <w:color w:val="auto"/>
              </w:rPr>
              <w:t>Total revenues</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4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Earnings Before Income Taxes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casualty insurance: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360"/>
              <w:spacing w:after="0"/>
              <w:rPr>
                <w:sz w:val="20"/>
                <w:szCs w:val="20"/>
                <w:color w:val="auto"/>
              </w:rPr>
            </w:pPr>
            <w:r>
              <w:rPr>
                <w:rFonts w:ascii="Arial" w:cs="Arial" w:eastAsia="Arial" w:hAnsi="Arial"/>
                <w:sz w:val="16"/>
                <w:szCs w:val="16"/>
                <w:color w:val="auto"/>
              </w:rPr>
              <w:t>Underwriting:</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Specialty</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1120"/>
              <w:spacing w:after="0"/>
              <w:rPr>
                <w:sz w:val="20"/>
                <w:szCs w:val="20"/>
                <w:color w:val="auto"/>
              </w:rPr>
            </w:pPr>
            <w:r>
              <w:rPr>
                <w:rFonts w:ascii="Arial" w:cs="Arial" w:eastAsia="Arial" w:hAnsi="Arial"/>
                <w:sz w:val="16"/>
                <w:szCs w:val="16"/>
                <w:color w:val="auto"/>
              </w:rPr>
              <w:t>Property and transportation</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020" w:type="dxa"/>
            <w:vAlign w:val="bottom"/>
          </w:tcPr>
          <w:p>
            <w:pPr>
              <w:jc w:val="right"/>
              <w:ind w:right="84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Specialty casualty</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5"/>
        </w:trPr>
        <w:tc>
          <w:tcPr>
            <w:tcW w:w="4860" w:type="dxa"/>
            <w:vAlign w:val="bottom"/>
          </w:tcPr>
          <w:p>
            <w:pPr>
              <w:ind w:left="1120"/>
              <w:spacing w:after="0"/>
              <w:rPr>
                <w:sz w:val="20"/>
                <w:szCs w:val="20"/>
                <w:color w:val="auto"/>
              </w:rPr>
            </w:pPr>
            <w:r>
              <w:rPr>
                <w:rFonts w:ascii="Arial" w:cs="Arial" w:eastAsia="Arial" w:hAnsi="Arial"/>
                <w:sz w:val="16"/>
                <w:szCs w:val="16"/>
                <w:color w:val="auto"/>
              </w:rPr>
              <w:t>Specialty financial</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Other specialty</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lines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Total underwriting</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Investment and other income, net</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property and casualty insurance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43"/>
        </w:trPr>
        <w:tc>
          <w:tcPr>
            <w:tcW w:w="4860" w:type="dxa"/>
            <w:vAlign w:val="bottom"/>
            <w:shd w:val="clear" w:color="auto" w:fill="CCEEFF"/>
          </w:tcPr>
          <w:p>
            <w:pPr>
              <w:ind w:left="460"/>
              <w:spacing w:after="0" w:line="143" w:lineRule="exact"/>
              <w:rPr>
                <w:sz w:val="20"/>
                <w:szCs w:val="20"/>
                <w:color w:val="auto"/>
              </w:rPr>
            </w:pPr>
            <w:r>
              <w:rPr>
                <w:rFonts w:ascii="Arial" w:cs="Arial" w:eastAsia="Arial" w:hAnsi="Arial"/>
                <w:sz w:val="16"/>
                <w:szCs w:val="16"/>
                <w:color w:val="auto"/>
              </w:rPr>
              <w:t>Total earnings before realized gains (losses) and income</w:t>
            </w:r>
          </w:p>
        </w:tc>
        <w:tc>
          <w:tcPr>
            <w:tcW w:w="9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taxes</w:t>
            </w:r>
          </w:p>
        </w:tc>
        <w:tc>
          <w:tcPr>
            <w:tcW w:w="9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Realized gains (losses) on securities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earnings before income taxes</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20" w:right="580" w:hanging="412"/>
        <w:spacing w:after="0" w:line="284" w:lineRule="auto"/>
        <w:tabs>
          <w:tab w:leader="none" w:pos="411"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holding company interest and expenses, which includes a loss of $1 million and a gain of $1 million on retirement of debt in the second quarter and first six months of 2023, respectively.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20" w:hanging="612"/>
        <w:spacing w:after="0"/>
        <w:tabs>
          <w:tab w:leader="none" w:pos="620" w:val="left"/>
        </w:tabs>
        <w:numPr>
          <w:ilvl w:val="0"/>
          <w:numId w:val="10"/>
        </w:numPr>
        <w:rPr>
          <w:rFonts w:ascii="Arial" w:cs="Arial" w:eastAsia="Arial" w:hAnsi="Arial"/>
          <w:sz w:val="29"/>
          <w:szCs w:val="29"/>
          <w:b w:val="1"/>
          <w:bCs w:val="1"/>
          <w:color w:val="003366"/>
        </w:rPr>
      </w:pPr>
      <w:r>
        <w:rPr>
          <w:rFonts w:ascii="Arial" w:cs="Arial" w:eastAsia="Arial" w:hAnsi="Arial"/>
          <w:sz w:val="29"/>
          <w:szCs w:val="29"/>
          <w:b w:val="1"/>
          <w:bCs w:val="1"/>
          <w:color w:val="003366"/>
        </w:rPr>
        <w:t>Fair Value Measurements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Accounting standards for measuring fair value are based on inputs used in estimating fair value. The three levels of the hierarchy are as follows:</w:t>
      </w:r>
    </w:p>
    <w:p>
      <w:pPr>
        <w:spacing w:after="0" w:line="25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Level 1 — Quoted prices for identical assets or liabilities in active markets (markets in which transactions occur with sufficient frequency and volume to provide pricing information on an ongoing basis). AFG’s Level 1 financial instruments consist primarily of publicly traded equity securities, highly liquid government bonds for which quoted market prices in active markets are available and short-term investments of managed investment entities.</w:t>
      </w:r>
    </w:p>
    <w:p>
      <w:pPr>
        <w:spacing w:after="0" w:line="20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assets or liabilities in inactive markets (markets in which there are few transactions, the prices are not current, price quotations vary substantially over time or among market makers, or in which little information is released publicly); and valuations based on other significant inputs that are observable in active markets. AFG’s Level 2 financial instruments include corporate and municipal fixed maturity securities, asset-backed securities (“ABS”), mortgage-backed securities (“MBS”), certain non-affiliated common stocks and investments of managed investment entities priced using observable inputs. Level 2 inputs include benchmark yields, reported trades, corroborated broker/dealer quotes, issuer spreads and benchmark securities. When non-binding broker quotes can be corroborated by comparison to similar securities priced using observable inputs, they are classified as Level 2.</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Level 3 — Valuations derived from market valuation techniques generally consistent with those used to estimate the fair values of Level 2 financial instruments in which one or more significant inputs are unobservable or when the market for a security exhibits significantly less liquidity relative to markets supporting Level 2 fair value measurements. The unobservable inputs may include management’s own assumptions about the assumptions market participants would use based on the best information available at the valuation date. Financial instruments whose fair value is estimated based on non-binding broker quotes or internally developed using significant inputs not based on, or corroborated by, observable market information are classified as Level 3.</w:t>
      </w:r>
    </w:p>
    <w:p>
      <w:pPr>
        <w:spacing w:after="0" w:line="206"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 xml:space="preserve">As discussed in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AFG has set the carrying value of its CLO liabilities equal to the fair value of the CLO assets (which have more observable fair values) as an alternative to reporting those liabilities at separately measured fair values. As a result, the CLO liabilities are categorized within the fair value hierarchy on the same basis (proportionally) as the related CLO assets. Since the portion of the CLO liabilities allocated to Level 3 is derived from the fair value of the CLO assets, these amounts are excluded from the progression of Level 3 financial instruments.</w:t>
      </w:r>
    </w:p>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AFG’s management is responsible for the valuation process and uses data from outside sources (including nationally recognized pricing services and broker/dealers) in establishing fair value. AFG’s internal investment professionals are a group of approximately 20 investment professionals whose primary responsibility is to manage AFG’s investment portfolio. These professionals monitor individual investments as well as overall industries and are active in the financial markets on a daily basis. The group is led by AFG’s chief investment officer, who reports directly to one of AFG’s Co-CEOs. 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the pricing services regarding the methods and assumptions used in pricing, including verifying, on a test basis, the inputs used by the service to value specific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measured and carried at fair value in the financial statements are summarized below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1</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2</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3</w:t>
            </w:r>
          </w:p>
        </w:tc>
        <w:tc>
          <w:tcPr>
            <w:tcW w:w="28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179"/>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CCEEFF"/>
              <w:bottom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w w:val="99"/>
              </w:rPr>
              <w:t>June 30, 2024</w:t>
            </w:r>
          </w:p>
        </w:tc>
        <w:tc>
          <w:tcPr>
            <w:tcW w:w="50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Available for sale (“AFS”)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176</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Commercial MBS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Collateralized loan obligations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Other asset-backed securities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2,363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Corporate and other</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gridSpan w:val="3"/>
          </w:tcPr>
          <w:p>
            <w:pPr>
              <w:ind w:left="820"/>
              <w:spacing w:after="0"/>
              <w:rPr>
                <w:sz w:val="20"/>
                <w:szCs w:val="20"/>
                <w:color w:val="auto"/>
              </w:rPr>
            </w:pPr>
            <w:r>
              <w:rPr>
                <w:rFonts w:ascii="Arial" w:cs="Arial" w:eastAsia="Arial" w:hAnsi="Arial"/>
                <w:sz w:val="16"/>
                <w:szCs w:val="16"/>
                <w:color w:val="auto"/>
              </w:rPr>
              <w:t>Total AFS fixed maturities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10,196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Trading fixed maturities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Assets of managed investment entities (“MIE”)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Other assets — derivatives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assets accounted for at fair value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1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61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Contingent consideration — acquisitions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4,536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liabilities — derivatives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Total liabilities accounted for at fair value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4,011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4,564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4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December 31, 2023</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Available for sale fixed maturities: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14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Total AFS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Trading fixed maturities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Assets of managed investment entities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4,484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assets — derivatives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Total assets accounted for at fair value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1,079</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13,633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15,942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Contingent consideration — acquisitions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Other liabilities — derivatives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liabilities accounted for at fair value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Approximately 9% of the total assets carried at fair value at June 30, 2024, were Level 3 assets. Approximately 8% ($119 million) of those Level 3 assets were priced using non-binding broker quotes, for which there is a lack of transparency as to the inputs used to determine fair value. Details as to the quantitative inputs are neither provided by the brokers nor otherwise reasonably obtainable by AFG. Approximately 1% ($8 million) of the Level 3 assets were priced by pricing services where either a single price was not corroborated, prices varied enough among the providers, or other market factors led management to determine these securities be classified as Level 3 assets. Approximately 32%</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($440 million) of the Level 3 assets were equity investments in limited partnerships and similar investments that do not qualify for equity method accounting whose prices were determined based on financial information provided by the limited partnerships.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Internally developed prices for fixed maturities are estimated using a variety of inputs, including appropriate credit spreads over the treasury yield (of a similar duration), trade information and prices of comparable securities and other security specific features (such as optional early redemption). Internally developed Level 3 asset fair values represent approximately 59% ($815 million) of the total fair value of Level 3 assets at June 30, 2024. Approximately 71% ($577 million) of these internally developed Level 3 assets are priced using a pricing model that uses a discounted cash flow approach to estimate the fair value of fixed maturity securities. The credit spread applied by management is the significant unobservable input of the pricing model. In instances where the security is currently callable at par value and the pricing model suggests a higher price, management caps the fair value at par value. Approximately 20% ($159 million) of the internally developed Level 3 assets are equity securities which are priced primarily using internal models with some inputs that are not market observable. Management believes that any justifiable changes in unobservable inputs used to determine internally developed fair values would not have resulted in a material change in AFG’s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Changes in balances of Level 3 financial assets and liabilities carried at fair value during the second quarter and first six months of 2024 and 2023 are presented below (in millions). The transfers into and out of Level 3 were due to changes in the availability of market observable inputs. All transfers are reflected in the table at fair value as of the end of the reporting period.</w:t>
      </w:r>
    </w:p>
    <w:p>
      <w:pPr>
        <w:spacing w:after="0" w:line="54"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Total realized/unrealized</w:t>
      </w:r>
    </w:p>
    <w:p>
      <w:pPr>
        <w:ind w:left="4620"/>
        <w:spacing w:after="0"/>
        <w:rPr>
          <w:sz w:val="20"/>
          <w:szCs w:val="20"/>
          <w:color w:val="auto"/>
        </w:rPr>
      </w:pPr>
      <w:r>
        <w:rPr>
          <w:rFonts w:ascii="Arial" w:cs="Arial" w:eastAsia="Arial" w:hAnsi="Arial"/>
          <w:sz w:val="13"/>
          <w:szCs w:val="13"/>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20320</wp:posOffset>
            </wp:positionV>
            <wp:extent cx="12858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1180" w:type="dxa"/>
            <w:vAlign w:val="bottom"/>
            <w:gridSpan w:val="3"/>
            <w:vMerge w:val="restart"/>
          </w:tcPr>
          <w:p>
            <w:pPr>
              <w:jc w:val="center"/>
              <w:ind w:right="80"/>
              <w:spacing w:after="0"/>
              <w:rPr>
                <w:sz w:val="20"/>
                <w:szCs w:val="20"/>
                <w:color w:val="auto"/>
              </w:rPr>
            </w:pPr>
            <w:r>
              <w:rPr>
                <w:rFonts w:ascii="Arial" w:cs="Arial" w:eastAsia="Arial" w:hAnsi="Arial"/>
                <w:sz w:val="13"/>
                <w:szCs w:val="13"/>
                <w:color w:val="auto"/>
                <w:w w:val="96"/>
              </w:rPr>
              <w:t>Balance at March</w:t>
            </w: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color w:val="auto"/>
                <w:w w:val="98"/>
              </w:rPr>
              <w:t>Net</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8"/>
              </w:rPr>
              <w:t>Other</w:t>
            </w:r>
          </w:p>
        </w:tc>
        <w:tc>
          <w:tcPr>
            <w:tcW w:w="1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Purchases</w:t>
            </w:r>
          </w:p>
        </w:tc>
        <w:tc>
          <w:tcPr>
            <w:tcW w:w="12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96"/>
              </w:rPr>
              <w:t>Sales and</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00" w:type="dxa"/>
            <w:vAlign w:val="bottom"/>
          </w:tcPr>
          <w:p>
            <w:pPr>
              <w:spacing w:after="0"/>
              <w:rPr>
                <w:sz w:val="13"/>
                <w:szCs w:val="13"/>
                <w:color w:val="auto"/>
              </w:rPr>
            </w:pPr>
          </w:p>
        </w:tc>
        <w:tc>
          <w:tcPr>
            <w:tcW w:w="1040" w:type="dxa"/>
            <w:vAlign w:val="bottom"/>
            <w:vMerge w:val="restart"/>
          </w:tcPr>
          <w:p>
            <w:pPr>
              <w:jc w:val="center"/>
              <w:ind w:right="29"/>
              <w:spacing w:after="0"/>
              <w:rPr>
                <w:sz w:val="20"/>
                <w:szCs w:val="20"/>
                <w:color w:val="auto"/>
              </w:rPr>
            </w:pPr>
            <w:r>
              <w:rPr>
                <w:rFonts w:ascii="Arial" w:cs="Arial" w:eastAsia="Arial" w:hAnsi="Arial"/>
                <w:sz w:val="13"/>
                <w:szCs w:val="13"/>
                <w:color w:val="auto"/>
                <w:w w:val="96"/>
              </w:rPr>
              <w:t>Balance at June</w:t>
            </w: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96"/>
              </w:rPr>
              <w:t>earnings</w:t>
            </w: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97"/>
              </w:rPr>
              <w:t>comprehensive</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rPr>
              <w:t>and</w:t>
            </w: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rPr>
              <w:t>into</w:t>
            </w:r>
          </w:p>
        </w:tc>
        <w:tc>
          <w:tcPr>
            <w:tcW w:w="120" w:type="dxa"/>
            <w:vAlign w:val="bottom"/>
          </w:tcPr>
          <w:p>
            <w:pPr>
              <w:spacing w:after="0"/>
              <w:rPr>
                <w:sz w:val="10"/>
                <w:szCs w:val="10"/>
                <w:color w:val="auto"/>
              </w:rPr>
            </w:pPr>
          </w:p>
        </w:tc>
        <w:tc>
          <w:tcPr>
            <w:tcW w:w="720" w:type="dxa"/>
            <w:vAlign w:val="bottom"/>
            <w:gridSpan w:val="2"/>
          </w:tcPr>
          <w:p>
            <w:pPr>
              <w:jc w:val="center"/>
              <w:ind w:right="240"/>
              <w:spacing w:after="0" w:line="122" w:lineRule="exact"/>
              <w:rPr>
                <w:sz w:val="20"/>
                <w:szCs w:val="20"/>
                <w:color w:val="auto"/>
              </w:rPr>
            </w:pPr>
            <w:r>
              <w:rPr>
                <w:rFonts w:ascii="Arial" w:cs="Arial" w:eastAsia="Arial" w:hAnsi="Arial"/>
                <w:sz w:val="13"/>
                <w:szCs w:val="13"/>
                <w:color w:val="auto"/>
                <w:w w:val="98"/>
              </w:rPr>
              <w:t>out of</w:t>
            </w:r>
          </w:p>
        </w:tc>
        <w:tc>
          <w:tcPr>
            <w:tcW w:w="1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129"/>
              <w:spacing w:after="0"/>
              <w:rPr>
                <w:sz w:val="20"/>
                <w:szCs w:val="20"/>
                <w:color w:val="auto"/>
              </w:rPr>
            </w:pPr>
            <w:r>
              <w:rPr>
                <w:rFonts w:ascii="Arial" w:cs="Arial" w:eastAsia="Arial" w:hAnsi="Arial"/>
                <w:sz w:val="13"/>
                <w:szCs w:val="13"/>
                <w:color w:val="auto"/>
                <w:w w:val="94"/>
              </w:rPr>
              <w:t>31, 2024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(loss)</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income (loss)</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issuances</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settlements</w:t>
            </w: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rPr>
              <w:t>Level 3</w:t>
            </w:r>
          </w:p>
        </w:tc>
        <w:tc>
          <w:tcPr>
            <w:tcW w:w="12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Level 3</w:t>
            </w:r>
          </w:p>
        </w:tc>
        <w:tc>
          <w:tcPr>
            <w:tcW w:w="100" w:type="dxa"/>
            <w:vAlign w:val="bottom"/>
          </w:tcPr>
          <w:p>
            <w:pPr>
              <w:spacing w:after="0"/>
              <w:rPr>
                <w:sz w:val="14"/>
                <w:szCs w:val="14"/>
                <w:color w:val="auto"/>
              </w:rPr>
            </w:pPr>
          </w:p>
        </w:tc>
        <w:tc>
          <w:tcPr>
            <w:tcW w:w="1040" w:type="dxa"/>
            <w:vAlign w:val="bottom"/>
          </w:tcPr>
          <w:p>
            <w:pPr>
              <w:jc w:val="center"/>
              <w:ind w:right="29"/>
              <w:spacing w:after="0"/>
              <w:rPr>
                <w:sz w:val="20"/>
                <w:szCs w:val="20"/>
                <w:color w:val="auto"/>
              </w:rPr>
            </w:pPr>
            <w:r>
              <w:rPr>
                <w:rFonts w:ascii="Arial" w:cs="Arial" w:eastAsia="Arial" w:hAnsi="Arial"/>
                <w:sz w:val="13"/>
                <w:szCs w:val="13"/>
                <w:color w:val="auto"/>
                <w:w w:val="98"/>
              </w:rPr>
              <w:t>30, 2024</w:t>
            </w:r>
          </w:p>
        </w:tc>
        <w:tc>
          <w:tcPr>
            <w:tcW w:w="0" w:type="dxa"/>
            <w:vAlign w:val="bottom"/>
          </w:tcPr>
          <w:p>
            <w:pPr>
              <w:spacing w:after="0"/>
              <w:rPr>
                <w:sz w:val="1"/>
                <w:szCs w:val="1"/>
                <w:color w:val="auto"/>
              </w:rPr>
            </w:pPr>
          </w:p>
        </w:tc>
      </w:tr>
      <w:tr>
        <w:trPr>
          <w:trHeight w:val="23"/>
        </w:trPr>
        <w:tc>
          <w:tcPr>
            <w:tcW w:w="3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40" w:type="dxa"/>
            <w:vAlign w:val="bottom"/>
          </w:tcPr>
          <w:p>
            <w:pPr>
              <w:ind w:left="140"/>
              <w:spacing w:after="0"/>
              <w:rPr>
                <w:sz w:val="20"/>
                <w:szCs w:val="20"/>
                <w:color w:val="auto"/>
              </w:rPr>
            </w:pPr>
            <w:r>
              <w:rPr>
                <w:rFonts w:ascii="Arial" w:cs="Arial" w:eastAsia="Arial" w:hAnsi="Arial"/>
                <w:sz w:val="14"/>
                <w:szCs w:val="14"/>
                <w:color w:val="auto"/>
              </w:rPr>
              <w:t>U.S. government agency</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municipal</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3140" w:type="dxa"/>
            <w:vAlign w:val="bottom"/>
          </w:tcPr>
          <w:p>
            <w:pPr>
              <w:ind w:left="140"/>
              <w:spacing w:after="0"/>
              <w:rPr>
                <w:sz w:val="20"/>
                <w:szCs w:val="20"/>
                <w:color w:val="auto"/>
              </w:rPr>
            </w:pPr>
            <w:r>
              <w:rPr>
                <w:rFonts w:ascii="Arial" w:cs="Arial" w:eastAsia="Arial" w:hAnsi="Arial"/>
                <w:sz w:val="14"/>
                <w:szCs w:val="14"/>
                <w:color w:val="auto"/>
              </w:rPr>
              <w:t>Residential MBS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3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MBS</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14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3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98"/>
        </w:trPr>
        <w:tc>
          <w:tcPr>
            <w:tcW w:w="31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 and other</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200"/>
        </w:trPr>
        <w:tc>
          <w:tcPr>
            <w:tcW w:w="3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rPr>
                <w:sz w:val="20"/>
                <w:szCs w:val="20"/>
                <w:color w:val="auto"/>
              </w:rPr>
            </w:pPr>
            <w:r>
              <w:rPr>
                <w:rFonts w:ascii="Arial" w:cs="Arial" w:eastAsia="Arial" w:hAnsi="Arial"/>
                <w:sz w:val="14"/>
                <w:szCs w:val="14"/>
                <w:color w:val="auto"/>
              </w:rPr>
              <w:t>Trading fixed maturities</w:t>
            </w:r>
          </w:p>
        </w:tc>
        <w:tc>
          <w:tcPr>
            <w:tcW w:w="2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7"/>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198"/>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Assets of MIE</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Level 3 assets</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Contingent consideration — acquisitions</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3140" w:type="dxa"/>
            <w:vAlign w:val="bottom"/>
          </w:tcPr>
          <w:p>
            <w:pPr>
              <w:ind w:left="140"/>
              <w:spacing w:after="0"/>
              <w:rPr>
                <w:sz w:val="20"/>
                <w:szCs w:val="20"/>
                <w:color w:val="auto"/>
              </w:rPr>
            </w:pPr>
            <w:r>
              <w:rPr>
                <w:rFonts w:ascii="Arial" w:cs="Arial" w:eastAsia="Arial" w:hAnsi="Arial"/>
                <w:sz w:val="14"/>
                <w:szCs w:val="14"/>
                <w:color w:val="auto"/>
              </w:rPr>
              <w:t>Total Level 3 liabilities</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5"/>
          </w:tcPr>
          <w:p>
            <w:pPr>
              <w:ind w:left="220"/>
              <w:spacing w:after="0"/>
              <w:rPr>
                <w:sz w:val="20"/>
                <w:szCs w:val="20"/>
                <w:color w:val="auto"/>
              </w:rPr>
            </w:pPr>
            <w:r>
              <w:rPr>
                <w:rFonts w:ascii="Arial" w:cs="Arial" w:eastAsia="Arial" w:hAnsi="Arial"/>
                <w:sz w:val="13"/>
                <w:szCs w:val="13"/>
                <w:color w:val="auto"/>
              </w:rPr>
              <w:t>Total realized/unrealized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3"/>
                <w:szCs w:val="13"/>
                <w:color w:val="auto"/>
              </w:rPr>
              <w:t>gains (losses) included in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140" w:type="dxa"/>
            <w:vAlign w:val="bottom"/>
          </w:tcPr>
          <w:p>
            <w:pPr>
              <w:spacing w:after="0"/>
              <w:rPr>
                <w:sz w:val="13"/>
                <w:szCs w:val="13"/>
                <w:color w:val="auto"/>
              </w:rPr>
            </w:pPr>
          </w:p>
        </w:tc>
        <w:tc>
          <w:tcPr>
            <w:tcW w:w="1180" w:type="dxa"/>
            <w:vAlign w:val="bottom"/>
            <w:gridSpan w:val="3"/>
            <w:vMerge w:val="restart"/>
          </w:tcPr>
          <w:p>
            <w:pPr>
              <w:jc w:val="center"/>
              <w:ind w:right="80"/>
              <w:spacing w:after="0"/>
              <w:rPr>
                <w:sz w:val="20"/>
                <w:szCs w:val="20"/>
                <w:color w:val="auto"/>
              </w:rPr>
            </w:pPr>
            <w:r>
              <w:rPr>
                <w:rFonts w:ascii="Arial" w:cs="Arial" w:eastAsia="Arial" w:hAnsi="Arial"/>
                <w:sz w:val="13"/>
                <w:szCs w:val="13"/>
                <w:color w:val="auto"/>
                <w:w w:val="96"/>
              </w:rPr>
              <w:t>Balance at March</w:t>
            </w: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color w:val="auto"/>
                <w:w w:val="98"/>
              </w:rPr>
              <w:t>Net</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color w:val="auto"/>
                <w:w w:val="98"/>
              </w:rPr>
              <w:t>Other</w:t>
            </w:r>
          </w:p>
        </w:tc>
        <w:tc>
          <w:tcPr>
            <w:tcW w:w="1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Purchases</w:t>
            </w:r>
          </w:p>
        </w:tc>
        <w:tc>
          <w:tcPr>
            <w:tcW w:w="12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96"/>
              </w:rPr>
              <w:t>Sales and</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00" w:type="dxa"/>
            <w:vAlign w:val="bottom"/>
          </w:tcPr>
          <w:p>
            <w:pPr>
              <w:spacing w:after="0"/>
              <w:rPr>
                <w:sz w:val="13"/>
                <w:szCs w:val="13"/>
                <w:color w:val="auto"/>
              </w:rPr>
            </w:pPr>
          </w:p>
        </w:tc>
        <w:tc>
          <w:tcPr>
            <w:tcW w:w="1040" w:type="dxa"/>
            <w:vAlign w:val="bottom"/>
            <w:vMerge w:val="restart"/>
          </w:tcPr>
          <w:p>
            <w:pPr>
              <w:jc w:val="center"/>
              <w:ind w:right="29"/>
              <w:spacing w:after="0"/>
              <w:rPr>
                <w:sz w:val="20"/>
                <w:szCs w:val="20"/>
                <w:color w:val="auto"/>
              </w:rPr>
            </w:pPr>
            <w:r>
              <w:rPr>
                <w:rFonts w:ascii="Arial" w:cs="Arial" w:eastAsia="Arial" w:hAnsi="Arial"/>
                <w:sz w:val="13"/>
                <w:szCs w:val="13"/>
                <w:color w:val="auto"/>
                <w:w w:val="96"/>
              </w:rPr>
              <w:t>Balance at June</w:t>
            </w:r>
          </w:p>
        </w:tc>
        <w:tc>
          <w:tcPr>
            <w:tcW w:w="0" w:type="dxa"/>
            <w:vAlign w:val="bottom"/>
          </w:tcPr>
          <w:p>
            <w:pPr>
              <w:spacing w:after="0"/>
              <w:rPr>
                <w:sz w:val="1"/>
                <w:szCs w:val="1"/>
                <w:color w:val="auto"/>
              </w:rPr>
            </w:pPr>
          </w:p>
        </w:tc>
      </w:tr>
      <w:tr>
        <w:trPr>
          <w:trHeight w:val="126"/>
        </w:trPr>
        <w:tc>
          <w:tcPr>
            <w:tcW w:w="314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20"/>
              <w:spacing w:after="0" w:line="126" w:lineRule="exact"/>
              <w:rPr>
                <w:sz w:val="20"/>
                <w:szCs w:val="20"/>
                <w:color w:val="auto"/>
              </w:rPr>
            </w:pPr>
            <w:r>
              <w:rPr>
                <w:rFonts w:ascii="Arial" w:cs="Arial" w:eastAsia="Arial" w:hAnsi="Arial"/>
                <w:sz w:val="13"/>
                <w:szCs w:val="13"/>
                <w:color w:val="auto"/>
                <w:w w:val="96"/>
              </w:rPr>
              <w:t>earnings</w:t>
            </w: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26" w:lineRule="exact"/>
              <w:rPr>
                <w:sz w:val="20"/>
                <w:szCs w:val="20"/>
                <w:color w:val="auto"/>
              </w:rPr>
            </w:pPr>
            <w:r>
              <w:rPr>
                <w:rFonts w:ascii="Arial" w:cs="Arial" w:eastAsia="Arial" w:hAnsi="Arial"/>
                <w:sz w:val="13"/>
                <w:szCs w:val="13"/>
                <w:color w:val="auto"/>
                <w:w w:val="97"/>
              </w:rPr>
              <w:t>comprehensive</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6" w:lineRule="exact"/>
              <w:rPr>
                <w:sz w:val="20"/>
                <w:szCs w:val="20"/>
                <w:color w:val="auto"/>
              </w:rPr>
            </w:pPr>
            <w:r>
              <w:rPr>
                <w:rFonts w:ascii="Arial" w:cs="Arial" w:eastAsia="Arial" w:hAnsi="Arial"/>
                <w:sz w:val="13"/>
                <w:szCs w:val="13"/>
                <w:color w:val="auto"/>
              </w:rPr>
              <w:t>and</w:t>
            </w: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26" w:lineRule="exact"/>
              <w:rPr>
                <w:sz w:val="20"/>
                <w:szCs w:val="20"/>
                <w:color w:val="auto"/>
              </w:rPr>
            </w:pPr>
            <w:r>
              <w:rPr>
                <w:rFonts w:ascii="Arial" w:cs="Arial" w:eastAsia="Arial" w:hAnsi="Arial"/>
                <w:sz w:val="13"/>
                <w:szCs w:val="13"/>
                <w:color w:val="auto"/>
              </w:rPr>
              <w:t>into</w:t>
            </w:r>
          </w:p>
        </w:tc>
        <w:tc>
          <w:tcPr>
            <w:tcW w:w="120" w:type="dxa"/>
            <w:vAlign w:val="bottom"/>
          </w:tcPr>
          <w:p>
            <w:pPr>
              <w:spacing w:after="0"/>
              <w:rPr>
                <w:sz w:val="10"/>
                <w:szCs w:val="10"/>
                <w:color w:val="auto"/>
              </w:rPr>
            </w:pPr>
          </w:p>
        </w:tc>
        <w:tc>
          <w:tcPr>
            <w:tcW w:w="720" w:type="dxa"/>
            <w:vAlign w:val="bottom"/>
            <w:gridSpan w:val="2"/>
          </w:tcPr>
          <w:p>
            <w:pPr>
              <w:jc w:val="center"/>
              <w:ind w:right="240"/>
              <w:spacing w:after="0" w:line="126" w:lineRule="exact"/>
              <w:rPr>
                <w:sz w:val="20"/>
                <w:szCs w:val="20"/>
                <w:color w:val="auto"/>
              </w:rPr>
            </w:pPr>
            <w:r>
              <w:rPr>
                <w:rFonts w:ascii="Arial" w:cs="Arial" w:eastAsia="Arial" w:hAnsi="Arial"/>
                <w:sz w:val="13"/>
                <w:szCs w:val="13"/>
                <w:color w:val="auto"/>
                <w:w w:val="98"/>
              </w:rPr>
              <w:t>out of</w:t>
            </w:r>
          </w:p>
        </w:tc>
        <w:tc>
          <w:tcPr>
            <w:tcW w:w="1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129"/>
              <w:spacing w:after="0"/>
              <w:rPr>
                <w:sz w:val="20"/>
                <w:szCs w:val="20"/>
                <w:color w:val="auto"/>
              </w:rPr>
            </w:pPr>
            <w:r>
              <w:rPr>
                <w:rFonts w:ascii="Arial" w:cs="Arial" w:eastAsia="Arial" w:hAnsi="Arial"/>
                <w:sz w:val="13"/>
                <w:szCs w:val="13"/>
                <w:color w:val="auto"/>
                <w:w w:val="94"/>
              </w:rPr>
              <w:t>31, 2023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(loss)</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income (loss)</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issuances</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settlements</w:t>
            </w: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rPr>
              <w:t>Level 3</w:t>
            </w:r>
          </w:p>
        </w:tc>
        <w:tc>
          <w:tcPr>
            <w:tcW w:w="12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Level 3</w:t>
            </w:r>
          </w:p>
        </w:tc>
        <w:tc>
          <w:tcPr>
            <w:tcW w:w="100" w:type="dxa"/>
            <w:vAlign w:val="bottom"/>
          </w:tcPr>
          <w:p>
            <w:pPr>
              <w:spacing w:after="0"/>
              <w:rPr>
                <w:sz w:val="14"/>
                <w:szCs w:val="14"/>
                <w:color w:val="auto"/>
              </w:rPr>
            </w:pPr>
          </w:p>
        </w:tc>
        <w:tc>
          <w:tcPr>
            <w:tcW w:w="1040" w:type="dxa"/>
            <w:vAlign w:val="bottom"/>
          </w:tcPr>
          <w:p>
            <w:pPr>
              <w:jc w:val="center"/>
              <w:ind w:right="29"/>
              <w:spacing w:after="0"/>
              <w:rPr>
                <w:sz w:val="20"/>
                <w:szCs w:val="20"/>
                <w:color w:val="auto"/>
              </w:rPr>
            </w:pPr>
            <w:r>
              <w:rPr>
                <w:rFonts w:ascii="Arial" w:cs="Arial" w:eastAsia="Arial" w:hAnsi="Arial"/>
                <w:sz w:val="13"/>
                <w:szCs w:val="13"/>
                <w:color w:val="auto"/>
                <w:w w:val="98"/>
              </w:rPr>
              <w:t>30, 2023</w:t>
            </w:r>
          </w:p>
        </w:tc>
        <w:tc>
          <w:tcPr>
            <w:tcW w:w="0" w:type="dxa"/>
            <w:vAlign w:val="bottom"/>
          </w:tcPr>
          <w:p>
            <w:pPr>
              <w:spacing w:after="0"/>
              <w:rPr>
                <w:sz w:val="1"/>
                <w:szCs w:val="1"/>
                <w:color w:val="auto"/>
              </w:rPr>
            </w:pPr>
          </w:p>
        </w:tc>
      </w:tr>
      <w:tr>
        <w:trPr>
          <w:trHeight w:val="187"/>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40" w:type="dxa"/>
            <w:vAlign w:val="bottom"/>
          </w:tcPr>
          <w:p>
            <w:pPr>
              <w:ind w:left="140"/>
              <w:spacing w:after="0"/>
              <w:rPr>
                <w:sz w:val="20"/>
                <w:szCs w:val="20"/>
                <w:color w:val="auto"/>
              </w:rPr>
            </w:pPr>
            <w:r>
              <w:rPr>
                <w:rFonts w:ascii="Arial" w:cs="Arial" w:eastAsia="Arial" w:hAnsi="Arial"/>
                <w:sz w:val="14"/>
                <w:szCs w:val="14"/>
                <w:color w:val="auto"/>
              </w:rPr>
              <w:t>U.S. government agency</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municipal</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8"/>
        </w:trPr>
        <w:tc>
          <w:tcPr>
            <w:tcW w:w="3140" w:type="dxa"/>
            <w:vAlign w:val="bottom"/>
          </w:tcPr>
          <w:p>
            <w:pPr>
              <w:ind w:left="140"/>
              <w:spacing w:after="0"/>
              <w:rPr>
                <w:sz w:val="20"/>
                <w:szCs w:val="20"/>
                <w:color w:val="auto"/>
              </w:rPr>
            </w:pPr>
            <w:r>
              <w:rPr>
                <w:rFonts w:ascii="Arial" w:cs="Arial" w:eastAsia="Arial" w:hAnsi="Arial"/>
                <w:sz w:val="14"/>
                <w:szCs w:val="14"/>
                <w:color w:val="auto"/>
              </w:rPr>
              <w:t>Residential MBS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3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MBS</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14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3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98"/>
        </w:trPr>
        <w:tc>
          <w:tcPr>
            <w:tcW w:w="31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 and other</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200"/>
        </w:trPr>
        <w:tc>
          <w:tcPr>
            <w:tcW w:w="3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99"/>
        </w:trPr>
        <w:tc>
          <w:tcPr>
            <w:tcW w:w="314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20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of MIE</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0"/>
        </w:trPr>
        <w:tc>
          <w:tcPr>
            <w:tcW w:w="3140" w:type="dxa"/>
            <w:vAlign w:val="bottom"/>
          </w:tcPr>
          <w:p>
            <w:pPr>
              <w:ind w:left="140"/>
              <w:spacing w:after="0"/>
              <w:rPr>
                <w:sz w:val="20"/>
                <w:szCs w:val="20"/>
                <w:color w:val="auto"/>
              </w:rPr>
            </w:pPr>
            <w:r>
              <w:rPr>
                <w:rFonts w:ascii="Arial" w:cs="Arial" w:eastAsia="Arial" w:hAnsi="Arial"/>
                <w:sz w:val="14"/>
                <w:szCs w:val="14"/>
                <w:color w:val="auto"/>
              </w:rPr>
              <w:t>Total Level 3 assets</w:t>
            </w: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Contingent consideration — acquisitions</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Level 3 liabilities</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ind w:left="40"/>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361"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Total realized/unrealized</w:t>
      </w:r>
    </w:p>
    <w:p>
      <w:pPr>
        <w:ind w:left="4620"/>
        <w:spacing w:after="0"/>
        <w:rPr>
          <w:sz w:val="20"/>
          <w:szCs w:val="20"/>
          <w:color w:val="auto"/>
        </w:rPr>
      </w:pPr>
      <w:r>
        <w:rPr>
          <w:rFonts w:ascii="Arial" w:cs="Arial" w:eastAsia="Arial" w:hAnsi="Arial"/>
          <w:sz w:val="13"/>
          <w:szCs w:val="13"/>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20320</wp:posOffset>
            </wp:positionV>
            <wp:extent cx="12858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3"/>
                <w:szCs w:val="13"/>
                <w:color w:val="auto"/>
                <w:w w:val="97"/>
              </w:rPr>
              <w:t>Balance at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60"/>
              <w:spacing w:after="0"/>
              <w:rPr>
                <w:sz w:val="20"/>
                <w:szCs w:val="20"/>
                <w:color w:val="auto"/>
              </w:rPr>
            </w:pPr>
            <w:r>
              <w:rPr>
                <w:rFonts w:ascii="Arial" w:cs="Arial" w:eastAsia="Arial" w:hAnsi="Arial"/>
                <w:sz w:val="13"/>
                <w:szCs w:val="13"/>
                <w:color w:val="auto"/>
                <w:w w:val="98"/>
              </w:rPr>
              <w:t>Net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3"/>
                <w:szCs w:val="13"/>
                <w:color w:val="auto"/>
                <w:w w:val="98"/>
              </w:rPr>
              <w:t>Other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3"/>
                <w:szCs w:val="13"/>
                <w:color w:val="auto"/>
                <w:w w:val="94"/>
              </w:rPr>
              <w:t>Purchases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3"/>
                <w:szCs w:val="13"/>
                <w:color w:val="auto"/>
              </w:rPr>
              <w:t>Sales and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color w:val="auto"/>
                <w:w w:val="94"/>
              </w:rPr>
              <w:t>Transfer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3"/>
                <w:szCs w:val="13"/>
                <w:color w:val="auto"/>
              </w:rPr>
              <w:t>Transfer</w:t>
            </w:r>
          </w:p>
        </w:tc>
        <w:tc>
          <w:tcPr>
            <w:tcW w:w="40" w:type="dxa"/>
            <w:vAlign w:val="bottom"/>
          </w:tcPr>
          <w:p>
            <w:pPr>
              <w:spacing w:after="0"/>
              <w:rPr>
                <w:sz w:val="13"/>
                <w:szCs w:val="13"/>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3"/>
                <w:szCs w:val="13"/>
                <w:color w:val="auto"/>
              </w:rPr>
              <w:t>Balance at June</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260"/>
              <w:spacing w:after="0" w:line="122" w:lineRule="exact"/>
              <w:rPr>
                <w:sz w:val="20"/>
                <w:szCs w:val="20"/>
                <w:color w:val="auto"/>
              </w:rPr>
            </w:pPr>
            <w:r>
              <w:rPr>
                <w:rFonts w:ascii="Arial" w:cs="Arial" w:eastAsia="Arial" w:hAnsi="Arial"/>
                <w:sz w:val="13"/>
                <w:szCs w:val="13"/>
                <w:color w:val="auto"/>
                <w:w w:val="95"/>
              </w:rPr>
              <w:t>December 31,</w:t>
            </w:r>
          </w:p>
        </w:tc>
        <w:tc>
          <w:tcPr>
            <w:tcW w:w="40" w:type="dxa"/>
            <w:vAlign w:val="bottom"/>
          </w:tcPr>
          <w:p>
            <w:pPr>
              <w:spacing w:after="0"/>
              <w:rPr>
                <w:sz w:val="10"/>
                <w:szCs w:val="10"/>
                <w:color w:val="auto"/>
              </w:rPr>
            </w:pPr>
          </w:p>
        </w:tc>
        <w:tc>
          <w:tcPr>
            <w:tcW w:w="800" w:type="dxa"/>
            <w:vAlign w:val="bottom"/>
            <w:gridSpan w:val="4"/>
          </w:tcPr>
          <w:p>
            <w:pPr>
              <w:jc w:val="center"/>
              <w:ind w:right="160"/>
              <w:spacing w:after="0" w:line="122" w:lineRule="exact"/>
              <w:rPr>
                <w:sz w:val="20"/>
                <w:szCs w:val="20"/>
                <w:color w:val="auto"/>
              </w:rPr>
            </w:pPr>
            <w:r>
              <w:rPr>
                <w:rFonts w:ascii="Arial" w:cs="Arial" w:eastAsia="Arial" w:hAnsi="Arial"/>
                <w:sz w:val="13"/>
                <w:szCs w:val="13"/>
                <w:color w:val="auto"/>
                <w:w w:val="96"/>
              </w:rPr>
              <w:t>earnings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w w:val="97"/>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rPr>
              <w:t>and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rPr>
              <w:t>into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60"/>
              <w:spacing w:after="0" w:line="122" w:lineRule="exact"/>
              <w:rPr>
                <w:sz w:val="20"/>
                <w:szCs w:val="20"/>
                <w:color w:val="auto"/>
              </w:rPr>
            </w:pPr>
            <w:r>
              <w:rPr>
                <w:rFonts w:ascii="Arial" w:cs="Arial" w:eastAsia="Arial" w:hAnsi="Arial"/>
                <w:sz w:val="13"/>
                <w:szCs w:val="13"/>
                <w:color w:val="auto"/>
              </w:rPr>
              <w:t>out of</w:t>
            </w:r>
          </w:p>
        </w:tc>
        <w:tc>
          <w:tcPr>
            <w:tcW w:w="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70"/>
              <w:spacing w:after="0"/>
              <w:rPr>
                <w:sz w:val="20"/>
                <w:szCs w:val="20"/>
                <w:color w:val="auto"/>
              </w:rPr>
            </w:pPr>
            <w:r>
              <w:rPr>
                <w:rFonts w:ascii="Arial" w:cs="Arial" w:eastAsia="Arial" w:hAnsi="Arial"/>
                <w:sz w:val="13"/>
                <w:szCs w:val="13"/>
                <w:color w:val="auto"/>
                <w:w w:val="96"/>
              </w:rPr>
              <w:t>2023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color w:val="auto"/>
                <w:w w:val="94"/>
              </w:rPr>
              <w:t>(loss)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3"/>
                <w:szCs w:val="13"/>
                <w:color w:val="auto"/>
                <w:w w:val="95"/>
              </w:rPr>
              <w:t>income (loss)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3"/>
                <w:szCs w:val="13"/>
                <w:color w:val="auto"/>
                <w:w w:val="96"/>
              </w:rPr>
              <w:t>issuances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color w:val="auto"/>
                <w:w w:val="93"/>
              </w:rPr>
              <w:t>settlements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49"/>
              <w:spacing w:after="0"/>
              <w:rPr>
                <w:sz w:val="20"/>
                <w:szCs w:val="20"/>
                <w:color w:val="auto"/>
              </w:rPr>
            </w:pPr>
            <w:r>
              <w:rPr>
                <w:rFonts w:ascii="Arial" w:cs="Arial" w:eastAsia="Arial" w:hAnsi="Arial"/>
                <w:sz w:val="13"/>
                <w:szCs w:val="13"/>
                <w:color w:val="auto"/>
              </w:rPr>
              <w:t>30, 2024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U.S. government agency</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State and municipal</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Residential MBS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Commercial MBS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Collateralized loan obligations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asset-backed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Corporate and other</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48</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AFS fixed maturities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Trading fixed maturities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 of MIE</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 w:type="dxa"/>
            <w:vAlign w:val="bottom"/>
            <w:shd w:val="clear" w:color="auto" w:fill="CCEEFF"/>
          </w:tcPr>
          <w:p>
            <w:pPr>
              <w:spacing w:after="0"/>
              <w:rPr>
                <w:sz w:val="19"/>
                <w:szCs w:val="19"/>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Level 3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Contingent consideration — acquisitions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center"/>
              <w:ind w:left="709"/>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Total Level 3 liabilities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center"/>
              <w:ind w:left="709"/>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8"/>
          </w:tcPr>
          <w:p>
            <w:pPr>
              <w:jc w:val="center"/>
              <w:ind w:right="180"/>
              <w:spacing w:after="0"/>
              <w:rPr>
                <w:sz w:val="20"/>
                <w:szCs w:val="20"/>
                <w:color w:val="auto"/>
              </w:rPr>
            </w:pPr>
            <w:r>
              <w:rPr>
                <w:rFonts w:ascii="Arial" w:cs="Arial" w:eastAsia="Arial" w:hAnsi="Arial"/>
                <w:sz w:val="13"/>
                <w:szCs w:val="13"/>
                <w:color w:val="auto"/>
                <w:w w:val="96"/>
              </w:rPr>
              <w:t>Total realized/unrealized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8"/>
          </w:tcPr>
          <w:p>
            <w:pPr>
              <w:jc w:val="center"/>
              <w:ind w:right="160"/>
              <w:spacing w:after="0"/>
              <w:rPr>
                <w:sz w:val="20"/>
                <w:szCs w:val="20"/>
                <w:color w:val="auto"/>
              </w:rPr>
            </w:pPr>
            <w:r>
              <w:rPr>
                <w:rFonts w:ascii="Arial" w:cs="Arial" w:eastAsia="Arial" w:hAnsi="Arial"/>
                <w:sz w:val="13"/>
                <w:szCs w:val="13"/>
                <w:color w:val="auto"/>
                <w:w w:val="97"/>
              </w:rPr>
              <w:t>gains (losses) included in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60"/>
              <w:spacing w:after="0" w:line="142" w:lineRule="exact"/>
              <w:rPr>
                <w:sz w:val="20"/>
                <w:szCs w:val="20"/>
                <w:color w:val="auto"/>
              </w:rPr>
            </w:pPr>
            <w:r>
              <w:rPr>
                <w:rFonts w:ascii="Arial" w:cs="Arial" w:eastAsia="Arial" w:hAnsi="Arial"/>
                <w:sz w:val="13"/>
                <w:szCs w:val="13"/>
                <w:color w:val="auto"/>
                <w:w w:val="97"/>
              </w:rPr>
              <w:t>Balance at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80"/>
              <w:spacing w:after="0" w:line="142" w:lineRule="exact"/>
              <w:rPr>
                <w:sz w:val="20"/>
                <w:szCs w:val="20"/>
                <w:color w:val="auto"/>
              </w:rPr>
            </w:pPr>
            <w:r>
              <w:rPr>
                <w:rFonts w:ascii="Arial" w:cs="Arial" w:eastAsia="Arial" w:hAnsi="Arial"/>
                <w:sz w:val="13"/>
                <w:szCs w:val="13"/>
                <w:color w:val="auto"/>
                <w:w w:val="98"/>
              </w:rPr>
              <w:t>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80"/>
              <w:spacing w:after="0" w:line="142" w:lineRule="exact"/>
              <w:rPr>
                <w:sz w:val="20"/>
                <w:szCs w:val="20"/>
                <w:color w:val="auto"/>
              </w:rPr>
            </w:pPr>
            <w:r>
              <w:rPr>
                <w:rFonts w:ascii="Arial" w:cs="Arial" w:eastAsia="Arial" w:hAnsi="Arial"/>
                <w:sz w:val="13"/>
                <w:szCs w:val="13"/>
                <w:color w:val="auto"/>
                <w:w w:val="98"/>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140"/>
              <w:spacing w:after="0" w:line="142" w:lineRule="exact"/>
              <w:rPr>
                <w:sz w:val="20"/>
                <w:szCs w:val="20"/>
                <w:color w:val="auto"/>
              </w:rPr>
            </w:pPr>
            <w:r>
              <w:rPr>
                <w:rFonts w:ascii="Arial" w:cs="Arial" w:eastAsia="Arial" w:hAnsi="Arial"/>
                <w:sz w:val="13"/>
                <w:szCs w:val="13"/>
                <w:color w:val="auto"/>
                <w:w w:val="97"/>
              </w:rPr>
              <w:t>Purchases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auto"/>
              </w:rPr>
              <w:t>Sales and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60"/>
              <w:spacing w:after="0" w:line="142" w:lineRule="exact"/>
              <w:rPr>
                <w:sz w:val="20"/>
                <w:szCs w:val="20"/>
                <w:color w:val="auto"/>
              </w:rPr>
            </w:pPr>
            <w:r>
              <w:rPr>
                <w:rFonts w:ascii="Arial" w:cs="Arial" w:eastAsia="Arial" w:hAnsi="Arial"/>
                <w:sz w:val="13"/>
                <w:szCs w:val="13"/>
                <w:color w:val="auto"/>
                <w:w w:val="94"/>
              </w:rPr>
              <w:t>Transfer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40"/>
              <w:spacing w:after="0" w:line="142" w:lineRule="exact"/>
              <w:rPr>
                <w:sz w:val="20"/>
                <w:szCs w:val="20"/>
                <w:color w:val="auto"/>
              </w:rPr>
            </w:pPr>
            <w:r>
              <w:rPr>
                <w:rFonts w:ascii="Arial" w:cs="Arial" w:eastAsia="Arial" w:hAnsi="Arial"/>
                <w:sz w:val="13"/>
                <w:szCs w:val="13"/>
                <w:color w:val="auto"/>
              </w:rPr>
              <w:t>Transfer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3"/>
                <w:szCs w:val="13"/>
                <w:color w:val="auto"/>
              </w:rPr>
              <w:t>Balance at June</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180"/>
              <w:spacing w:after="0" w:line="122" w:lineRule="exact"/>
              <w:rPr>
                <w:sz w:val="20"/>
                <w:szCs w:val="20"/>
                <w:color w:val="auto"/>
              </w:rPr>
            </w:pPr>
            <w:r>
              <w:rPr>
                <w:rFonts w:ascii="Arial" w:cs="Arial" w:eastAsia="Arial" w:hAnsi="Arial"/>
                <w:sz w:val="13"/>
                <w:szCs w:val="13"/>
                <w:color w:val="auto"/>
                <w:w w:val="95"/>
              </w:rPr>
              <w:t>December 31,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180"/>
              <w:spacing w:after="0" w:line="122" w:lineRule="exact"/>
              <w:rPr>
                <w:sz w:val="20"/>
                <w:szCs w:val="20"/>
                <w:color w:val="auto"/>
              </w:rPr>
            </w:pPr>
            <w:r>
              <w:rPr>
                <w:rFonts w:ascii="Arial" w:cs="Arial" w:eastAsia="Arial" w:hAnsi="Arial"/>
                <w:sz w:val="13"/>
                <w:szCs w:val="13"/>
                <w:color w:val="auto"/>
                <w:w w:val="96"/>
              </w:rPr>
              <w:t>earnings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160"/>
              <w:spacing w:after="0" w:line="122" w:lineRule="exact"/>
              <w:rPr>
                <w:sz w:val="20"/>
                <w:szCs w:val="20"/>
                <w:color w:val="auto"/>
              </w:rPr>
            </w:pPr>
            <w:r>
              <w:rPr>
                <w:rFonts w:ascii="Arial" w:cs="Arial" w:eastAsia="Arial" w:hAnsi="Arial"/>
                <w:sz w:val="13"/>
                <w:szCs w:val="13"/>
                <w:color w:val="auto"/>
                <w:w w:val="97"/>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160"/>
              <w:spacing w:after="0" w:line="122" w:lineRule="exact"/>
              <w:rPr>
                <w:sz w:val="20"/>
                <w:szCs w:val="20"/>
                <w:color w:val="auto"/>
              </w:rPr>
            </w:pPr>
            <w:r>
              <w:rPr>
                <w:rFonts w:ascii="Arial" w:cs="Arial" w:eastAsia="Arial" w:hAnsi="Arial"/>
                <w:sz w:val="13"/>
                <w:szCs w:val="13"/>
                <w:color w:val="auto"/>
              </w:rPr>
              <w:t>and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160"/>
              <w:spacing w:after="0" w:line="122" w:lineRule="exact"/>
              <w:rPr>
                <w:sz w:val="20"/>
                <w:szCs w:val="20"/>
                <w:color w:val="auto"/>
              </w:rPr>
            </w:pPr>
            <w:r>
              <w:rPr>
                <w:rFonts w:ascii="Arial" w:cs="Arial" w:eastAsia="Arial" w:hAnsi="Arial"/>
                <w:sz w:val="13"/>
                <w:szCs w:val="13"/>
                <w:color w:val="auto"/>
              </w:rPr>
              <w:t>into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100"/>
              <w:spacing w:after="0" w:line="122" w:lineRule="exact"/>
              <w:rPr>
                <w:sz w:val="20"/>
                <w:szCs w:val="20"/>
                <w:color w:val="auto"/>
              </w:rPr>
            </w:pPr>
            <w:r>
              <w:rPr>
                <w:rFonts w:ascii="Arial" w:cs="Arial" w:eastAsia="Arial" w:hAnsi="Arial"/>
                <w:sz w:val="13"/>
                <w:szCs w:val="13"/>
                <w:color w:val="auto"/>
              </w:rPr>
              <w:t>out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2022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3"/>
                <w:szCs w:val="13"/>
                <w:color w:val="auto"/>
                <w:w w:val="94"/>
              </w:rPr>
              <w:t>(loss)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3"/>
                <w:szCs w:val="13"/>
                <w:color w:val="auto"/>
                <w:w w:val="95"/>
              </w:rPr>
              <w:t>income (loss)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3"/>
                <w:szCs w:val="13"/>
                <w:color w:val="auto"/>
                <w:w w:val="96"/>
              </w:rPr>
              <w:t>issuances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color w:val="auto"/>
              </w:rPr>
              <w:t>settlements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229"/>
              <w:spacing w:after="0"/>
              <w:rPr>
                <w:sz w:val="20"/>
                <w:szCs w:val="20"/>
                <w:color w:val="auto"/>
              </w:rPr>
            </w:pPr>
            <w:r>
              <w:rPr>
                <w:rFonts w:ascii="Arial" w:cs="Arial" w:eastAsia="Arial" w:hAnsi="Arial"/>
                <w:sz w:val="13"/>
                <w:szCs w:val="13"/>
                <w:color w:val="auto"/>
              </w:rPr>
              <w:t>30, 2023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U.S. government agency</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municipal</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Residential MBS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MBS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 and other</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(13)</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of MIE</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Total Level 3 assets</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1,102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(72)</w:t>
            </w: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(54)</w:t>
            </w: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Contingent consideration — acquisitions</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(25)</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2"/>
          </w:tcPr>
          <w:p>
            <w:pPr>
              <w:jc w:val="center"/>
              <w:ind w:left="64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Level 3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left="64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74295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80" w:top="116" w:right="35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660"/>
        <w:spacing w:after="0" w:line="249" w:lineRule="auto"/>
        <w:rPr>
          <w:sz w:val="20"/>
          <w:szCs w:val="20"/>
          <w:color w:val="auto"/>
        </w:rPr>
      </w:pPr>
      <w:r>
        <w:rPr>
          <w:rFonts w:ascii="Arial" w:cs="Arial" w:eastAsia="Arial" w:hAnsi="Arial"/>
          <w:sz w:val="20"/>
          <w:szCs w:val="20"/>
          <w:b w:val="1"/>
          <w:bCs w:val="1"/>
          <w:color w:val="003366"/>
        </w:rPr>
        <w:t xml:space="preserve">Fair Value of Financial Instruments </w:t>
      </w:r>
      <w:r>
        <w:rPr>
          <w:rFonts w:ascii="Arial" w:cs="Arial" w:eastAsia="Arial" w:hAnsi="Arial"/>
          <w:sz w:val="17"/>
          <w:szCs w:val="17"/>
          <w:color w:val="000000"/>
        </w:rPr>
        <w:t>The carrying value and fair value of financial instruments that are not carried at fair value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financial statements are summarized below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560"/>
              <w:spacing w:after="0"/>
              <w:rPr>
                <w:sz w:val="20"/>
                <w:szCs w:val="20"/>
                <w:color w:val="auto"/>
              </w:rPr>
            </w:pPr>
            <w:r>
              <w:rPr>
                <w:rFonts w:ascii="Arial" w:cs="Arial" w:eastAsia="Arial" w:hAnsi="Arial"/>
                <w:sz w:val="15"/>
                <w:szCs w:val="15"/>
                <w:color w:val="auto"/>
              </w:rPr>
              <w:t>Fair Value</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140" w:type="dxa"/>
            <w:vAlign w:val="bottom"/>
            <w:gridSpan w:val="3"/>
          </w:tcPr>
          <w:p>
            <w:pPr>
              <w:ind w:left="20"/>
              <w:spacing w:after="0"/>
              <w:rPr>
                <w:sz w:val="20"/>
                <w:szCs w:val="20"/>
                <w:color w:val="auto"/>
              </w:rPr>
            </w:pPr>
            <w:r>
              <w:rPr>
                <w:rFonts w:ascii="Arial" w:cs="Arial" w:eastAsia="Arial" w:hAnsi="Arial"/>
                <w:sz w:val="15"/>
                <w:szCs w:val="15"/>
                <w:color w:val="auto"/>
              </w:rPr>
              <w:t>Carrying Value</w:t>
            </w:r>
          </w:p>
        </w:tc>
        <w:tc>
          <w:tcPr>
            <w:tcW w:w="24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Arial" w:cs="Arial" w:eastAsia="Arial" w:hAnsi="Arial"/>
                <w:sz w:val="15"/>
                <w:szCs w:val="15"/>
                <w:color w:val="auto"/>
              </w:rPr>
              <w:t>Total</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Level 1</w:t>
            </w:r>
          </w:p>
        </w:tc>
        <w:tc>
          <w:tcPr>
            <w:tcW w:w="20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Level 2</w:t>
            </w:r>
          </w:p>
        </w:tc>
        <w:tc>
          <w:tcPr>
            <w:tcW w:w="200" w:type="dxa"/>
            <w:vAlign w:val="bottom"/>
          </w:tcPr>
          <w:p>
            <w:pPr>
              <w:spacing w:after="0"/>
              <w:rPr>
                <w:sz w:val="17"/>
                <w:szCs w:val="17"/>
                <w:color w:val="auto"/>
              </w:rPr>
            </w:pPr>
          </w:p>
        </w:tc>
        <w:tc>
          <w:tcPr>
            <w:tcW w:w="840" w:type="dxa"/>
            <w:vAlign w:val="bottom"/>
          </w:tcPr>
          <w:p>
            <w:pPr>
              <w:jc w:val="right"/>
              <w:ind w:right="199"/>
              <w:spacing w:after="0"/>
              <w:rPr>
                <w:sz w:val="20"/>
                <w:szCs w:val="20"/>
                <w:color w:val="auto"/>
              </w:rPr>
            </w:pPr>
            <w:r>
              <w:rPr>
                <w:rFonts w:ascii="Arial" w:cs="Arial" w:eastAsia="Arial" w:hAnsi="Arial"/>
                <w:sz w:val="15"/>
                <w:szCs w:val="15"/>
                <w:color w:val="auto"/>
              </w:rPr>
              <w:t>Level 3</w:t>
            </w:r>
          </w:p>
        </w:tc>
      </w:tr>
      <w:tr>
        <w:trPr>
          <w:trHeight w:val="177"/>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CCEEFF"/>
              <w:bottom w:val="single" w:sz="8" w:color="auto"/>
            </w:tcBorders>
            <w:shd w:val="clear" w:color="auto" w:fill="CCEEFF"/>
          </w:tcPr>
          <w:p>
            <w:pPr>
              <w:spacing w:after="0" w:line="157" w:lineRule="exact"/>
              <w:rPr>
                <w:sz w:val="20"/>
                <w:szCs w:val="20"/>
                <w:color w:val="auto"/>
              </w:rPr>
            </w:pPr>
            <w:r>
              <w:rPr>
                <w:rFonts w:ascii="Arial" w:cs="Arial" w:eastAsia="Arial" w:hAnsi="Arial"/>
                <w:sz w:val="16"/>
                <w:szCs w:val="16"/>
                <w:b w:val="1"/>
                <w:bCs w:val="1"/>
                <w:color w:val="auto"/>
                <w:w w:val="99"/>
              </w:rPr>
              <w:t>June 30, 2024</w:t>
            </w:r>
          </w:p>
        </w:tc>
        <w:tc>
          <w:tcPr>
            <w:tcW w:w="45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b w:val="1"/>
                <w:bCs w:val="1"/>
                <w:color w:val="auto"/>
              </w:rPr>
              <w:t>Financial assets:</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Mortgage loans</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726</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financial assets not accounted for at fair value</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Long-term debt</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20" w:type="dxa"/>
            <w:vAlign w:val="bottom"/>
          </w:tcPr>
          <w:p>
            <w:pPr>
              <w:spacing w:after="0"/>
              <w:rPr>
                <w:sz w:val="18"/>
                <w:szCs w:val="18"/>
                <w:color w:val="auto"/>
              </w:rPr>
            </w:pPr>
          </w:p>
        </w:tc>
        <w:tc>
          <w:tcPr>
            <w:tcW w:w="5640" w:type="dxa"/>
            <w:vAlign w:val="bottom"/>
            <w:gridSpan w:val="3"/>
          </w:tcPr>
          <w:p>
            <w:pPr>
              <w:ind w:left="340"/>
              <w:spacing w:after="0"/>
              <w:rPr>
                <w:sz w:val="20"/>
                <w:szCs w:val="20"/>
                <w:color w:val="auto"/>
              </w:rPr>
            </w:pPr>
            <w:r>
              <w:rPr>
                <w:rFonts w:ascii="Arial" w:cs="Arial" w:eastAsia="Arial" w:hAnsi="Arial"/>
                <w:sz w:val="16"/>
                <w:szCs w:val="16"/>
                <w:color w:val="auto"/>
              </w:rPr>
              <w:t>Total financial liabilities not accounted for at fair value</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64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December 31, 2023</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Financial assets: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1,225</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Mortgage loans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r>
      <w:tr>
        <w:trPr>
          <w:trHeight w:val="210"/>
        </w:trPr>
        <w:tc>
          <w:tcPr>
            <w:tcW w:w="20" w:type="dxa"/>
            <w:vAlign w:val="bottom"/>
          </w:tcPr>
          <w:p>
            <w:pPr>
              <w:spacing w:after="0"/>
              <w:rPr>
                <w:sz w:val="18"/>
                <w:szCs w:val="18"/>
                <w:color w:val="auto"/>
              </w:rPr>
            </w:pPr>
          </w:p>
        </w:tc>
        <w:tc>
          <w:tcPr>
            <w:tcW w:w="5640" w:type="dxa"/>
            <w:vAlign w:val="bottom"/>
            <w:gridSpan w:val="3"/>
          </w:tcPr>
          <w:p>
            <w:pPr>
              <w:ind w:left="340"/>
              <w:spacing w:after="0"/>
              <w:rPr>
                <w:sz w:val="20"/>
                <w:szCs w:val="20"/>
                <w:color w:val="auto"/>
              </w:rPr>
            </w:pPr>
            <w:r>
              <w:rPr>
                <w:rFonts w:ascii="Arial" w:cs="Arial" w:eastAsia="Arial" w:hAnsi="Arial"/>
                <w:sz w:val="16"/>
                <w:szCs w:val="16"/>
                <w:color w:val="auto"/>
              </w:rPr>
              <w:t>Total financial assets not accounted for at fair value</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1,345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1,342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financial liabilities not accounted for at fair value</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29"/>
          <w:szCs w:val="29"/>
          <w:b w:val="1"/>
          <w:bCs w:val="1"/>
          <w:color w:val="003366"/>
        </w:rPr>
      </w:pPr>
      <w:r>
        <w:rPr>
          <w:rFonts w:ascii="Arial" w:cs="Arial" w:eastAsia="Arial" w:hAnsi="Arial"/>
          <w:sz w:val="29"/>
          <w:szCs w:val="29"/>
          <w:b w:val="1"/>
          <w:bCs w:val="1"/>
          <w:color w:val="003366"/>
        </w:rPr>
        <w:t>Investments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Available for sale fixed maturities at June 30, 2024 and December 31, 2023, consisted of the following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Allowance for</w:t>
            </w:r>
          </w:p>
        </w:tc>
        <w:tc>
          <w:tcPr>
            <w:tcW w:w="160" w:type="dxa"/>
            <w:vAlign w:val="bottom"/>
          </w:tcPr>
          <w:p>
            <w:pPr>
              <w:spacing w:after="0"/>
              <w:rPr>
                <w:sz w:val="14"/>
                <w:szCs w:val="14"/>
                <w:color w:val="auto"/>
              </w:rPr>
            </w:pPr>
          </w:p>
        </w:tc>
        <w:tc>
          <w:tcPr>
            <w:tcW w:w="1720" w:type="dxa"/>
            <w:vAlign w:val="bottom"/>
            <w:gridSpan w:val="5"/>
          </w:tcPr>
          <w:p>
            <w:pPr>
              <w:ind w:left="180"/>
              <w:spacing w:after="0"/>
              <w:rPr>
                <w:sz w:val="20"/>
                <w:szCs w:val="20"/>
                <w:color w:val="auto"/>
              </w:rPr>
            </w:pPr>
            <w:r>
              <w:rPr>
                <w:rFonts w:ascii="Arial" w:cs="Arial" w:eastAsia="Arial" w:hAnsi="Arial"/>
                <w:sz w:val="14"/>
                <w:szCs w:val="14"/>
                <w:color w:val="auto"/>
              </w:rPr>
              <w:t>Gross Unrealized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color w:val="auto"/>
              </w:rPr>
              <w:t>Amortized</w:t>
            </w:r>
          </w:p>
        </w:tc>
        <w:tc>
          <w:tcPr>
            <w:tcW w:w="160" w:type="dxa"/>
            <w:vAlign w:val="bottom"/>
          </w:tcPr>
          <w:p>
            <w:pPr>
              <w:spacing w:after="0"/>
              <w:rPr>
                <w:sz w:val="4"/>
                <w:szCs w:val="4"/>
                <w:color w:val="auto"/>
              </w:rPr>
            </w:pPr>
          </w:p>
        </w:tc>
        <w:tc>
          <w:tcPr>
            <w:tcW w:w="138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color w:val="auto"/>
              </w:rPr>
              <w:t>Expected Credit</w:t>
            </w: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color w:val="auto"/>
              </w:rPr>
              <w:t>Net</w:t>
            </w:r>
          </w:p>
        </w:tc>
        <w:tc>
          <w:tcPr>
            <w:tcW w:w="220" w:type="dxa"/>
            <w:vAlign w:val="bottom"/>
          </w:tcPr>
          <w:p>
            <w:pPr>
              <w:spacing w:after="0"/>
              <w:rPr>
                <w:sz w:val="4"/>
                <w:szCs w:val="4"/>
                <w:color w:val="auto"/>
              </w:rPr>
            </w:pPr>
          </w:p>
        </w:tc>
        <w:tc>
          <w:tcPr>
            <w:tcW w:w="760" w:type="dxa"/>
            <w:vAlign w:val="bottom"/>
            <w:vMerge w:val="restart"/>
          </w:tcPr>
          <w:p>
            <w:pPr>
              <w:jc w:val="right"/>
              <w:ind w:right="280"/>
              <w:spacing w:after="0" w:line="122"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Gains</w:t>
            </w:r>
          </w:p>
        </w:tc>
        <w:tc>
          <w:tcPr>
            <w:tcW w:w="160" w:type="dxa"/>
            <w:vAlign w:val="bottom"/>
          </w:tcPr>
          <w:p>
            <w:pPr>
              <w:spacing w:after="0"/>
              <w:rPr>
                <w:sz w:val="4"/>
                <w:szCs w:val="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Cost</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6"/>
                <w:szCs w:val="16"/>
                <w:color w:val="auto"/>
              </w:rPr>
            </w:pPr>
          </w:p>
        </w:tc>
        <w:tc>
          <w:tcPr>
            <w:tcW w:w="760" w:type="dxa"/>
            <w:vAlign w:val="bottom"/>
          </w:tcPr>
          <w:p>
            <w:pPr>
              <w:jc w:val="right"/>
              <w:ind w:right="22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w w:val="99"/>
              </w:rPr>
              <w:t>June 30, 2024</w:t>
            </w:r>
          </w:p>
        </w:tc>
        <w:tc>
          <w:tcPr>
            <w:tcW w:w="36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6"/>
                <w:szCs w:val="16"/>
                <w:color w:val="auto"/>
              </w:rPr>
              <w:t>Fixed maturities: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3,366</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80" w:type="dxa"/>
            <w:vAlign w:val="bottom"/>
            <w:tcBorders>
              <w:top w:val="single" w:sz="8" w:color="CCEEFF"/>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8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2023</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Fixed maturities:</w:t>
            </w:r>
          </w:p>
        </w:tc>
        <w:tc>
          <w:tcPr>
            <w:tcW w:w="3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1,658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3,146</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Equity securities which are reported at fair value with holding gains and losses recognized in net earnings, consisted of the following at June 30, 2024 and December 31, 2023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15"/>
                <w:szCs w:val="15"/>
                <w:color w:val="auto"/>
              </w:rPr>
              <w:t>June 30, 2024</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spacing w:after="0"/>
              <w:rPr>
                <w:sz w:val="20"/>
                <w:szCs w:val="20"/>
                <w:color w:val="auto"/>
              </w:rPr>
            </w:pPr>
            <w:r>
              <w:rPr>
                <w:rFonts w:ascii="Arial" w:cs="Arial" w:eastAsia="Arial" w:hAnsi="Arial"/>
                <w:sz w:val="15"/>
                <w:szCs w:val="15"/>
                <w:color w:val="auto"/>
              </w:rPr>
              <w:t>December 31, 2023</w:t>
            </w:r>
          </w:p>
        </w:tc>
        <w:tc>
          <w:tcPr>
            <w:tcW w:w="820" w:type="dxa"/>
            <w:vAlign w:val="bottom"/>
            <w:tcBorders>
              <w:bottom w:val="single" w:sz="8" w:color="auto"/>
            </w:tcBorders>
          </w:tcPr>
          <w:p>
            <w:pPr>
              <w:spacing w:after="0"/>
              <w:rPr>
                <w:sz w:val="17"/>
                <w:szCs w:val="17"/>
                <w:color w:val="auto"/>
              </w:rPr>
            </w:pPr>
          </w:p>
        </w:tc>
      </w:tr>
      <w:tr>
        <w:trPr>
          <w:trHeight w:val="145"/>
        </w:trPr>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5" w:lineRule="exact"/>
              <w:rPr>
                <w:sz w:val="20"/>
                <w:szCs w:val="20"/>
                <w:color w:val="auto"/>
              </w:rPr>
            </w:pPr>
            <w:r>
              <w:rPr>
                <w:rFonts w:ascii="Arial" w:cs="Arial" w:eastAsia="Arial" w:hAnsi="Arial"/>
                <w:sz w:val="15"/>
                <w:szCs w:val="15"/>
                <w:color w:val="auto"/>
              </w:rPr>
              <w:t>Actual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5"/>
                <w:szCs w:val="15"/>
                <w:color w:val="auto"/>
              </w:rPr>
              <w:t>Fair Value Over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5" w:lineRule="exact"/>
              <w:rPr>
                <w:sz w:val="20"/>
                <w:szCs w:val="20"/>
                <w:color w:val="auto"/>
              </w:rPr>
            </w:pPr>
            <w:r>
              <w:rPr>
                <w:rFonts w:ascii="Arial" w:cs="Arial" w:eastAsia="Arial" w:hAnsi="Arial"/>
                <w:sz w:val="15"/>
                <w:szCs w:val="15"/>
                <w:color w:val="auto"/>
              </w:rPr>
              <w:t>Actual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spacing w:after="0" w:line="145" w:lineRule="exact"/>
              <w:rPr>
                <w:sz w:val="20"/>
                <w:szCs w:val="20"/>
                <w:color w:val="auto"/>
              </w:rPr>
            </w:pPr>
            <w:r>
              <w:rPr>
                <w:rFonts w:ascii="Arial" w:cs="Arial" w:eastAsia="Arial" w:hAnsi="Arial"/>
                <w:sz w:val="15"/>
                <w:szCs w:val="15"/>
                <w:color w:val="auto"/>
              </w:rPr>
              <w:t>Fair Value Over</w:t>
            </w:r>
          </w:p>
        </w:tc>
      </w:tr>
      <w:tr>
        <w:trPr>
          <w:trHeight w:val="213"/>
        </w:trPr>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5"/>
                <w:szCs w:val="15"/>
                <w:color w:val="auto"/>
                <w:w w:val="97"/>
              </w:rPr>
              <w:t>Cost</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5"/>
                <w:szCs w:val="15"/>
                <w:color w:val="auto"/>
              </w:rPr>
              <w:t>Fair Value</w:t>
            </w:r>
          </w:p>
        </w:tc>
        <w:tc>
          <w:tcPr>
            <w:tcW w:w="28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5"/>
                <w:szCs w:val="15"/>
                <w:color w:val="auto"/>
                <w:w w:val="97"/>
              </w:rPr>
              <w:t>Cost</w:t>
            </w:r>
          </w:p>
        </w:tc>
        <w:tc>
          <w:tcPr>
            <w:tcW w:w="140" w:type="dxa"/>
            <w:vAlign w:val="bottom"/>
          </w:tcPr>
          <w:p>
            <w:pPr>
              <w:spacing w:after="0"/>
              <w:rPr>
                <w:sz w:val="18"/>
                <w:szCs w:val="18"/>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5"/>
                <w:szCs w:val="15"/>
                <w:color w:val="auto"/>
              </w:rPr>
              <w:t>Cost</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5"/>
                <w:szCs w:val="15"/>
                <w:color w:val="auto"/>
              </w:rPr>
              <w:t>Fair Value</w:t>
            </w:r>
          </w:p>
        </w:tc>
        <w:tc>
          <w:tcPr>
            <w:tcW w:w="360" w:type="dxa"/>
            <w:vAlign w:val="bottom"/>
          </w:tcPr>
          <w:p>
            <w:pPr>
              <w:spacing w:after="0"/>
              <w:rPr>
                <w:sz w:val="18"/>
                <w:szCs w:val="18"/>
                <w:color w:val="auto"/>
              </w:rPr>
            </w:pPr>
          </w:p>
        </w:tc>
        <w:tc>
          <w:tcPr>
            <w:tcW w:w="820" w:type="dxa"/>
            <w:vAlign w:val="bottom"/>
          </w:tcPr>
          <w:p>
            <w:pPr>
              <w:jc w:val="right"/>
              <w:ind w:right="360"/>
              <w:spacing w:after="0"/>
              <w:rPr>
                <w:sz w:val="20"/>
                <w:szCs w:val="20"/>
                <w:color w:val="auto"/>
              </w:rPr>
            </w:pPr>
            <w:r>
              <w:rPr>
                <w:rFonts w:ascii="Arial" w:cs="Arial" w:eastAsia="Arial" w:hAnsi="Arial"/>
                <w:sz w:val="15"/>
                <w:szCs w:val="15"/>
                <w:color w:val="auto"/>
              </w:rPr>
              <w:t>Cost</w:t>
            </w:r>
          </w:p>
        </w:tc>
      </w:tr>
      <w:tr>
        <w:trPr>
          <w:trHeight w:val="21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Perpetual preferred stocks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35"/>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equity securities carried at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carrying value and net investment income from investments accounted for using the equity method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ind w:left="60"/>
              <w:spacing w:after="0"/>
              <w:rPr>
                <w:sz w:val="20"/>
                <w:szCs w:val="20"/>
                <w:color w:val="auto"/>
              </w:rPr>
            </w:pPr>
            <w:r>
              <w:rPr>
                <w:rFonts w:ascii="Arial" w:cs="Arial" w:eastAsia="Arial" w:hAnsi="Arial"/>
                <w:sz w:val="15"/>
                <w:szCs w:val="15"/>
                <w:color w:val="auto"/>
              </w:rPr>
              <w:t>Net Investment Income</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6"/>
          </w:tcPr>
          <w:p>
            <w:pPr>
              <w:spacing w:after="0" w:line="145" w:lineRule="exact"/>
              <w:rPr>
                <w:sz w:val="20"/>
                <w:szCs w:val="20"/>
                <w:color w:val="auto"/>
              </w:rPr>
            </w:pPr>
            <w:r>
              <w:rPr>
                <w:rFonts w:ascii="Arial" w:cs="Arial" w:eastAsia="Arial" w:hAnsi="Arial"/>
                <w:sz w:val="15"/>
                <w:szCs w:val="15"/>
                <w:color w:val="auto"/>
              </w:rPr>
              <w:t>Three months ended June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5"/>
          </w:tcPr>
          <w:p>
            <w:pPr>
              <w:ind w:left="720"/>
              <w:spacing w:after="0"/>
              <w:rPr>
                <w:sz w:val="20"/>
                <w:szCs w:val="20"/>
                <w:color w:val="auto"/>
              </w:rPr>
            </w:pPr>
            <w:r>
              <w:rPr>
                <w:rFonts w:ascii="Arial" w:cs="Arial" w:eastAsia="Arial" w:hAnsi="Arial"/>
                <w:sz w:val="15"/>
                <w:szCs w:val="15"/>
                <w:color w:val="auto"/>
              </w:rPr>
              <w:t>Carrying Value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gridSpan w:val="3"/>
          </w:tcPr>
          <w:p>
            <w:pPr>
              <w:jc w:val="right"/>
              <w:ind w:right="19"/>
              <w:spacing w:after="0"/>
              <w:rPr>
                <w:sz w:val="20"/>
                <w:szCs w:val="20"/>
                <w:color w:val="auto"/>
              </w:rPr>
            </w:pPr>
            <w:r>
              <w:rPr>
                <w:rFonts w:ascii="Arial" w:cs="Arial" w:eastAsia="Arial" w:hAnsi="Arial"/>
                <w:sz w:val="15"/>
                <w:szCs w:val="15"/>
                <w:color w:val="auto"/>
                <w:w w:val="95"/>
              </w:rPr>
              <w:t>30,</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gridSpan w:val="5"/>
          </w:tcPr>
          <w:p>
            <w:pPr>
              <w:jc w:val="right"/>
              <w:spacing w:after="0"/>
              <w:rPr>
                <w:sz w:val="20"/>
                <w:szCs w:val="20"/>
                <w:color w:val="auto"/>
              </w:rPr>
            </w:pPr>
            <w:r>
              <w:rPr>
                <w:rFonts w:ascii="Arial" w:cs="Arial" w:eastAsia="Arial" w:hAnsi="Arial"/>
                <w:sz w:val="15"/>
                <w:szCs w:val="15"/>
                <w:color w:val="auto"/>
              </w:rPr>
              <w:t>Six months ended June 30,</w:t>
            </w:r>
          </w:p>
        </w:tc>
        <w:tc>
          <w:tcPr>
            <w:tcW w:w="0" w:type="dxa"/>
            <w:vAlign w:val="bottom"/>
          </w:tcPr>
          <w:p>
            <w:pPr>
              <w:spacing w:after="0"/>
              <w:rPr>
                <w:sz w:val="1"/>
                <w:szCs w:val="1"/>
                <w:color w:val="auto"/>
              </w:rPr>
            </w:pPr>
          </w:p>
        </w:tc>
      </w:tr>
      <w:tr>
        <w:trPr>
          <w:trHeight w:val="145"/>
        </w:trPr>
        <w:tc>
          <w:tcPr>
            <w:tcW w:w="38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81"/>
              <w:spacing w:after="0" w:line="145" w:lineRule="exact"/>
              <w:rPr>
                <w:sz w:val="20"/>
                <w:szCs w:val="20"/>
                <w:color w:val="auto"/>
              </w:rPr>
            </w:pPr>
            <w:r>
              <w:rPr>
                <w:rFonts w:ascii="Arial" w:cs="Arial" w:eastAsia="Arial" w:hAnsi="Arial"/>
                <w:sz w:val="15"/>
                <w:szCs w:val="15"/>
                <w:color w:val="auto"/>
              </w:rPr>
              <w:t>December 31,</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5"/>
                <w:szCs w:val="15"/>
                <w:color w:val="auto"/>
              </w:rPr>
              <w:t>June 30, 2024</w:t>
            </w:r>
          </w:p>
        </w:tc>
        <w:tc>
          <w:tcPr>
            <w:tcW w:w="140" w:type="dxa"/>
            <w:vAlign w:val="bottom"/>
          </w:tcPr>
          <w:p>
            <w:pPr>
              <w:spacing w:after="0"/>
              <w:rPr>
                <w:sz w:val="18"/>
                <w:szCs w:val="18"/>
                <w:color w:val="auto"/>
              </w:rPr>
            </w:pPr>
          </w:p>
        </w:tc>
        <w:tc>
          <w:tcPr>
            <w:tcW w:w="1160" w:type="dxa"/>
            <w:vAlign w:val="bottom"/>
          </w:tcPr>
          <w:p>
            <w:pPr>
              <w:jc w:val="right"/>
              <w:ind w:right="401"/>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61"/>
              <w:spacing w:after="0"/>
              <w:rPr>
                <w:sz w:val="20"/>
                <w:szCs w:val="20"/>
                <w:color w:val="auto"/>
              </w:rPr>
            </w:pPr>
            <w:r>
              <w:rPr>
                <w:rFonts w:ascii="Arial" w:cs="Arial" w:eastAsia="Arial" w:hAnsi="Arial"/>
                <w:sz w:val="15"/>
                <w:szCs w:val="15"/>
                <w:color w:val="auto"/>
              </w:rPr>
              <w:t>2024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241"/>
              <w:spacing w:after="0"/>
              <w:rPr>
                <w:sz w:val="20"/>
                <w:szCs w:val="20"/>
                <w:color w:val="auto"/>
              </w:rPr>
            </w:pPr>
            <w:r>
              <w:rPr>
                <w:rFonts w:ascii="Arial" w:cs="Arial" w:eastAsia="Arial" w:hAnsi="Arial"/>
                <w:sz w:val="15"/>
                <w:szCs w:val="15"/>
                <w:color w:val="auto"/>
              </w:rPr>
              <w:t>2023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20"/>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212"/>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Real estate-related investments (*)</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Private equity</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debt</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42"/>
        </w:trPr>
        <w:tc>
          <w:tcPr>
            <w:tcW w:w="3860" w:type="dxa"/>
            <w:vAlign w:val="bottom"/>
          </w:tcPr>
          <w:p>
            <w:pPr>
              <w:ind w:left="180"/>
              <w:spacing w:after="0" w:line="142" w:lineRule="exact"/>
              <w:rPr>
                <w:sz w:val="20"/>
                <w:szCs w:val="20"/>
                <w:color w:val="auto"/>
              </w:rPr>
            </w:pPr>
            <w:r>
              <w:rPr>
                <w:rFonts w:ascii="Arial" w:cs="Arial" w:eastAsia="Arial" w:hAnsi="Arial"/>
                <w:sz w:val="16"/>
                <w:szCs w:val="16"/>
                <w:color w:val="auto"/>
              </w:rPr>
              <w:t>Total investments accounted for using the equity</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1,882</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1,814</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32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2"/>
                <w:szCs w:val="12"/>
                <w:color w:val="auto"/>
              </w:rPr>
            </w:pPr>
          </w:p>
        </w:tc>
        <w:tc>
          <w:tcPr>
            <w:tcW w:w="22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89"/>
        </w:trPr>
        <w:tc>
          <w:tcPr>
            <w:tcW w:w="3860" w:type="dxa"/>
            <w:vAlign w:val="bottom"/>
          </w:tcPr>
          <w:p>
            <w:pPr>
              <w:ind w:left="360"/>
              <w:spacing w:after="0"/>
              <w:rPr>
                <w:sz w:val="20"/>
                <w:szCs w:val="20"/>
                <w:color w:val="auto"/>
              </w:rPr>
            </w:pPr>
            <w:r>
              <w:rPr>
                <w:rFonts w:ascii="Arial" w:cs="Arial" w:eastAsia="Arial" w:hAnsi="Arial"/>
                <w:sz w:val="16"/>
                <w:szCs w:val="16"/>
                <w:color w:val="auto"/>
              </w:rPr>
              <w:t>method</w:t>
            </w:r>
          </w:p>
        </w:tc>
        <w:tc>
          <w:tcPr>
            <w:tcW w:w="1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20" w:right="260" w:hanging="412"/>
        <w:spacing w:after="0" w:line="284" w:lineRule="auto"/>
        <w:tabs>
          <w:tab w:leader="none" w:pos="411" w:val="left"/>
        </w:tabs>
        <w:numPr>
          <w:ilvl w:val="0"/>
          <w:numId w:val="12"/>
        </w:numPr>
        <w:rPr>
          <w:rFonts w:ascii="Arial" w:cs="Arial" w:eastAsia="Arial" w:hAnsi="Arial"/>
          <w:sz w:val="17"/>
          <w:szCs w:val="17"/>
          <w:color w:val="auto"/>
        </w:rPr>
      </w:pPr>
      <w:r>
        <w:rPr>
          <w:rFonts w:ascii="Arial" w:cs="Arial" w:eastAsia="Arial" w:hAnsi="Arial"/>
          <w:sz w:val="17"/>
          <w:szCs w:val="17"/>
          <w:color w:val="auto"/>
        </w:rPr>
        <w:t>90% and 92% of the carrying value relates to underlying investments in multi-family properties as of June 30, 2024 and December 31, 2023, respectively.</w:t>
      </w:r>
    </w:p>
    <w:p>
      <w:pPr>
        <w:spacing w:after="0" w:line="18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earnings (losses) from these investments are generally reported on a quarter lag due to the timing required to obtain the necessary information from the funds. AFG regularly reviews and discusses fund performance with the fund managers to corroborate the reasonableness of the underlying reported asset values and to assess whether any events have occurred within the lag period that may materially affect the valuation of these investments.</w:t>
      </w:r>
    </w:p>
    <w:p>
      <w:pPr>
        <w:spacing w:after="0" w:line="200"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With respect to partnerships and similar investments, AFG had unfunded commitments of $461 million and $418 million as of June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 shows gross unrealized losses (dollars in millions) on available for sale fixed maturities by investment category and length of time that individual securities have been in a continuous unrealized loss position at the following balance sheet dates.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868"/>
              <w:spacing w:after="0"/>
              <w:rPr>
                <w:sz w:val="20"/>
                <w:szCs w:val="20"/>
                <w:color w:val="auto"/>
              </w:rPr>
            </w:pPr>
            <w:r>
              <w:rPr>
                <w:rFonts w:ascii="Arial" w:cs="Arial" w:eastAsia="Arial" w:hAnsi="Arial"/>
                <w:sz w:val="13"/>
                <w:szCs w:val="13"/>
                <w:color w:val="auto"/>
                <w:w w:val="94"/>
              </w:rPr>
              <w:t>Less Than Twelve Months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917"/>
              <w:spacing w:after="0"/>
              <w:rPr>
                <w:sz w:val="20"/>
                <w:szCs w:val="20"/>
                <w:color w:val="auto"/>
              </w:rPr>
            </w:pPr>
            <w:r>
              <w:rPr>
                <w:rFonts w:ascii="Arial" w:cs="Arial" w:eastAsia="Arial" w:hAnsi="Arial"/>
                <w:sz w:val="13"/>
                <w:szCs w:val="13"/>
                <w:color w:val="auto"/>
                <w:w w:val="95"/>
              </w:rPr>
              <w:t>Twelve Months or More</w:t>
            </w:r>
          </w:p>
        </w:tc>
      </w:tr>
      <w:tr>
        <w:trPr>
          <w:trHeight w:val="176"/>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1"/>
              <w:spacing w:after="0"/>
              <w:rPr>
                <w:sz w:val="20"/>
                <w:szCs w:val="20"/>
                <w:color w:val="auto"/>
              </w:rPr>
            </w:pPr>
            <w:r>
              <w:rPr>
                <w:rFonts w:ascii="Arial" w:cs="Arial" w:eastAsia="Arial" w:hAnsi="Arial"/>
                <w:sz w:val="13"/>
                <w:szCs w:val="13"/>
                <w:color w:val="auto"/>
                <w:w w:val="99"/>
              </w:rPr>
              <w:t>Unrealized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61"/>
              <w:spacing w:after="0"/>
              <w:rPr>
                <w:sz w:val="20"/>
                <w:szCs w:val="20"/>
                <w:color w:val="auto"/>
              </w:rPr>
            </w:pPr>
            <w:r>
              <w:rPr>
                <w:rFonts w:ascii="Arial" w:cs="Arial" w:eastAsia="Arial" w:hAnsi="Arial"/>
                <w:sz w:val="13"/>
                <w:szCs w:val="13"/>
                <w:color w:val="auto"/>
              </w:rPr>
              <w:t>Fair</w:t>
            </w:r>
          </w:p>
        </w:tc>
        <w:tc>
          <w:tcPr>
            <w:tcW w:w="80" w:type="dxa"/>
            <w:vAlign w:val="bottom"/>
          </w:tcPr>
          <w:p>
            <w:pPr>
              <w:spacing w:after="0"/>
              <w:rPr>
                <w:sz w:val="15"/>
                <w:szCs w:val="15"/>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Fair Value as</w:t>
            </w:r>
          </w:p>
        </w:tc>
        <w:tc>
          <w:tcPr>
            <w:tcW w:w="140" w:type="dxa"/>
            <w:vAlign w:val="bottom"/>
          </w:tcPr>
          <w:p>
            <w:pPr>
              <w:spacing w:after="0"/>
              <w:rPr>
                <w:sz w:val="15"/>
                <w:szCs w:val="15"/>
                <w:color w:val="auto"/>
              </w:rPr>
            </w:pPr>
          </w:p>
        </w:tc>
        <w:tc>
          <w:tcPr>
            <w:tcW w:w="820" w:type="dxa"/>
            <w:vAlign w:val="bottom"/>
          </w:tcPr>
          <w:p>
            <w:pPr>
              <w:jc w:val="right"/>
              <w:ind w:right="101"/>
              <w:spacing w:after="0"/>
              <w:rPr>
                <w:sz w:val="20"/>
                <w:szCs w:val="20"/>
                <w:color w:val="auto"/>
              </w:rPr>
            </w:pPr>
            <w:r>
              <w:rPr>
                <w:rFonts w:ascii="Arial" w:cs="Arial" w:eastAsia="Arial" w:hAnsi="Arial"/>
                <w:sz w:val="13"/>
                <w:szCs w:val="13"/>
                <w:color w:val="auto"/>
                <w:w w:val="99"/>
              </w:rPr>
              <w:t>Unrealized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21"/>
              <w:spacing w:after="0"/>
              <w:rPr>
                <w:sz w:val="20"/>
                <w:szCs w:val="20"/>
                <w:color w:val="auto"/>
              </w:rPr>
            </w:pPr>
            <w:r>
              <w:rPr>
                <w:rFonts w:ascii="Arial" w:cs="Arial" w:eastAsia="Arial" w:hAnsi="Arial"/>
                <w:sz w:val="13"/>
                <w:szCs w:val="13"/>
                <w:color w:val="auto"/>
              </w:rPr>
              <w:t>Fair</w:t>
            </w:r>
          </w:p>
        </w:tc>
        <w:tc>
          <w:tcPr>
            <w:tcW w:w="100" w:type="dxa"/>
            <w:vAlign w:val="bottom"/>
          </w:tcPr>
          <w:p>
            <w:pPr>
              <w:spacing w:after="0"/>
              <w:rPr>
                <w:sz w:val="15"/>
                <w:szCs w:val="15"/>
                <w:color w:val="auto"/>
              </w:rPr>
            </w:pPr>
          </w:p>
        </w:tc>
        <w:tc>
          <w:tcPr>
            <w:tcW w:w="1280" w:type="dxa"/>
            <w:vAlign w:val="bottom"/>
          </w:tcPr>
          <w:p>
            <w:pPr>
              <w:jc w:val="right"/>
              <w:ind w:right="217"/>
              <w:spacing w:after="0"/>
              <w:rPr>
                <w:sz w:val="20"/>
                <w:szCs w:val="20"/>
                <w:color w:val="auto"/>
              </w:rPr>
            </w:pPr>
            <w:r>
              <w:rPr>
                <w:rFonts w:ascii="Arial" w:cs="Arial" w:eastAsia="Arial" w:hAnsi="Arial"/>
                <w:sz w:val="13"/>
                <w:szCs w:val="13"/>
                <w:color w:val="auto"/>
              </w:rPr>
              <w:t>Fair Value as</w:t>
            </w:r>
          </w:p>
        </w:tc>
      </w:tr>
      <w:tr>
        <w:trPr>
          <w:trHeight w:val="166"/>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21"/>
              <w:spacing w:after="0"/>
              <w:rPr>
                <w:sz w:val="20"/>
                <w:szCs w:val="20"/>
                <w:color w:val="auto"/>
              </w:rPr>
            </w:pPr>
            <w:r>
              <w:rPr>
                <w:rFonts w:ascii="Arial" w:cs="Arial" w:eastAsia="Arial" w:hAnsi="Arial"/>
                <w:sz w:val="13"/>
                <w:szCs w:val="13"/>
                <w:color w:val="auto"/>
              </w:rPr>
              <w:t>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1"/>
              <w:spacing w:after="0"/>
              <w:rPr>
                <w:sz w:val="20"/>
                <w:szCs w:val="20"/>
                <w:color w:val="auto"/>
              </w:rPr>
            </w:pPr>
            <w:r>
              <w:rPr>
                <w:rFonts w:ascii="Arial" w:cs="Arial" w:eastAsia="Arial" w:hAnsi="Arial"/>
                <w:sz w:val="13"/>
                <w:szCs w:val="13"/>
                <w:color w:val="auto"/>
              </w:rPr>
              <w:t>Value</w:t>
            </w:r>
          </w:p>
        </w:tc>
        <w:tc>
          <w:tcPr>
            <w:tcW w:w="8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color w:val="auto"/>
                <w:w w:val="95"/>
              </w:rPr>
              <w:t>% of Cost</w:t>
            </w:r>
          </w:p>
        </w:tc>
        <w:tc>
          <w:tcPr>
            <w:tcW w:w="140" w:type="dxa"/>
            <w:vAlign w:val="bottom"/>
          </w:tcPr>
          <w:p>
            <w:pPr>
              <w:spacing w:after="0"/>
              <w:rPr>
                <w:sz w:val="14"/>
                <w:szCs w:val="14"/>
                <w:color w:val="auto"/>
              </w:rPr>
            </w:pPr>
          </w:p>
        </w:tc>
        <w:tc>
          <w:tcPr>
            <w:tcW w:w="820" w:type="dxa"/>
            <w:vAlign w:val="bottom"/>
          </w:tcPr>
          <w:p>
            <w:pPr>
              <w:jc w:val="right"/>
              <w:ind w:right="261"/>
              <w:spacing w:after="0"/>
              <w:rPr>
                <w:sz w:val="20"/>
                <w:szCs w:val="20"/>
                <w:color w:val="auto"/>
              </w:rPr>
            </w:pPr>
            <w:r>
              <w:rPr>
                <w:rFonts w:ascii="Arial" w:cs="Arial" w:eastAsia="Arial" w:hAnsi="Arial"/>
                <w:sz w:val="13"/>
                <w:szCs w:val="13"/>
                <w:color w:val="auto"/>
              </w:rPr>
              <w:t>Loss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1"/>
              <w:spacing w:after="0"/>
              <w:rPr>
                <w:sz w:val="20"/>
                <w:szCs w:val="20"/>
                <w:color w:val="auto"/>
              </w:rPr>
            </w:pPr>
            <w:r>
              <w:rPr>
                <w:rFonts w:ascii="Arial" w:cs="Arial" w:eastAsia="Arial" w:hAnsi="Arial"/>
                <w:sz w:val="13"/>
                <w:szCs w:val="13"/>
                <w:color w:val="auto"/>
              </w:rPr>
              <w:t>Value</w:t>
            </w:r>
          </w:p>
        </w:tc>
        <w:tc>
          <w:tcPr>
            <w:tcW w:w="100" w:type="dxa"/>
            <w:vAlign w:val="bottom"/>
          </w:tcPr>
          <w:p>
            <w:pPr>
              <w:spacing w:after="0"/>
              <w:rPr>
                <w:sz w:val="14"/>
                <w:szCs w:val="14"/>
                <w:color w:val="auto"/>
              </w:rPr>
            </w:pPr>
          </w:p>
        </w:tc>
        <w:tc>
          <w:tcPr>
            <w:tcW w:w="1280" w:type="dxa"/>
            <w:vAlign w:val="bottom"/>
          </w:tcPr>
          <w:p>
            <w:pPr>
              <w:jc w:val="right"/>
              <w:ind w:right="297"/>
              <w:spacing w:after="0"/>
              <w:rPr>
                <w:sz w:val="20"/>
                <w:szCs w:val="20"/>
                <w:color w:val="auto"/>
              </w:rPr>
            </w:pPr>
            <w:r>
              <w:rPr>
                <w:rFonts w:ascii="Arial" w:cs="Arial" w:eastAsia="Arial" w:hAnsi="Arial"/>
                <w:sz w:val="13"/>
                <w:szCs w:val="13"/>
                <w:color w:val="auto"/>
              </w:rPr>
              <w:t>% of Cost</w:t>
            </w:r>
          </w:p>
        </w:tc>
      </w:tr>
      <w:tr>
        <w:trPr>
          <w:trHeight w:val="23"/>
        </w:trPr>
        <w:tc>
          <w:tcPr>
            <w:tcW w:w="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w w:val="99"/>
              </w:rPr>
              <w:t>June 30, 2024</w:t>
            </w:r>
          </w:p>
        </w:tc>
        <w:tc>
          <w:tcPr>
            <w:tcW w:w="350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6"/>
                <w:szCs w:val="16"/>
                <w:color w:val="auto"/>
              </w:rPr>
              <w:t>Fixed maturities: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96 %</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179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97 %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92 %</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190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962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86 %</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94 %</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94 %</w:t>
            </w:r>
          </w:p>
        </w:tc>
      </w:tr>
      <w:tr>
        <w:trPr>
          <w:trHeight w:val="215"/>
        </w:trPr>
        <w:tc>
          <w:tcPr>
            <w:tcW w:w="20" w:type="dxa"/>
            <w:vAlign w:val="bottom"/>
            <w:tcBorders>
              <w:bottom w:val="single" w:sz="8" w:color="CCEEFF"/>
            </w:tcBorders>
          </w:tcPr>
          <w:p>
            <w:pPr>
              <w:spacing w:after="0"/>
              <w:rPr>
                <w:sz w:val="18"/>
                <w:szCs w:val="18"/>
                <w:color w:val="auto"/>
              </w:rPr>
            </w:pPr>
          </w:p>
        </w:tc>
        <w:tc>
          <w:tcPr>
            <w:tcW w:w="456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547</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99 %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93 %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1,177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92 %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6"/>
        </w:trPr>
        <w:tc>
          <w:tcPr>
            <w:tcW w:w="20" w:type="dxa"/>
            <w:vAlign w:val="bottom"/>
            <w:shd w:val="clear" w:color="auto" w:fill="CCEEFF"/>
          </w:tcPr>
          <w:p>
            <w:pPr>
              <w:spacing w:after="0"/>
              <w:rPr>
                <w:sz w:val="17"/>
                <w:szCs w:val="17"/>
                <w:color w:val="auto"/>
              </w:rPr>
            </w:pPr>
          </w:p>
        </w:tc>
        <w:tc>
          <w:tcPr>
            <w:tcW w:w="456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Fixed maturities:</w:t>
            </w:r>
          </w:p>
        </w:tc>
        <w:tc>
          <w:tcPr>
            <w:tcW w:w="3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96 %</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76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93 %</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42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98 %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1,089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88 %</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807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97 %</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15"/>
        </w:trPr>
        <w:tc>
          <w:tcPr>
            <w:tcW w:w="20" w:type="dxa"/>
            <w:vAlign w:val="bottom"/>
            <w:tcBorders>
              <w:bottom w:val="single" w:sz="8" w:color="CCEEFF"/>
            </w:tcBorders>
          </w:tcPr>
          <w:p>
            <w:pPr>
              <w:spacing w:after="0"/>
              <w:rPr>
                <w:sz w:val="18"/>
                <w:szCs w:val="18"/>
                <w:color w:val="auto"/>
              </w:rPr>
            </w:pPr>
          </w:p>
        </w:tc>
        <w:tc>
          <w:tcPr>
            <w:tcW w:w="456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123</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97 %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93 %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At June 30, 2024, the gross unrealized losses on fixed maturities of $453 million relate to approximately 1,450 securities. Investment grade securities (as determined by nationally recognized rating agencies) represented approximately 94% of the gross unrealized loss and 95% of the fair value of securities with unrealized losses.</w:t>
      </w:r>
    </w:p>
    <w:p>
      <w:pPr>
        <w:spacing w:after="0" w:line="20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To evaluate fixed maturities for expected credit losses (impairment), management considers whether the unrealized loss is credit-driven or a result of changes in market interest rates, the extent to which fair value is less than cost basis, historical operating, balance sheet and cash flow data from the issuer, third party research and communications with industry specialists and discussions with issuer management.</w:t>
      </w:r>
    </w:p>
    <w:p>
      <w:pPr>
        <w:spacing w:after="0" w:line="195" w:lineRule="exact"/>
        <w:rPr>
          <w:sz w:val="20"/>
          <w:szCs w:val="20"/>
          <w:color w:val="auto"/>
        </w:rPr>
      </w:pPr>
    </w:p>
    <w:p>
      <w:pPr>
        <w:ind w:right="640"/>
        <w:spacing w:after="0" w:line="260" w:lineRule="auto"/>
        <w:rPr>
          <w:sz w:val="20"/>
          <w:szCs w:val="20"/>
          <w:color w:val="auto"/>
        </w:rPr>
      </w:pPr>
      <w:r>
        <w:rPr>
          <w:rFonts w:ascii="Arial" w:cs="Arial" w:eastAsia="Arial" w:hAnsi="Arial"/>
          <w:sz w:val="17"/>
          <w:szCs w:val="17"/>
          <w:color w:val="auto"/>
        </w:rPr>
        <w:t>AFG analyzes its MBS for expected credit losses (impairment) each quarter based upon expected future cash flows. Management estimates expected future cash flows based upon its knowledge of the MBS market, cash flow projections (which reflect loan to collateral values, subordination, vintage and geographic concentration) received from independent sources, implied cash flows inherent in security ratings and analysis of historical payment data.</w:t>
      </w:r>
    </w:p>
    <w:p>
      <w:pPr>
        <w:spacing w:after="0" w:line="219"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Management believes AFG will recover its cost basis (net of any allowance) in the securities with unrealized losses and that AFG has the ability to hold the securities until they recover in value and had no intent to sell them at June 30, 2024.</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A progression of the allowance for expected credit losses on available for sale fixed maturity securities is shown below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5"/>
                <w:szCs w:val="15"/>
                <w:color w:val="auto"/>
              </w:rPr>
              <w:t>Structured</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5"/>
                <w:szCs w:val="15"/>
                <w:color w:val="auto"/>
              </w:rPr>
              <w:t>Corporate and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3"/>
        </w:trPr>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5"/>
                <w:szCs w:val="15"/>
                <w:color w:val="auto"/>
              </w:rPr>
              <w:t>Securities (*)</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5"/>
                <w:szCs w:val="15"/>
                <w:color w:val="auto"/>
              </w:rPr>
              <w:t>Other</w:t>
            </w: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5"/>
                <w:szCs w:val="15"/>
                <w:color w:val="auto"/>
              </w:rPr>
              <w:t>Total</w:t>
            </w:r>
          </w:p>
        </w:tc>
      </w:tr>
      <w:tr>
        <w:trPr>
          <w:trHeight w:val="21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previously recognized expected credit losses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previously recognized expected credit losses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previously recognized expected credit losses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5"/>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to previously recognized expected credit losses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right="3080" w:firstLine="8"/>
        <w:spacing w:after="0" w:line="546" w:lineRule="auto"/>
        <w:tabs>
          <w:tab w:leader="none" w:pos="3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mortgage-backed securities, collateralized loan obligations and other asset-backed securities. In the first six months of 2024 and 2023, AFG did not purchase any securities with expected credit losses.</w:t>
      </w:r>
    </w:p>
    <w:p>
      <w:pPr>
        <w:spacing w:after="0" w:line="2"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table below sets forth the scheduled maturities of AFG’s available for sale fixed maturities as of June 30, 2024 (dollars in millions). Securities with sinking funds are reported at average maturity. Actual maturities may differ from contractual maturities because certain securities may be called or prepaid by the issuers.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color w:val="auto"/>
              </w:rPr>
              <w:t>Amortized</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700"/>
              <w:spacing w:after="0"/>
              <w:rPr>
                <w:sz w:val="20"/>
                <w:szCs w:val="20"/>
                <w:color w:val="auto"/>
              </w:rPr>
            </w:pPr>
            <w:r>
              <w:rPr>
                <w:rFonts w:ascii="Arial" w:cs="Arial" w:eastAsia="Arial" w:hAnsi="Arial"/>
                <w:sz w:val="15"/>
                <w:szCs w:val="15"/>
                <w:color w:val="auto"/>
              </w:rPr>
              <w:t>Fair Value</w:t>
            </w:r>
          </w:p>
        </w:tc>
        <w:tc>
          <w:tcPr>
            <w:tcW w:w="800" w:type="dxa"/>
            <w:vAlign w:val="bottom"/>
            <w:tcBorders>
              <w:bottom w:val="single" w:sz="8" w:color="auto"/>
            </w:tcBorders>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color w:val="auto"/>
                <w:w w:val="99"/>
              </w:rPr>
              <w:t>Cost, net (*)</w:t>
            </w:r>
          </w:p>
        </w:tc>
        <w:tc>
          <w:tcPr>
            <w:tcW w:w="200" w:type="dxa"/>
            <w:vAlign w:val="bottom"/>
          </w:tcPr>
          <w:p>
            <w:pPr>
              <w:spacing w:after="0"/>
              <w:rPr>
                <w:sz w:val="17"/>
                <w:szCs w:val="17"/>
                <w:color w:val="auto"/>
              </w:rPr>
            </w:pPr>
          </w:p>
        </w:tc>
        <w:tc>
          <w:tcPr>
            <w:tcW w:w="1480" w:type="dxa"/>
            <w:vAlign w:val="bottom"/>
            <w:gridSpan w:val="3"/>
          </w:tcPr>
          <w:p>
            <w:pPr>
              <w:ind w:left="100"/>
              <w:spacing w:after="0"/>
              <w:rPr>
                <w:sz w:val="20"/>
                <w:szCs w:val="20"/>
                <w:color w:val="auto"/>
              </w:rPr>
            </w:pPr>
            <w:r>
              <w:rPr>
                <w:rFonts w:ascii="Arial" w:cs="Arial" w:eastAsia="Arial" w:hAnsi="Arial"/>
                <w:sz w:val="15"/>
                <w:szCs w:val="15"/>
                <w:color w:val="auto"/>
              </w:rPr>
              <w:t>Amount</w:t>
            </w:r>
          </w:p>
        </w:tc>
        <w:tc>
          <w:tcPr>
            <w:tcW w:w="800" w:type="dxa"/>
            <w:vAlign w:val="bottom"/>
          </w:tcPr>
          <w:p>
            <w:pPr>
              <w:jc w:val="right"/>
              <w:ind w:right="480"/>
              <w:spacing w:after="0"/>
              <w:rPr>
                <w:sz w:val="20"/>
                <w:szCs w:val="20"/>
                <w:color w:val="auto"/>
              </w:rPr>
            </w:pPr>
            <w:r>
              <w:rPr>
                <w:rFonts w:ascii="Arial" w:cs="Arial" w:eastAsia="Arial" w:hAnsi="Arial"/>
                <w:sz w:val="15"/>
                <w:szCs w:val="15"/>
                <w:color w:val="auto"/>
              </w:rPr>
              <w:t>%</w:t>
            </w:r>
          </w:p>
        </w:tc>
      </w:tr>
      <w:tr>
        <w:trPr>
          <w:trHeight w:val="157"/>
        </w:trPr>
        <w:tc>
          <w:tcPr>
            <w:tcW w:w="20" w:type="dxa"/>
            <w:vAlign w:val="bottom"/>
            <w:tcBorders>
              <w:top w:val="single" w:sz="8" w:color="CCEEFF"/>
            </w:tcBorders>
            <w:shd w:val="clear" w:color="auto" w:fill="CCEEFF"/>
          </w:tcPr>
          <w:p>
            <w:pPr>
              <w:spacing w:after="0"/>
              <w:rPr>
                <w:sz w:val="13"/>
                <w:szCs w:val="13"/>
                <w:color w:val="auto"/>
              </w:rPr>
            </w:pPr>
          </w:p>
        </w:tc>
        <w:tc>
          <w:tcPr>
            <w:tcW w:w="744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6"/>
                <w:szCs w:val="16"/>
                <w:color w:val="auto"/>
              </w:rPr>
              <w:t>Maturity</w:t>
            </w: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One year or less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217"/>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After one year through five years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15"/>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After five years through ten years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6"/>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After ten years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4,641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217"/>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Collateralized loan obligations and other ABS (average life of approximately 3 years)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15"/>
        </w:trPr>
        <w:tc>
          <w:tcPr>
            <w:tcW w:w="2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MBS (average life of approximately 6.5 years)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Amortized cost, net of allowance for expected credit losses.</w:t>
      </w:r>
    </w:p>
    <w:p>
      <w:pPr>
        <w:spacing w:after="0" w:line="264"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Certain risks are inherent in fixed maturity securities, including loss upon default, price volatility in reaction to changes in interest rates, and general market factors and risks associated with reinvestment of proceeds due to prepayments or redemptions in a period of declining interest rates.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investments in individual issuers that exceeded 10% of shareholders’ equity at June 30, 2024 or December 31, 2023.</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 xml:space="preserve">Net Investment Income </w:t>
      </w:r>
      <w:r>
        <w:rPr>
          <w:rFonts w:ascii="Arial" w:cs="Arial" w:eastAsia="Arial" w:hAnsi="Arial"/>
          <w:sz w:val="17"/>
          <w:szCs w:val="17"/>
          <w:color w:val="000000"/>
        </w:rPr>
        <w:t>The following table shows (in millions) investment income earned and investment expenses incurred.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270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5"/>
                <w:szCs w:val="15"/>
                <w:color w:val="auto"/>
              </w:rPr>
              <w:t>Three months ended June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5"/>
                <w:szCs w:val="15"/>
                <w:color w:val="auto"/>
              </w:rPr>
              <w:t>Six months ended June 30,</w:t>
            </w:r>
          </w:p>
        </w:tc>
      </w:tr>
      <w:tr>
        <w:trPr>
          <w:trHeight w:val="198"/>
        </w:trPr>
        <w:tc>
          <w:tcPr>
            <w:tcW w:w="48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2024</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5"/>
                <w:szCs w:val="15"/>
                <w:color w:val="auto"/>
              </w:rPr>
              <w:t>2023</w:t>
            </w:r>
          </w:p>
        </w:tc>
      </w:tr>
      <w:tr>
        <w:trPr>
          <w:trHeight w:val="19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4840" w:type="dxa"/>
            <w:vAlign w:val="bottom"/>
          </w:tcPr>
          <w:p>
            <w:pPr>
              <w:ind w:left="360"/>
              <w:spacing w:after="0"/>
              <w:rPr>
                <w:sz w:val="20"/>
                <w:szCs w:val="20"/>
                <w:color w:val="auto"/>
              </w:rPr>
            </w:pPr>
            <w:r>
              <w:rPr>
                <w:rFonts w:ascii="Arial" w:cs="Arial" w:eastAsia="Arial" w:hAnsi="Arial"/>
                <w:sz w:val="16"/>
                <w:szCs w:val="16"/>
                <w:color w:val="auto"/>
              </w:rPr>
              <w:t>Fixed maturities:</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48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Interest and amortization</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15"/>
        </w:trPr>
        <w:tc>
          <w:tcPr>
            <w:tcW w:w="4840" w:type="dxa"/>
            <w:vAlign w:val="bottom"/>
          </w:tcPr>
          <w:p>
            <w:pPr>
              <w:ind w:left="600"/>
              <w:spacing w:after="0"/>
              <w:rPr>
                <w:sz w:val="20"/>
                <w:szCs w:val="20"/>
                <w:color w:val="auto"/>
              </w:rPr>
            </w:pPr>
            <w:r>
              <w:rPr>
                <w:rFonts w:ascii="Arial" w:cs="Arial" w:eastAsia="Arial" w:hAnsi="Arial"/>
                <w:sz w:val="16"/>
                <w:szCs w:val="16"/>
                <w:color w:val="auto"/>
              </w:rPr>
              <w:t>Change in fair value (a)</w:t>
            </w:r>
          </w:p>
        </w:tc>
        <w:tc>
          <w:tcPr>
            <w:tcW w:w="10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4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securities:</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4840" w:type="dxa"/>
            <w:vAlign w:val="bottom"/>
          </w:tcPr>
          <w:p>
            <w:pPr>
              <w:ind w:left="600"/>
              <w:spacing w:after="0"/>
              <w:rPr>
                <w:sz w:val="20"/>
                <w:szCs w:val="20"/>
                <w:color w:val="auto"/>
              </w:rPr>
            </w:pPr>
            <w:r>
              <w:rPr>
                <w:rFonts w:ascii="Arial" w:cs="Arial" w:eastAsia="Arial" w:hAnsi="Arial"/>
                <w:sz w:val="16"/>
                <w:szCs w:val="16"/>
                <w:color w:val="auto"/>
              </w:rPr>
              <w:t>Dividends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7"/>
        </w:trPr>
        <w:tc>
          <w:tcPr>
            <w:tcW w:w="48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Change in fair value (b)</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5"/>
        </w:trPr>
        <w:tc>
          <w:tcPr>
            <w:tcW w:w="4840" w:type="dxa"/>
            <w:vAlign w:val="bottom"/>
          </w:tcPr>
          <w:p>
            <w:pPr>
              <w:ind w:left="360"/>
              <w:spacing w:after="0"/>
              <w:rPr>
                <w:sz w:val="20"/>
                <w:szCs w:val="20"/>
                <w:color w:val="auto"/>
              </w:rPr>
            </w:pPr>
            <w:r>
              <w:rPr>
                <w:rFonts w:ascii="Arial" w:cs="Arial" w:eastAsia="Arial" w:hAnsi="Arial"/>
                <w:sz w:val="16"/>
                <w:szCs w:val="16"/>
                <w:color w:val="auto"/>
              </w:rPr>
              <w:t>Equity in earnings of partnerships and similar investments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7"/>
        </w:trPr>
        <w:tc>
          <w:tcPr>
            <w:tcW w:w="4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9"/>
        </w:trPr>
        <w:tc>
          <w:tcPr>
            <w:tcW w:w="4840" w:type="dxa"/>
            <w:vAlign w:val="bottom"/>
          </w:tcPr>
          <w:p>
            <w:pPr>
              <w:ind w:left="600"/>
              <w:spacing w:after="0"/>
              <w:rPr>
                <w:sz w:val="20"/>
                <w:szCs w:val="20"/>
                <w:color w:val="auto"/>
              </w:rPr>
            </w:pPr>
            <w:r>
              <w:rPr>
                <w:rFonts w:ascii="Arial" w:cs="Arial" w:eastAsia="Arial" w:hAnsi="Arial"/>
                <w:sz w:val="16"/>
                <w:szCs w:val="16"/>
                <w:color w:val="auto"/>
              </w:rPr>
              <w:t>Gross investment income</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425</w:t>
            </w: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expenses</w:t>
            </w: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4840" w:type="dxa"/>
            <w:vAlign w:val="bottom"/>
          </w:tcPr>
          <w:p>
            <w:pPr>
              <w:ind w:left="600"/>
              <w:spacing w:after="0"/>
              <w:rPr>
                <w:sz w:val="20"/>
                <w:szCs w:val="20"/>
                <w:color w:val="auto"/>
              </w:rPr>
            </w:pPr>
            <w:r>
              <w:rPr>
                <w:rFonts w:ascii="Arial" w:cs="Arial" w:eastAsia="Arial" w:hAnsi="Arial"/>
                <w:sz w:val="16"/>
                <w:szCs w:val="16"/>
                <w:color w:val="auto"/>
              </w:rPr>
              <w:t>Net investment income</w:t>
            </w:r>
          </w:p>
        </w:tc>
        <w:tc>
          <w:tcPr>
            <w:tcW w:w="1060" w:type="dxa"/>
            <w:vAlign w:val="bottom"/>
            <w:tcBorders>
              <w:bottom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90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w:t>
            </w:r>
          </w:p>
        </w:tc>
      </w:tr>
      <w:tr>
        <w:trPr>
          <w:trHeight w:val="21"/>
        </w:trPr>
        <w:tc>
          <w:tcPr>
            <w:tcW w:w="4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20" w:right="180" w:hanging="412"/>
        <w:spacing w:after="0" w:line="241" w:lineRule="auto"/>
        <w:tabs>
          <w:tab w:leader="none" w:pos="41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change in the fair value of fixed maturities classified as trading and derivatives embedded in convertible fixed maturities related to limited partnerships and similar investments.</w:t>
      </w:r>
    </w:p>
    <w:p>
      <w:pPr>
        <w:spacing w:after="0" w:line="1" w:lineRule="exact"/>
        <w:rPr>
          <w:rFonts w:ascii="Arial" w:cs="Arial" w:eastAsia="Arial" w:hAnsi="Arial"/>
          <w:sz w:val="17"/>
          <w:szCs w:val="17"/>
          <w:color w:val="auto"/>
        </w:rPr>
      </w:pPr>
    </w:p>
    <w:p>
      <w:pPr>
        <w:ind w:left="420" w:right="380" w:hanging="412"/>
        <w:spacing w:after="0" w:line="235" w:lineRule="auto"/>
        <w:tabs>
          <w:tab w:leader="none" w:pos="413" w:val="left"/>
        </w:tabs>
        <w:numPr>
          <w:ilvl w:val="0"/>
          <w:numId w:val="15"/>
        </w:numPr>
        <w:rPr>
          <w:rFonts w:ascii="Arial" w:cs="Arial" w:eastAsia="Arial" w:hAnsi="Arial"/>
          <w:sz w:val="17"/>
          <w:szCs w:val="17"/>
          <w:color w:val="auto"/>
        </w:rPr>
      </w:pPr>
      <w:r>
        <w:rPr>
          <w:rFonts w:ascii="Arial" w:cs="Arial" w:eastAsia="Arial" w:hAnsi="Arial"/>
          <w:sz w:val="17"/>
          <w:szCs w:val="17"/>
          <w:color w:val="auto"/>
        </w:rPr>
        <w:t>AFG records holding gains and losses on limited partnerships and similar investments that do not qualify for equity method accounting and related equity investments in net investment income.</w:t>
      </w:r>
    </w:p>
    <w:p>
      <w:pPr>
        <w:spacing w:after="0" w:line="141"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Realized gains (losses) and changes in unrealized appreciation (depreciation) included in AOCI related to fixed maturity securities are summarized as follows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8"/>
          </w:tcPr>
          <w:p>
            <w:pPr>
              <w:jc w:val="center"/>
              <w:ind w:left="767"/>
              <w:spacing w:after="0"/>
              <w:rPr>
                <w:sz w:val="20"/>
                <w:szCs w:val="20"/>
                <w:color w:val="auto"/>
              </w:rPr>
            </w:pPr>
            <w:r>
              <w:rPr>
                <w:rFonts w:ascii="Arial" w:cs="Arial" w:eastAsia="Arial" w:hAnsi="Arial"/>
                <w:sz w:val="13"/>
                <w:szCs w:val="13"/>
                <w:color w:val="auto"/>
              </w:rPr>
              <w:t>Three months ended June 30, 2024</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8"/>
          </w:tcPr>
          <w:p>
            <w:pPr>
              <w:jc w:val="center"/>
              <w:ind w:left="787"/>
              <w:spacing w:after="0"/>
              <w:rPr>
                <w:sz w:val="20"/>
                <w:szCs w:val="20"/>
                <w:color w:val="auto"/>
              </w:rPr>
            </w:pPr>
            <w:r>
              <w:rPr>
                <w:rFonts w:ascii="Arial" w:cs="Arial" w:eastAsia="Arial" w:hAnsi="Arial"/>
                <w:sz w:val="13"/>
                <w:szCs w:val="13"/>
                <w:color w:val="auto"/>
              </w:rPr>
              <w:t>Three months ended June 30, 2023</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color w:val="auto"/>
              </w:rPr>
              <w:t>Realized gains (losses)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720"/>
              <w:spacing w:after="0"/>
              <w:rPr>
                <w:sz w:val="20"/>
                <w:szCs w:val="20"/>
                <w:color w:val="auto"/>
              </w:rPr>
            </w:pPr>
            <w:r>
              <w:rPr>
                <w:rFonts w:ascii="Arial" w:cs="Arial" w:eastAsia="Arial" w:hAnsi="Arial"/>
                <w:sz w:val="13"/>
                <w:szCs w:val="13"/>
                <w:color w:val="auto"/>
              </w:rPr>
              <w:t>Realized gains (losses)</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47"/>
              <w:spacing w:after="0" w:line="136" w:lineRule="exact"/>
              <w:rPr>
                <w:sz w:val="20"/>
                <w:szCs w:val="20"/>
                <w:color w:val="auto"/>
              </w:rPr>
            </w:pPr>
            <w:r>
              <w:rPr>
                <w:rFonts w:ascii="Arial" w:cs="Arial" w:eastAsia="Arial" w:hAnsi="Arial"/>
                <w:sz w:val="13"/>
                <w:szCs w:val="13"/>
                <w:color w:val="auto"/>
              </w:rPr>
              <w:t>Before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8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1"/>
                <w:szCs w:val="11"/>
                <w:color w:val="auto"/>
              </w:rPr>
            </w:pPr>
          </w:p>
        </w:tc>
        <w:tc>
          <w:tcPr>
            <w:tcW w:w="94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Change in</w:t>
            </w:r>
          </w:p>
        </w:tc>
        <w:tc>
          <w:tcPr>
            <w:tcW w:w="120" w:type="dxa"/>
            <w:vAlign w:val="bottom"/>
          </w:tcPr>
          <w:p>
            <w:pPr>
              <w:spacing w:after="0"/>
              <w:rPr>
                <w:sz w:val="11"/>
                <w:szCs w:val="11"/>
                <w:color w:val="auto"/>
              </w:rPr>
            </w:pPr>
          </w:p>
        </w:tc>
        <w:tc>
          <w:tcPr>
            <w:tcW w:w="920" w:type="dxa"/>
            <w:vAlign w:val="bottom"/>
          </w:tcPr>
          <w:p>
            <w:pPr>
              <w:jc w:val="center"/>
              <w:ind w:right="47"/>
              <w:spacing w:after="0" w:line="136" w:lineRule="exact"/>
              <w:rPr>
                <w:sz w:val="20"/>
                <w:szCs w:val="20"/>
                <w:color w:val="auto"/>
              </w:rPr>
            </w:pPr>
            <w:r>
              <w:rPr>
                <w:rFonts w:ascii="Arial" w:cs="Arial" w:eastAsia="Arial" w:hAnsi="Arial"/>
                <w:sz w:val="13"/>
                <w:szCs w:val="13"/>
                <w:color w:val="auto"/>
              </w:rPr>
              <w:t>Before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3"/>
                <w:szCs w:val="13"/>
                <w:color w:val="auto"/>
              </w:rPr>
              <w:t>Change in</w:t>
            </w: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67"/>
              <w:spacing w:after="0"/>
              <w:rPr>
                <w:sz w:val="20"/>
                <w:szCs w:val="20"/>
                <w:color w:val="auto"/>
              </w:rPr>
            </w:pPr>
            <w:r>
              <w:rPr>
                <w:rFonts w:ascii="Arial" w:cs="Arial" w:eastAsia="Arial" w:hAnsi="Arial"/>
                <w:sz w:val="13"/>
                <w:szCs w:val="13"/>
                <w:color w:val="auto"/>
              </w:rPr>
              <w:t>Impairments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rPr>
              <w:t>Allowance</w:t>
            </w: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color w:val="auto"/>
              </w:rPr>
              <w:t>Unrealized</w:t>
            </w:r>
          </w:p>
        </w:tc>
        <w:tc>
          <w:tcPr>
            <w:tcW w:w="120" w:type="dxa"/>
            <w:vAlign w:val="bottom"/>
          </w:tcPr>
          <w:p>
            <w:pPr>
              <w:spacing w:after="0"/>
              <w:rPr>
                <w:sz w:val="15"/>
                <w:szCs w:val="15"/>
                <w:color w:val="auto"/>
              </w:rPr>
            </w:pPr>
          </w:p>
        </w:tc>
        <w:tc>
          <w:tcPr>
            <w:tcW w:w="920" w:type="dxa"/>
            <w:vAlign w:val="bottom"/>
          </w:tcPr>
          <w:p>
            <w:pPr>
              <w:jc w:val="center"/>
              <w:ind w:right="27"/>
              <w:spacing w:after="0"/>
              <w:rPr>
                <w:sz w:val="20"/>
                <w:szCs w:val="20"/>
                <w:color w:val="auto"/>
              </w:rPr>
            </w:pPr>
            <w:r>
              <w:rPr>
                <w:rFonts w:ascii="Arial" w:cs="Arial" w:eastAsia="Arial" w:hAnsi="Arial"/>
                <w:sz w:val="13"/>
                <w:szCs w:val="13"/>
                <w:color w:val="auto"/>
              </w:rPr>
              <w:t>Impairments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Allowance</w:t>
            </w: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Unrealized</w:t>
            </w:r>
          </w:p>
        </w:tc>
        <w:tc>
          <w:tcPr>
            <w:tcW w:w="0" w:type="dxa"/>
            <w:vAlign w:val="bottom"/>
          </w:tcPr>
          <w:p>
            <w:pPr>
              <w:spacing w:after="0"/>
              <w:rPr>
                <w:sz w:val="1"/>
                <w:szCs w:val="1"/>
                <w:color w:val="auto"/>
              </w:rPr>
            </w:pPr>
          </w:p>
        </w:tc>
      </w:tr>
      <w:tr>
        <w:trPr>
          <w:trHeight w:val="20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Fixed maturities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center"/>
              <w:ind w:left="526"/>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01"/>
        </w:trPr>
        <w:tc>
          <w:tcPr>
            <w:tcW w:w="2860" w:type="dxa"/>
            <w:vAlign w:val="bottom"/>
          </w:tcPr>
          <w:p>
            <w:pPr>
              <w:ind w:left="20"/>
              <w:spacing w:after="0"/>
              <w:rPr>
                <w:sz w:val="20"/>
                <w:szCs w:val="20"/>
                <w:color w:val="auto"/>
              </w:rPr>
            </w:pPr>
            <w:r>
              <w:rPr>
                <w:rFonts w:ascii="Arial" w:cs="Arial" w:eastAsia="Arial" w:hAnsi="Arial"/>
                <w:sz w:val="15"/>
                <w:szCs w:val="15"/>
                <w:color w:val="auto"/>
              </w:rPr>
              <w:t>Equity securities</w:t>
            </w:r>
          </w:p>
        </w:tc>
        <w:tc>
          <w:tcPr>
            <w:tcW w:w="140" w:type="dxa"/>
            <w:vAlign w:val="bottom"/>
          </w:tcPr>
          <w:p>
            <w:pPr>
              <w:spacing w:after="0"/>
              <w:rPr>
                <w:sz w:val="17"/>
                <w:szCs w:val="17"/>
                <w:color w:val="auto"/>
              </w:rPr>
            </w:pPr>
          </w:p>
        </w:tc>
        <w:tc>
          <w:tcPr>
            <w:tcW w:w="920" w:type="dxa"/>
            <w:vAlign w:val="bottom"/>
          </w:tcPr>
          <w:p>
            <w:pPr>
              <w:ind w:left="70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Mortgage loans and other investments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4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Total pretax</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700"/>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left="52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 effects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4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center"/>
              <w:ind w:left="526"/>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2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3"/>
                <w:szCs w:val="13"/>
                <w:color w:val="auto"/>
              </w:rPr>
              <w:t>Six months ended June 30, 2024</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3"/>
                <w:szCs w:val="13"/>
                <w:color w:val="auto"/>
              </w:rPr>
              <w:t>Six months ended June 30, 2023</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color w:val="auto"/>
              </w:rPr>
              <w:t>Realized gains (losses)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720"/>
              <w:spacing w:after="0"/>
              <w:rPr>
                <w:sz w:val="20"/>
                <w:szCs w:val="20"/>
                <w:color w:val="auto"/>
              </w:rPr>
            </w:pPr>
            <w:r>
              <w:rPr>
                <w:rFonts w:ascii="Arial" w:cs="Arial" w:eastAsia="Arial" w:hAnsi="Arial"/>
                <w:sz w:val="13"/>
                <w:szCs w:val="13"/>
                <w:color w:val="auto"/>
              </w:rPr>
              <w:t>Realized gains (losses)</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47"/>
              <w:spacing w:after="0" w:line="136" w:lineRule="exact"/>
              <w:rPr>
                <w:sz w:val="20"/>
                <w:szCs w:val="20"/>
                <w:color w:val="auto"/>
              </w:rPr>
            </w:pPr>
            <w:r>
              <w:rPr>
                <w:rFonts w:ascii="Arial" w:cs="Arial" w:eastAsia="Arial" w:hAnsi="Arial"/>
                <w:sz w:val="13"/>
                <w:szCs w:val="13"/>
                <w:color w:val="auto"/>
              </w:rPr>
              <w:t>Before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8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1"/>
                <w:szCs w:val="11"/>
                <w:color w:val="auto"/>
              </w:rPr>
            </w:pPr>
          </w:p>
        </w:tc>
        <w:tc>
          <w:tcPr>
            <w:tcW w:w="94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Change in</w:t>
            </w:r>
          </w:p>
        </w:tc>
        <w:tc>
          <w:tcPr>
            <w:tcW w:w="120" w:type="dxa"/>
            <w:vAlign w:val="bottom"/>
          </w:tcPr>
          <w:p>
            <w:pPr>
              <w:spacing w:after="0"/>
              <w:rPr>
                <w:sz w:val="11"/>
                <w:szCs w:val="11"/>
                <w:color w:val="auto"/>
              </w:rPr>
            </w:pPr>
          </w:p>
        </w:tc>
        <w:tc>
          <w:tcPr>
            <w:tcW w:w="920" w:type="dxa"/>
            <w:vAlign w:val="bottom"/>
          </w:tcPr>
          <w:p>
            <w:pPr>
              <w:jc w:val="center"/>
              <w:ind w:right="47"/>
              <w:spacing w:after="0" w:line="136" w:lineRule="exact"/>
              <w:rPr>
                <w:sz w:val="20"/>
                <w:szCs w:val="20"/>
                <w:color w:val="auto"/>
              </w:rPr>
            </w:pPr>
            <w:r>
              <w:rPr>
                <w:rFonts w:ascii="Arial" w:cs="Arial" w:eastAsia="Arial" w:hAnsi="Arial"/>
                <w:sz w:val="13"/>
                <w:szCs w:val="13"/>
                <w:color w:val="auto"/>
              </w:rPr>
              <w:t>Before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3"/>
                <w:szCs w:val="13"/>
                <w:color w:val="auto"/>
              </w:rPr>
              <w:t>Change in</w:t>
            </w: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67"/>
              <w:spacing w:after="0"/>
              <w:rPr>
                <w:sz w:val="20"/>
                <w:szCs w:val="20"/>
                <w:color w:val="auto"/>
              </w:rPr>
            </w:pPr>
            <w:r>
              <w:rPr>
                <w:rFonts w:ascii="Arial" w:cs="Arial" w:eastAsia="Arial" w:hAnsi="Arial"/>
                <w:sz w:val="13"/>
                <w:szCs w:val="13"/>
                <w:color w:val="auto"/>
              </w:rPr>
              <w:t>Impairments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rPr>
              <w:t>Allowance</w:t>
            </w: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color w:val="auto"/>
              </w:rPr>
              <w:t>Unrealized</w:t>
            </w:r>
          </w:p>
        </w:tc>
        <w:tc>
          <w:tcPr>
            <w:tcW w:w="120" w:type="dxa"/>
            <w:vAlign w:val="bottom"/>
          </w:tcPr>
          <w:p>
            <w:pPr>
              <w:spacing w:after="0"/>
              <w:rPr>
                <w:sz w:val="15"/>
                <w:szCs w:val="15"/>
                <w:color w:val="auto"/>
              </w:rPr>
            </w:pPr>
          </w:p>
        </w:tc>
        <w:tc>
          <w:tcPr>
            <w:tcW w:w="920" w:type="dxa"/>
            <w:vAlign w:val="bottom"/>
          </w:tcPr>
          <w:p>
            <w:pPr>
              <w:jc w:val="center"/>
              <w:ind w:right="27"/>
              <w:spacing w:after="0"/>
              <w:rPr>
                <w:sz w:val="20"/>
                <w:szCs w:val="20"/>
                <w:color w:val="auto"/>
              </w:rPr>
            </w:pPr>
            <w:r>
              <w:rPr>
                <w:rFonts w:ascii="Arial" w:cs="Arial" w:eastAsia="Arial" w:hAnsi="Arial"/>
                <w:sz w:val="13"/>
                <w:szCs w:val="13"/>
                <w:color w:val="auto"/>
              </w:rPr>
              <w:t>Impairments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Allowance</w:t>
            </w: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Unrealized</w:t>
            </w:r>
          </w:p>
        </w:tc>
        <w:tc>
          <w:tcPr>
            <w:tcW w:w="0" w:type="dxa"/>
            <w:vAlign w:val="bottom"/>
          </w:tcPr>
          <w:p>
            <w:pPr>
              <w:spacing w:after="0"/>
              <w:rPr>
                <w:sz w:val="1"/>
                <w:szCs w:val="1"/>
                <w:color w:val="auto"/>
              </w:rPr>
            </w:pPr>
          </w:p>
        </w:tc>
      </w:tr>
      <w:tr>
        <w:trPr>
          <w:trHeight w:val="20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Fixed maturities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center"/>
              <w:ind w:left="586"/>
              <w:spacing w:after="0"/>
              <w:rPr>
                <w:sz w:val="20"/>
                <w:szCs w:val="20"/>
                <w:color w:val="auto"/>
              </w:rPr>
            </w:pPr>
            <w:r>
              <w:rPr>
                <w:rFonts w:ascii="Arial" w:cs="Arial" w:eastAsia="Arial" w:hAnsi="Arial"/>
                <w:sz w:val="15"/>
                <w:szCs w:val="15"/>
                <w:color w:val="auto"/>
                <w:w w:val="97"/>
              </w:rPr>
              <w:t>(2)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center"/>
              <w:ind w:left="586"/>
              <w:spacing w:after="0"/>
              <w:rPr>
                <w:sz w:val="20"/>
                <w:szCs w:val="20"/>
                <w:color w:val="auto"/>
              </w:rPr>
            </w:pPr>
            <w:r>
              <w:rPr>
                <w:rFonts w:ascii="Arial" w:cs="Arial" w:eastAsia="Arial" w:hAnsi="Arial"/>
                <w:sz w:val="15"/>
                <w:szCs w:val="15"/>
                <w:color w:val="auto"/>
                <w:w w:val="97"/>
              </w:rPr>
              <w:t>(5)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01"/>
        </w:trPr>
        <w:tc>
          <w:tcPr>
            <w:tcW w:w="2860" w:type="dxa"/>
            <w:vAlign w:val="bottom"/>
          </w:tcPr>
          <w:p>
            <w:pPr>
              <w:ind w:left="20"/>
              <w:spacing w:after="0"/>
              <w:rPr>
                <w:sz w:val="20"/>
                <w:szCs w:val="20"/>
                <w:color w:val="auto"/>
              </w:rPr>
            </w:pPr>
            <w:r>
              <w:rPr>
                <w:rFonts w:ascii="Arial" w:cs="Arial" w:eastAsia="Arial" w:hAnsi="Arial"/>
                <w:sz w:val="15"/>
                <w:szCs w:val="15"/>
                <w:color w:val="auto"/>
              </w:rPr>
              <w:t>Equity securities</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left="446"/>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ind w:right="5"/>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Mortgage loans and other investments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4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Total pretax</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left="586"/>
              <w:spacing w:after="0"/>
              <w:rPr>
                <w:sz w:val="20"/>
                <w:szCs w:val="20"/>
                <w:color w:val="auto"/>
              </w:rPr>
            </w:pPr>
            <w:r>
              <w:rPr>
                <w:rFonts w:ascii="Arial" w:cs="Arial" w:eastAsia="Arial" w:hAnsi="Arial"/>
                <w:sz w:val="15"/>
                <w:szCs w:val="15"/>
                <w:color w:val="auto"/>
                <w:w w:val="97"/>
              </w:rPr>
              <w:t>(2)</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left="586"/>
              <w:spacing w:after="0"/>
              <w:rPr>
                <w:sz w:val="20"/>
                <w:szCs w:val="20"/>
                <w:color w:val="auto"/>
              </w:rPr>
            </w:pPr>
            <w:r>
              <w:rPr>
                <w:rFonts w:ascii="Arial" w:cs="Arial" w:eastAsia="Arial" w:hAnsi="Arial"/>
                <w:sz w:val="15"/>
                <w:szCs w:val="15"/>
                <w:color w:val="auto"/>
                <w:w w:val="97"/>
              </w:rPr>
              <w:t>(5)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 effects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44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center"/>
              <w:ind w:left="586"/>
              <w:spacing w:after="0"/>
              <w:rPr>
                <w:sz w:val="20"/>
                <w:szCs w:val="20"/>
                <w:color w:val="auto"/>
              </w:rPr>
            </w:pPr>
            <w:r>
              <w:rPr>
                <w:rFonts w:ascii="Arial" w:cs="Arial" w:eastAsia="Arial" w:hAnsi="Arial"/>
                <w:sz w:val="15"/>
                <w:szCs w:val="15"/>
                <w:color w:val="auto"/>
                <w:w w:val="97"/>
              </w:rPr>
              <w:t>(2)</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center"/>
              <w:ind w:left="586"/>
              <w:spacing w:after="0"/>
              <w:rPr>
                <w:sz w:val="20"/>
                <w:szCs w:val="20"/>
                <w:color w:val="auto"/>
              </w:rPr>
            </w:pPr>
            <w:r>
              <w:rPr>
                <w:rFonts w:ascii="Arial" w:cs="Arial" w:eastAsia="Arial" w:hAnsi="Arial"/>
                <w:sz w:val="15"/>
                <w:szCs w:val="15"/>
                <w:color w:val="auto"/>
                <w:w w:val="97"/>
              </w:rPr>
              <w:t>(4)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All equity securities other than those accounted for under the equity method are carried at fair value through net earnings. AFG recorded net holding gains (losses) on equity securities during the second quarter and first six months of 2024 and 2023 on securities that were still owned at June 30, 2024 and June 30, 2023 as follows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274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5"/>
                <w:szCs w:val="15"/>
                <w:color w:val="auto"/>
              </w:rPr>
              <w:t>Three months ended June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5"/>
                <w:szCs w:val="15"/>
                <w:color w:val="auto"/>
              </w:rPr>
              <w:t>Six months ended June 30,</w:t>
            </w:r>
          </w:p>
        </w:tc>
      </w:tr>
      <w:tr>
        <w:trPr>
          <w:trHeight w:val="198"/>
        </w:trPr>
        <w:tc>
          <w:tcPr>
            <w:tcW w:w="48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rPr>
              <w:t>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rPr>
              <w:t>2023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color w:val="auto"/>
              </w:rPr>
              <w:t>2023</w:t>
            </w:r>
          </w:p>
        </w:tc>
      </w:tr>
      <w:tr>
        <w:trPr>
          <w:trHeight w:val="211"/>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Included in realized gains (losses)</w:t>
            </w:r>
          </w:p>
        </w:tc>
        <w:tc>
          <w:tcPr>
            <w:tcW w:w="1120" w:type="dxa"/>
            <w:vAlign w:val="bottom"/>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Included in net investment income</w:t>
            </w: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34"/>
        </w:trPr>
        <w:tc>
          <w:tcPr>
            <w:tcW w:w="48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Gross realized gains and losses (excluding changes in impairment allowance and mark-to-market of derivatives) on available for sale fixed maturity investment transactions consisted of the following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66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5"/>
                <w:szCs w:val="15"/>
                <w:color w:val="auto"/>
              </w:rPr>
              <w:t>Six months ended June 30,</w:t>
            </w:r>
          </w:p>
        </w:tc>
        <w:tc>
          <w:tcPr>
            <w:tcW w:w="460" w:type="dxa"/>
            <w:vAlign w:val="bottom"/>
            <w:tcBorders>
              <w:bottom w:val="single" w:sz="8" w:color="auto"/>
            </w:tcBorders>
          </w:tcPr>
          <w:p>
            <w:pPr>
              <w:spacing w:after="0"/>
              <w:rPr>
                <w:sz w:val="17"/>
                <w:szCs w:val="17"/>
                <w:color w:val="auto"/>
              </w:rPr>
            </w:pPr>
          </w:p>
        </w:tc>
      </w:tr>
      <w:tr>
        <w:trPr>
          <w:trHeight w:val="198"/>
        </w:trPr>
        <w:tc>
          <w:tcPr>
            <w:tcW w:w="8120" w:type="dxa"/>
            <w:vAlign w:val="bottom"/>
          </w:tcPr>
          <w:p>
            <w:pPr>
              <w:spacing w:after="0"/>
              <w:rPr>
                <w:sz w:val="17"/>
                <w:szCs w:val="17"/>
                <w:color w:val="auto"/>
              </w:rPr>
            </w:pPr>
          </w:p>
        </w:tc>
        <w:tc>
          <w:tcPr>
            <w:tcW w:w="1100" w:type="dxa"/>
            <w:vAlign w:val="bottom"/>
          </w:tcPr>
          <w:p>
            <w:pPr>
              <w:jc w:val="right"/>
              <w:ind w:right="102"/>
              <w:spacing w:after="0"/>
              <w:rPr>
                <w:sz w:val="20"/>
                <w:szCs w:val="20"/>
                <w:color w:val="auto"/>
              </w:rPr>
            </w:pPr>
            <w:r>
              <w:rPr>
                <w:rFonts w:ascii="Arial" w:cs="Arial" w:eastAsia="Arial" w:hAnsi="Arial"/>
                <w:sz w:val="15"/>
                <w:szCs w:val="15"/>
                <w:color w:val="auto"/>
              </w:rPr>
              <w:t>2024</w:t>
            </w:r>
          </w:p>
        </w:tc>
        <w:tc>
          <w:tcPr>
            <w:tcW w:w="1560" w:type="dxa"/>
            <w:vAlign w:val="bottom"/>
            <w:gridSpan w:val="3"/>
          </w:tcPr>
          <w:p>
            <w:pPr>
              <w:jc w:val="right"/>
              <w:ind w:right="39"/>
              <w:spacing w:after="0"/>
              <w:rPr>
                <w:sz w:val="20"/>
                <w:szCs w:val="20"/>
                <w:color w:val="auto"/>
              </w:rPr>
            </w:pPr>
            <w:r>
              <w:rPr>
                <w:rFonts w:ascii="Arial" w:cs="Arial" w:eastAsia="Arial" w:hAnsi="Arial"/>
                <w:sz w:val="15"/>
                <w:szCs w:val="15"/>
                <w:color w:val="auto"/>
              </w:rPr>
              <w:t>2023</w:t>
            </w:r>
          </w:p>
        </w:tc>
        <w:tc>
          <w:tcPr>
            <w:tcW w:w="460" w:type="dxa"/>
            <w:vAlign w:val="bottom"/>
          </w:tcPr>
          <w:p>
            <w:pPr>
              <w:spacing w:after="0"/>
              <w:rPr>
                <w:sz w:val="17"/>
                <w:szCs w:val="17"/>
                <w:color w:val="auto"/>
              </w:rPr>
            </w:pPr>
          </w:p>
        </w:tc>
      </w:tr>
      <w:tr>
        <w:trPr>
          <w:trHeight w:val="211"/>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gains</w:t>
            </w:r>
          </w:p>
        </w:tc>
        <w:tc>
          <w:tcPr>
            <w:tcW w:w="1100" w:type="dxa"/>
            <w:vAlign w:val="bottom"/>
            <w:tcBorders>
              <w:top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Gross losses</w:t>
            </w:r>
          </w:p>
        </w:tc>
        <w:tc>
          <w:tcPr>
            <w:tcW w:w="1100" w:type="dxa"/>
            <w:vAlign w:val="bottom"/>
          </w:tcPr>
          <w:p>
            <w:pPr>
              <w:spacing w:after="0"/>
              <w:rPr>
                <w:sz w:val="18"/>
                <w:szCs w:val="18"/>
                <w:color w:val="auto"/>
              </w:rPr>
            </w:pPr>
          </w:p>
        </w:tc>
        <w:tc>
          <w:tcPr>
            <w:tcW w:w="420" w:type="dxa"/>
            <w:vAlign w:val="bottom"/>
          </w:tcPr>
          <w:p>
            <w:pPr>
              <w:ind w:left="18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(27)</w:t>
            </w:r>
          </w:p>
        </w:tc>
      </w:tr>
    </w:tbl>
    <w:p>
      <w:pPr>
        <w:spacing w:after="0" w:line="305" w:lineRule="exact"/>
        <w:rPr>
          <w:sz w:val="20"/>
          <w:szCs w:val="20"/>
          <w:color w:val="auto"/>
        </w:rPr>
      </w:pPr>
    </w:p>
    <w:p>
      <w:pPr>
        <w:ind w:left="560" w:hanging="552"/>
        <w:spacing w:after="0"/>
        <w:tabs>
          <w:tab w:leader="none" w:pos="560" w:val="left"/>
        </w:tabs>
        <w:numPr>
          <w:ilvl w:val="0"/>
          <w:numId w:val="16"/>
        </w:numPr>
        <w:rPr>
          <w:rFonts w:ascii="Arial" w:cs="Arial" w:eastAsia="Arial" w:hAnsi="Arial"/>
          <w:sz w:val="29"/>
          <w:szCs w:val="29"/>
          <w:b w:val="1"/>
          <w:bCs w:val="1"/>
          <w:color w:val="003366"/>
        </w:rPr>
      </w:pPr>
      <w:r>
        <w:rPr>
          <w:rFonts w:ascii="Arial" w:cs="Arial" w:eastAsia="Arial" w:hAnsi="Arial"/>
          <w:sz w:val="29"/>
          <w:szCs w:val="29"/>
          <w:b w:val="1"/>
          <w:bCs w:val="1"/>
          <w:color w:val="003366"/>
        </w:rPr>
        <w:t>Derivatives</w:t>
      </w:r>
    </w:p>
    <w:p>
      <w:pPr>
        <w:spacing w:after="0" w:line="272"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As discussed under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w:t>
      </w:r>
      <w:r>
        <w:rPr>
          <w:rFonts w:ascii="Arial" w:cs="Arial" w:eastAsia="Arial" w:hAnsi="Arial"/>
          <w:sz w:val="17"/>
          <w:szCs w:val="17"/>
          <w:i w:val="1"/>
          <w:iCs w:val="1"/>
          <w:color w:val="auto"/>
        </w:rPr>
        <w:t>Note A — “Accounting Policies</w:t>
      </w:r>
      <w:r>
        <w:rPr>
          <w:rFonts w:ascii="Arial" w:cs="Arial" w:eastAsia="Arial" w:hAnsi="Arial"/>
          <w:sz w:val="17"/>
          <w:szCs w:val="17"/>
          <w:color w:val="auto"/>
        </w:rPr>
        <w:t>,” AFG uses derivatives to mitigate certain market risks related to its investment portfolio and deferred compensation obligations to employees.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included in AFG’s Balance Sheet at fair value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color w:val="auto"/>
              </w:rPr>
              <w:t>June 30, 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color w:val="auto"/>
              </w:rPr>
              <w:t>December 31, 2023</w:t>
            </w:r>
          </w:p>
        </w:tc>
      </w:tr>
      <w:tr>
        <w:trPr>
          <w:trHeight w:val="196"/>
        </w:trPr>
        <w:tc>
          <w:tcPr>
            <w:tcW w:w="5260" w:type="dxa"/>
            <w:vAlign w:val="bottom"/>
          </w:tcPr>
          <w:p>
            <w:pPr>
              <w:spacing w:after="0"/>
              <w:rPr>
                <w:sz w:val="17"/>
                <w:szCs w:val="17"/>
                <w:color w:val="auto"/>
              </w:rPr>
            </w:pPr>
          </w:p>
        </w:tc>
        <w:tc>
          <w:tcPr>
            <w:tcW w:w="2340" w:type="dxa"/>
            <w:vAlign w:val="bottom"/>
            <w:gridSpan w:val="3"/>
          </w:tcPr>
          <w:p>
            <w:pPr>
              <w:ind w:left="20"/>
              <w:spacing w:after="0"/>
              <w:rPr>
                <w:sz w:val="20"/>
                <w:szCs w:val="20"/>
                <w:color w:val="auto"/>
              </w:rPr>
            </w:pPr>
            <w:r>
              <w:rPr>
                <w:rFonts w:ascii="Arial" w:cs="Arial" w:eastAsia="Arial" w:hAnsi="Arial"/>
                <w:sz w:val="14"/>
                <w:szCs w:val="14"/>
                <w:color w:val="auto"/>
              </w:rPr>
              <w:t>Balance Sheet Line</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Asset</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color w:val="auto"/>
              </w:rPr>
              <w:t>Liability</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color w:val="auto"/>
              </w:rPr>
              <w:t>Asset</w:t>
            </w:r>
          </w:p>
        </w:tc>
        <w:tc>
          <w:tcPr>
            <w:tcW w:w="160" w:type="dxa"/>
            <w:vAlign w:val="bottom"/>
          </w:tcPr>
          <w:p>
            <w:pPr>
              <w:spacing w:after="0"/>
              <w:rPr>
                <w:sz w:val="17"/>
                <w:szCs w:val="17"/>
                <w:color w:val="auto"/>
              </w:rPr>
            </w:pPr>
          </w:p>
        </w:tc>
        <w:tc>
          <w:tcPr>
            <w:tcW w:w="740" w:type="dxa"/>
            <w:vAlign w:val="bottom"/>
          </w:tcPr>
          <w:p>
            <w:pPr>
              <w:jc w:val="right"/>
              <w:ind w:right="121"/>
              <w:spacing w:after="0"/>
              <w:rPr>
                <w:sz w:val="20"/>
                <w:szCs w:val="20"/>
                <w:color w:val="auto"/>
              </w:rPr>
            </w:pPr>
            <w:r>
              <w:rPr>
                <w:rFonts w:ascii="Arial" w:cs="Arial" w:eastAsia="Arial" w:hAnsi="Arial"/>
                <w:sz w:val="14"/>
                <w:szCs w:val="14"/>
                <w:color w:val="auto"/>
              </w:rPr>
              <w:t>Liability</w:t>
            </w:r>
          </w:p>
        </w:tc>
      </w:tr>
      <w:tr>
        <w:trPr>
          <w:trHeight w:val="20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and qualifying as cash flow hedges:</w:t>
            </w: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5"/>
        </w:trPr>
        <w:tc>
          <w:tcPr>
            <w:tcW w:w="526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2340" w:type="dxa"/>
            <w:vAlign w:val="bottom"/>
            <w:gridSpan w:val="3"/>
          </w:tcPr>
          <w:p>
            <w:pPr>
              <w:ind w:left="20"/>
              <w:spacing w:after="0"/>
              <w:rPr>
                <w:sz w:val="20"/>
                <w:szCs w:val="20"/>
                <w:color w:val="auto"/>
              </w:rPr>
            </w:pPr>
            <w:r>
              <w:rPr>
                <w:rFonts w:ascii="Arial" w:cs="Arial" w:eastAsia="Arial" w:hAnsi="Arial"/>
                <w:sz w:val="16"/>
                <w:szCs w:val="16"/>
                <w:color w:val="auto"/>
              </w:rPr>
              <w:t>Other assets/Other liabilities  $</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22</w:t>
            </w:r>
          </w:p>
        </w:tc>
      </w:tr>
      <w:tr>
        <w:trPr>
          <w:trHeight w:val="217"/>
        </w:trPr>
        <w:tc>
          <w:tcPr>
            <w:tcW w:w="5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5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Fixed maturities</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5"/>
        </w:trPr>
        <w:tc>
          <w:tcPr>
            <w:tcW w:w="5260" w:type="dxa"/>
            <w:vAlign w:val="bottom"/>
          </w:tcPr>
          <w:p>
            <w:pPr>
              <w:ind w:left="240"/>
              <w:spacing w:after="0"/>
              <w:rPr>
                <w:sz w:val="20"/>
                <w:szCs w:val="20"/>
                <w:color w:val="auto"/>
              </w:rPr>
            </w:pPr>
            <w:r>
              <w:rPr>
                <w:rFonts w:ascii="Arial" w:cs="Arial" w:eastAsia="Arial" w:hAnsi="Arial"/>
                <w:sz w:val="16"/>
                <w:szCs w:val="16"/>
                <w:color w:val="auto"/>
              </w:rPr>
              <w:t>Total return swap</w:t>
            </w:r>
          </w:p>
        </w:tc>
        <w:tc>
          <w:tcPr>
            <w:tcW w:w="2340" w:type="dxa"/>
            <w:vAlign w:val="bottom"/>
            <w:gridSpan w:val="3"/>
          </w:tcPr>
          <w:p>
            <w:pPr>
              <w:ind w:left="20"/>
              <w:spacing w:after="0"/>
              <w:rPr>
                <w:sz w:val="20"/>
                <w:szCs w:val="20"/>
                <w:color w:val="auto"/>
              </w:rPr>
            </w:pPr>
            <w:r>
              <w:rPr>
                <w:rFonts w:ascii="Arial" w:cs="Arial" w:eastAsia="Arial" w:hAnsi="Arial"/>
                <w:sz w:val="16"/>
                <w:szCs w:val="16"/>
                <w:color w:val="auto"/>
              </w:rPr>
              <w:t>Other assets/Other liabilities</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34"/>
        </w:trPr>
        <w:tc>
          <w:tcPr>
            <w:tcW w:w="5260" w:type="dxa"/>
            <w:vAlign w:val="bottom"/>
            <w:tcBorders>
              <w:top w:val="single" w:sz="8" w:color="CCEEFF"/>
              <w:bottom w:val="single" w:sz="8" w:color="CCEEFF"/>
            </w:tcBorders>
            <w:shd w:val="clear" w:color="auto" w:fill="CCEEFF"/>
          </w:tcPr>
          <w:p>
            <w:pPr>
              <w:spacing w:after="0"/>
              <w:rPr>
                <w:sz w:val="19"/>
                <w:szCs w:val="19"/>
                <w:color w:val="auto"/>
              </w:rPr>
            </w:pP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AFG’s interest rate swaps are designated and qualify as highly effective cash flow hedges to mitigate interest rate risk related to certain floating-rate securities included in AFG’s portfolio of fixed maturity securities. The purpose of each of these swaps is to effectively convert a portion of AFG’s floating-rate fixed maturity securities to fixed rates by offsetting the variability in cash flows attributable to changes in the applicable Secured Overnight Financing Rate (“SOFR”).</w:t>
      </w:r>
    </w:p>
    <w:p>
      <w:pPr>
        <w:spacing w:after="0" w:line="206"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Under the terms of the swaps, AFG receives fixed-rate interest payments in exchange for variable interest payments based on SOFR. The notional amounts of the interest rate swaps generally decline over each swap’s respective life (the swaps expire between July 2024 and July 2028) in anticipation of the expected decline in AFG’s portfolio of fixed maturity securities with floating interest rates based on SOFR. The total outstanding notional amount of AFG’s interest rate swaps was $1.19 billion at June 30, 2024 compared to $1.30 billion at December 31, 2023, reflecting scheduled amortization. Amounts reclassified from AOCI to net earnings were losses of $7 million in the second quarter of both 2024 and 2023,and losses of $14 million and $12 million in the first six months of 2024 and 2023, respectively. Based on forward interest rate curves at June 30, 2024, management estimates that it will reclassify approximately $17 million of pre-tax net losses on interest rate swaps in AOCI to net investment income over the next twelve months. The actual amount will vary based on changes in SOFR. A collateral receivable supporting these swaps of $47 million and $48 million at June 30, 2024 and December 31, 2023, respectively, is included in other assets in AFG’s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fixed maturities with embedded derivatives consist of convertible fixed maturity securities and interest-only and principal-only MBS. AFG records the change in the fair value of these securities in net earnings. These investments are part of AFG’s overall investment strategy and represent a small component of AFG’s overall investment portfolio.</w:t>
      </w:r>
    </w:p>
    <w:p>
      <w:pPr>
        <w:spacing w:after="0" w:line="214"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AFG is exposed to fair value changes from certain equity and fixed maturity market-based exposures related to its deferred compensation obligations to certain employees. To mitigate this risk, AFG entered into a total return swap in 2022. A liability to return collateral related to the swap of $1 million and $5 million is included in other liabilities on AFG’s Balance Sheet at June 30, 2024 and December 31, 2023,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gains (losses) included in AFG’s Statement of Earnings for changes in the fair value of derivatives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ind w:left="80"/>
              <w:spacing w:after="0"/>
              <w:rPr>
                <w:sz w:val="20"/>
                <w:szCs w:val="20"/>
                <w:color w:val="auto"/>
              </w:rPr>
            </w:pPr>
            <w:r>
              <w:rPr>
                <w:rFonts w:ascii="Arial" w:cs="Arial" w:eastAsia="Arial" w:hAnsi="Arial"/>
                <w:sz w:val="14"/>
                <w:szCs w:val="14"/>
                <w:color w:val="auto"/>
              </w:rPr>
              <w:t>Three months ended June 30,</w:t>
            </w:r>
          </w:p>
        </w:tc>
        <w:tc>
          <w:tcPr>
            <w:tcW w:w="240" w:type="dxa"/>
            <w:vAlign w:val="bottom"/>
          </w:tcPr>
          <w:p>
            <w:pPr>
              <w:spacing w:after="0"/>
              <w:rPr>
                <w:sz w:val="16"/>
                <w:szCs w:val="16"/>
                <w:color w:val="auto"/>
              </w:rPr>
            </w:pPr>
          </w:p>
        </w:tc>
        <w:tc>
          <w:tcPr>
            <w:tcW w:w="2240" w:type="dxa"/>
            <w:vAlign w:val="bottom"/>
            <w:gridSpan w:val="4"/>
          </w:tcPr>
          <w:p>
            <w:pPr>
              <w:jc w:val="right"/>
              <w:ind w:right="28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7"/>
                <w:szCs w:val="17"/>
                <w:color w:val="auto"/>
              </w:rPr>
            </w:pP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Statement of Earnings Line</w:t>
            </w: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61"/>
              <w:spacing w:after="0"/>
              <w:rPr>
                <w:sz w:val="20"/>
                <w:szCs w:val="20"/>
                <w:color w:val="auto"/>
              </w:rPr>
            </w:pPr>
            <w:r>
              <w:rPr>
                <w:rFonts w:ascii="Arial" w:cs="Arial" w:eastAsia="Arial" w:hAnsi="Arial"/>
                <w:sz w:val="14"/>
                <w:szCs w:val="14"/>
                <w:color w:val="auto"/>
              </w:rPr>
              <w:t>2024</w:t>
            </w: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61"/>
              <w:spacing w:after="0"/>
              <w:rPr>
                <w:sz w:val="20"/>
                <w:szCs w:val="20"/>
                <w:color w:val="auto"/>
              </w:rPr>
            </w:pPr>
            <w:r>
              <w:rPr>
                <w:rFonts w:ascii="Arial" w:cs="Arial" w:eastAsia="Arial" w:hAnsi="Arial"/>
                <w:sz w:val="14"/>
                <w:szCs w:val="14"/>
                <w:color w:val="auto"/>
              </w:rPr>
              <w:t>2024</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00"/>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Qualifying cash flow hedges:</w:t>
            </w:r>
          </w:p>
        </w:tc>
        <w:tc>
          <w:tcPr>
            <w:tcW w:w="2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Net investment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center"/>
              <w:ind w:left="580"/>
              <w:spacing w:after="0"/>
              <w:rPr>
                <w:sz w:val="20"/>
                <w:szCs w:val="20"/>
                <w:color w:val="auto"/>
              </w:rPr>
            </w:pPr>
            <w:r>
              <w:rPr>
                <w:rFonts w:ascii="Arial" w:cs="Arial" w:eastAsia="Arial" w:hAnsi="Arial"/>
                <w:sz w:val="16"/>
                <w:szCs w:val="16"/>
                <w:color w:val="auto"/>
                <w:w w:val="91"/>
              </w:rPr>
              <w:t>(7)</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Non-designated hedges: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6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Realized gains (losses) on</w:t>
            </w:r>
          </w:p>
        </w:tc>
        <w:tc>
          <w:tcPr>
            <w:tcW w:w="2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center"/>
              <w:ind w:left="580"/>
              <w:spacing w:after="0"/>
              <w:rPr>
                <w:sz w:val="20"/>
                <w:szCs w:val="20"/>
                <w:color w:val="auto"/>
              </w:rPr>
            </w:pPr>
            <w:r>
              <w:rPr>
                <w:rFonts w:ascii="Arial" w:cs="Arial" w:eastAsia="Arial" w:hAnsi="Arial"/>
                <w:sz w:val="16"/>
                <w:szCs w:val="16"/>
                <w:color w:val="auto"/>
                <w:w w:val="91"/>
              </w:rPr>
              <w:t>(4)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3860" w:type="dxa"/>
            <w:vAlign w:val="bottom"/>
            <w:vMerge w:val="continue"/>
            <w:shd w:val="clear" w:color="auto" w:fill="CCEEFF"/>
          </w:tcPr>
          <w:p>
            <w:pPr>
              <w:spacing w:after="0"/>
              <w:rPr>
                <w:sz w:val="18"/>
                <w:szCs w:val="18"/>
                <w:color w:val="auto"/>
              </w:rPr>
            </w:pPr>
          </w:p>
        </w:tc>
        <w:tc>
          <w:tcPr>
            <w:tcW w:w="2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securities</w:t>
            </w:r>
          </w:p>
        </w:tc>
        <w:tc>
          <w:tcPr>
            <w:tcW w:w="2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Net investment income</w:t>
            </w:r>
          </w:p>
        </w:tc>
        <w:tc>
          <w:tcPr>
            <w:tcW w:w="2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center"/>
              <w:ind w:left="600"/>
              <w:spacing w:after="0"/>
              <w:rPr>
                <w:sz w:val="20"/>
                <w:szCs w:val="20"/>
                <w:color w:val="auto"/>
              </w:rPr>
            </w:pPr>
            <w:r>
              <w:rPr>
                <w:rFonts w:ascii="Arial" w:cs="Arial" w:eastAsia="Arial" w:hAnsi="Arial"/>
                <w:sz w:val="16"/>
                <w:szCs w:val="16"/>
                <w:color w:val="auto"/>
                <w:w w:val="89"/>
              </w:rPr>
              <w:t>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return swap</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600"/>
              <w:spacing w:after="0"/>
              <w:rPr>
                <w:sz w:val="20"/>
                <w:szCs w:val="20"/>
                <w:color w:val="auto"/>
              </w:rPr>
            </w:pPr>
            <w:r>
              <w:rPr>
                <w:rFonts w:ascii="Arial" w:cs="Arial" w:eastAsia="Arial" w:hAnsi="Arial"/>
                <w:sz w:val="16"/>
                <w:szCs w:val="16"/>
                <w:color w:val="auto"/>
                <w:w w:val="89"/>
              </w:rPr>
              <w:t>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9"/>
        </w:trPr>
        <w:tc>
          <w:tcPr>
            <w:tcW w:w="386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Earnings (losses) on non-designated hedges</w:t>
            </w:r>
          </w:p>
        </w:tc>
        <w:tc>
          <w:tcPr>
            <w:tcW w:w="2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left="600"/>
              <w:spacing w:after="0"/>
              <w:rPr>
                <w:sz w:val="20"/>
                <w:szCs w:val="20"/>
                <w:color w:val="auto"/>
              </w:rPr>
            </w:pPr>
            <w:r>
              <w:rPr>
                <w:rFonts w:ascii="Arial" w:cs="Arial" w:eastAsia="Arial" w:hAnsi="Arial"/>
                <w:sz w:val="16"/>
                <w:szCs w:val="16"/>
                <w:color w:val="auto"/>
                <w:w w:val="89"/>
              </w:rPr>
              <w:t>6</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5"/>
        </w:trPr>
        <w:tc>
          <w:tcPr>
            <w:tcW w:w="38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earnings (losses) on derivatives</w:t>
            </w:r>
          </w:p>
        </w:tc>
        <w:tc>
          <w:tcPr>
            <w:tcW w:w="2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center"/>
              <w:ind w:left="580"/>
              <w:spacing w:after="0"/>
              <w:rPr>
                <w:sz w:val="20"/>
                <w:szCs w:val="20"/>
                <w:color w:val="auto"/>
              </w:rPr>
            </w:pPr>
            <w:r>
              <w:rPr>
                <w:rFonts w:ascii="Arial" w:cs="Arial" w:eastAsia="Arial" w:hAnsi="Arial"/>
                <w:sz w:val="16"/>
                <w:szCs w:val="16"/>
                <w:color w:val="auto"/>
                <w:w w:val="91"/>
              </w:rPr>
              <w:t>(1)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9"/>
          <w:szCs w:val="29"/>
          <w:b w:val="1"/>
          <w:bCs w:val="1"/>
          <w:color w:val="003366"/>
        </w:rPr>
      </w:pPr>
      <w:r>
        <w:rPr>
          <w:rFonts w:ascii="Arial" w:cs="Arial" w:eastAsia="Arial" w:hAnsi="Arial"/>
          <w:sz w:val="29"/>
          <w:szCs w:val="29"/>
          <w:b w:val="1"/>
          <w:bCs w:val="1"/>
          <w:color w:val="003366"/>
        </w:rPr>
        <w:t>Managed Investment Entities</w:t>
      </w:r>
    </w:p>
    <w:p>
      <w:pPr>
        <w:spacing w:after="0" w:line="27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AFG is the investment manager and it has investments ranging from 13.3% to 100% of the most subordinate debt tranche of fourteen active collateralized loan obligation entities (“CLOs”), which are considered variable interest entities. AFG also owns portions of the senior debt tranches of certain of these CLOs. Upon formation between 2012 and 2024, these entities issued securities in various senior and subordinate classes and invested the proceeds primarily in secured bank loans, which serve as collateral for the debt securities issued by each CLO. None of the collateral was purchased from AFG. AFG’s investments in the subordinate debt tranches of these entities receive residual income from the CLOs only after the CLOs pay expenses (including management fees to AFG) and interest on and returns of capital to senior levels of debt securities. There are no contractual requirements for AFG to provide additional funding for these entities. AFG has not provided and does not intend to provide any financial support to these entities.</w:t>
      </w:r>
    </w:p>
    <w:p>
      <w:pPr>
        <w:spacing w:after="0" w:line="208"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AFG’s maximum exposure to economic loss on the CLOs that it manages is limited to its investment in those CLOs, which had an aggregate fair value of $159 million (including $146 million invested in the most subordinate tranches) at June 30, 2024.</w:t>
      </w:r>
    </w:p>
    <w:p>
      <w:pPr>
        <w:spacing w:after="0" w:line="185"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In the first six months of 2024, AFG formed two new CLOs, which issued an aggregate $813 million face amount of liabilities (including $73 million face amount purchased by AFG). In March 2023, AFG formed one new CLO, which issued $407 million face amount of liabilities (including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$16 million face amount purchased by AFG).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a progression of the fair value of AFG's investment in CLO tranches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8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color w:val="auto"/>
              </w:rPr>
              <w:t>Three months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color w:val="auto"/>
              </w:rPr>
              <w:t>Six months ended June 30,</w:t>
            </w:r>
          </w:p>
        </w:tc>
      </w:tr>
      <w:tr>
        <w:trPr>
          <w:trHeight w:val="196"/>
        </w:trPr>
        <w:tc>
          <w:tcPr>
            <w:tcW w:w="51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2023</w:t>
            </w:r>
          </w:p>
        </w:tc>
      </w:tr>
      <w:tr>
        <w:trPr>
          <w:trHeight w:val="214"/>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Purchases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Change in accrued interest</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 (*)</w:t>
            </w:r>
          </w:p>
        </w:tc>
        <w:tc>
          <w:tcPr>
            <w:tcW w:w="1000" w:type="dxa"/>
            <w:vAlign w:val="bottom"/>
            <w:tcBorders>
              <w:top w:val="single" w:sz="8" w:color="auto"/>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20" w:right="20" w:hanging="412"/>
        <w:spacing w:after="0" w:line="284" w:lineRule="auto"/>
        <w:tabs>
          <w:tab w:leader="none" w:pos="411"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Excludes $19 million invested in a temporary warehousing entity at June 30, 2023 that was established to provide AFG the ability to form a new CLO.</w:t>
      </w:r>
    </w:p>
    <w:p>
      <w:pPr>
        <w:spacing w:after="0" w:line="19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revenues and expenses of the CLOs are separately identified in AFG’s Statement of Earnings, after the elimination of management fees and earnings attributable to AFG as measured by the change in the fair value of AFG’s investments in the CLOs. Selected financial information related to the CLOs is shown below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8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4"/>
                <w:szCs w:val="14"/>
                <w:color w:val="auto"/>
              </w:rPr>
              <w:t>Three months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color w:val="auto"/>
              </w:rPr>
              <w:t>Six months ended June 30,</w:t>
            </w:r>
          </w:p>
        </w:tc>
      </w:tr>
      <w:tr>
        <w:trPr>
          <w:trHeight w:val="196"/>
        </w:trPr>
        <w:tc>
          <w:tcPr>
            <w:tcW w:w="51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2023</w:t>
            </w:r>
          </w:p>
        </w:tc>
      </w:tr>
      <w:tr>
        <w:trPr>
          <w:trHeight w:val="20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(losses) on change in fair value of assets/liabilities (*):</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5180" w:type="dxa"/>
            <w:vAlign w:val="bottom"/>
          </w:tcPr>
          <w:p>
            <w:pPr>
              <w:ind w:left="240"/>
              <w:spacing w:after="0"/>
              <w:rPr>
                <w:sz w:val="20"/>
                <w:szCs w:val="20"/>
                <w:color w:val="auto"/>
              </w:rPr>
            </w:pPr>
            <w:r>
              <w:rPr>
                <w:rFonts w:ascii="Arial" w:cs="Arial" w:eastAsia="Arial" w:hAnsi="Arial"/>
                <w:sz w:val="16"/>
                <w:szCs w:val="16"/>
                <w:color w:val="auto"/>
              </w:rPr>
              <w:t>Assets</w:t>
            </w:r>
          </w:p>
        </w:tc>
        <w:tc>
          <w:tcPr>
            <w:tcW w:w="1000" w:type="dxa"/>
            <w:vAlign w:val="bottom"/>
          </w:tcPr>
          <w:p>
            <w:pPr>
              <w:jc w:val="right"/>
              <w:ind w:right="825"/>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66</w:t>
            </w:r>
          </w:p>
        </w:tc>
      </w:tr>
      <w:tr>
        <w:trPr>
          <w:trHeight w:val="217"/>
        </w:trPr>
        <w:tc>
          <w:tcPr>
            <w:tcW w:w="5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Liabilities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Management fees paid to AFG</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8</w:t>
            </w: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 earnings attributable to AFG</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r>
    </w:tbl>
    <w:p>
      <w:pPr>
        <w:spacing w:after="0" w:line="140"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Included in revenues in AFG’s Statement of Earnings.</w:t>
      </w:r>
    </w:p>
    <w:p>
      <w:pPr>
        <w:spacing w:after="0" w:line="250"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aggregate unpaid principal balance of the CLOs’ fixed maturity investments exceeded the fair value of the investments by $109 million at both June 30, 2024 and December 31, 2023. The aggregate unpaid principal balance of the CLOs’ debt exceeded its carrying value by $276 million and $253 million at those dates, respectively. The CLO assets include loans with an aggregate fair value of $8 million at June 30, 2024 and $7 million at December 31, 2023, for which the CLOs are not accruing interest because the loans are in default (aggregate unpaid principal balance of $16 million at June 30, 2024 and $13 million at December 31, 2023).</w:t>
      </w:r>
    </w:p>
    <w:p>
      <w:pPr>
        <w:spacing w:after="0" w:line="206"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In addition to the CLOs that it manages, AFG had investments in CLOs that are managed by third parties (therefore not consolidated), which are included in available for sale fixed maturity securities and had a fair value of $1.46 billion at June 30, 2024 and $1.69 billion at December 31, 2023.</w:t>
      </w:r>
    </w:p>
    <w:p>
      <w:pPr>
        <w:spacing w:after="0" w:line="173" w:lineRule="exact"/>
        <w:rPr>
          <w:sz w:val="20"/>
          <w:szCs w:val="20"/>
          <w:color w:val="auto"/>
        </w:rPr>
      </w:pPr>
    </w:p>
    <w:p>
      <w:pPr>
        <w:ind w:left="620" w:hanging="612"/>
        <w:spacing w:after="0"/>
        <w:tabs>
          <w:tab w:leader="none" w:pos="620" w:val="left"/>
        </w:tabs>
        <w:numPr>
          <w:ilvl w:val="0"/>
          <w:numId w:val="20"/>
        </w:numPr>
        <w:rPr>
          <w:rFonts w:ascii="Arial" w:cs="Arial" w:eastAsia="Arial" w:hAnsi="Arial"/>
          <w:sz w:val="29"/>
          <w:szCs w:val="29"/>
          <w:b w:val="1"/>
          <w:bCs w:val="1"/>
          <w:color w:val="003366"/>
        </w:rPr>
      </w:pPr>
      <w:r>
        <w:rPr>
          <w:rFonts w:ascii="Arial" w:cs="Arial" w:eastAsia="Arial" w:hAnsi="Arial"/>
          <w:sz w:val="29"/>
          <w:szCs w:val="29"/>
          <w:b w:val="1"/>
          <w:bCs w:val="1"/>
          <w:color w:val="003366"/>
        </w:rPr>
        <w:t>Goodwill and Other Intangibles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changes in the goodwill balance of $305 million during the first six months of 2024.</w:t>
      </w:r>
    </w:p>
    <w:p>
      <w:pPr>
        <w:spacing w:after="0" w:line="250"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Included in other assets in AFG’s Balance Sheet is $204 million at June 30, 2024 and $213 million at December 31, 2023 in amortizable intangible assets related to acquisitions. These amounts are net of accumulated amortization of $48 million and $39 million, respectively. Amortization of intangibles was $4 million and $3 million in the second quarters of 2024 and 2023 and $9 million and $6 million in the first six months of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397"/>
        </w:trPr>
        <w:tc>
          <w:tcPr>
            <w:tcW w:w="200" w:type="dxa"/>
            <w:vAlign w:val="bottom"/>
          </w:tcPr>
          <w:p>
            <w:pPr>
              <w:spacing w:after="0"/>
              <w:rPr>
                <w:sz w:val="20"/>
                <w:szCs w:val="20"/>
                <w:color w:val="auto"/>
              </w:rPr>
            </w:pPr>
            <w:r>
              <w:rPr>
                <w:rFonts w:ascii="Arial" w:cs="Arial" w:eastAsia="Arial" w:hAnsi="Arial"/>
                <w:sz w:val="29"/>
                <w:szCs w:val="29"/>
                <w:b w:val="1"/>
                <w:bCs w:val="1"/>
                <w:color w:val="003366"/>
              </w:rPr>
              <w:t>I.</w:t>
            </w:r>
          </w:p>
        </w:tc>
        <w:tc>
          <w:tcPr>
            <w:tcW w:w="5160" w:type="dxa"/>
            <w:vAlign w:val="bottom"/>
          </w:tcPr>
          <w:p>
            <w:pPr>
              <w:ind w:left="280"/>
              <w:spacing w:after="0"/>
              <w:rPr>
                <w:sz w:val="20"/>
                <w:szCs w:val="20"/>
                <w:color w:val="auto"/>
              </w:rPr>
            </w:pPr>
            <w:r>
              <w:rPr>
                <w:rFonts w:ascii="Arial" w:cs="Arial" w:eastAsia="Arial" w:hAnsi="Arial"/>
                <w:sz w:val="29"/>
                <w:szCs w:val="29"/>
                <w:b w:val="1"/>
                <w:bCs w:val="1"/>
                <w:color w:val="003366"/>
              </w:rPr>
              <w:t>Long-Term Debt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360" w:type="dxa"/>
            <w:vAlign w:val="bottom"/>
            <w:gridSpan w:val="2"/>
          </w:tcPr>
          <w:p>
            <w:pPr>
              <w:spacing w:after="0"/>
              <w:rPr>
                <w:sz w:val="20"/>
                <w:szCs w:val="20"/>
                <w:color w:val="auto"/>
              </w:rPr>
            </w:pPr>
            <w:r>
              <w:rPr>
                <w:rFonts w:ascii="Arial" w:cs="Arial" w:eastAsia="Arial" w:hAnsi="Arial"/>
                <w:sz w:val="17"/>
                <w:szCs w:val="17"/>
                <w:color w:val="auto"/>
              </w:rPr>
              <w:t>Long-term debt consisted of the following (in millions):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June 30, 2024</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color w:val="auto"/>
              </w:rPr>
              <w:t>December 31, 2023</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color w:val="auto"/>
              </w:rPr>
              <w:t>Principal</w:t>
            </w:r>
          </w:p>
        </w:tc>
        <w:tc>
          <w:tcPr>
            <w:tcW w:w="1040" w:type="dxa"/>
            <w:vAlign w:val="bottom"/>
            <w:gridSpan w:val="3"/>
          </w:tcPr>
          <w:p>
            <w:pPr>
              <w:jc w:val="center"/>
              <w:ind w:right="80"/>
              <w:spacing w:after="0" w:line="151" w:lineRule="exact"/>
              <w:rPr>
                <w:sz w:val="20"/>
                <w:szCs w:val="20"/>
                <w:color w:val="auto"/>
              </w:rPr>
            </w:pPr>
            <w:r>
              <w:rPr>
                <w:rFonts w:ascii="Arial" w:cs="Arial" w:eastAsia="Arial" w:hAnsi="Arial"/>
                <w:sz w:val="14"/>
                <w:szCs w:val="14"/>
                <w:color w:val="auto"/>
              </w:rPr>
              <w:t>Discount and</w:t>
            </w:r>
          </w:p>
        </w:tc>
        <w:tc>
          <w:tcPr>
            <w:tcW w:w="140" w:type="dxa"/>
            <w:vAlign w:val="bottom"/>
          </w:tcPr>
          <w:p>
            <w:pPr>
              <w:spacing w:after="0"/>
              <w:rPr>
                <w:sz w:val="13"/>
                <w:szCs w:val="13"/>
                <w:color w:val="auto"/>
              </w:rPr>
            </w:pPr>
          </w:p>
        </w:tc>
        <w:tc>
          <w:tcPr>
            <w:tcW w:w="840" w:type="dxa"/>
            <w:vAlign w:val="bottom"/>
            <w:gridSpan w:val="2"/>
          </w:tcPr>
          <w:p>
            <w:pPr>
              <w:jc w:val="center"/>
              <w:ind w:right="260"/>
              <w:spacing w:after="0" w:line="151" w:lineRule="exact"/>
              <w:rPr>
                <w:sz w:val="20"/>
                <w:szCs w:val="20"/>
                <w:color w:val="auto"/>
              </w:rPr>
            </w:pPr>
            <w:r>
              <w:rPr>
                <w:rFonts w:ascii="Arial" w:cs="Arial" w:eastAsia="Arial" w:hAnsi="Arial"/>
                <w:sz w:val="14"/>
                <w:szCs w:val="14"/>
                <w:color w:val="auto"/>
              </w:rPr>
              <w:t>Carrying</w:t>
            </w:r>
          </w:p>
        </w:tc>
        <w:tc>
          <w:tcPr>
            <w:tcW w:w="120" w:type="dxa"/>
            <w:vAlign w:val="bottom"/>
          </w:tcPr>
          <w:p>
            <w:pPr>
              <w:spacing w:after="0"/>
              <w:rPr>
                <w:sz w:val="13"/>
                <w:szCs w:val="13"/>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4"/>
                <w:szCs w:val="14"/>
                <w:color w:val="auto"/>
              </w:rPr>
              <w:t>Principal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100"/>
              <w:spacing w:after="0" w:line="151" w:lineRule="exact"/>
              <w:rPr>
                <w:sz w:val="20"/>
                <w:szCs w:val="20"/>
                <w:color w:val="auto"/>
              </w:rPr>
            </w:pPr>
            <w:r>
              <w:rPr>
                <w:rFonts w:ascii="Arial" w:cs="Arial" w:eastAsia="Arial" w:hAnsi="Arial"/>
                <w:sz w:val="14"/>
                <w:szCs w:val="14"/>
                <w:color w:val="auto"/>
              </w:rPr>
              <w:t>Discount and</w:t>
            </w:r>
          </w:p>
        </w:tc>
        <w:tc>
          <w:tcPr>
            <w:tcW w:w="140" w:type="dxa"/>
            <w:vAlign w:val="bottom"/>
          </w:tcPr>
          <w:p>
            <w:pPr>
              <w:spacing w:after="0"/>
              <w:rPr>
                <w:sz w:val="13"/>
                <w:szCs w:val="13"/>
                <w:color w:val="auto"/>
              </w:rPr>
            </w:pPr>
          </w:p>
        </w:tc>
        <w:tc>
          <w:tcPr>
            <w:tcW w:w="740" w:type="dxa"/>
            <w:vAlign w:val="bottom"/>
          </w:tcPr>
          <w:p>
            <w:pPr>
              <w:jc w:val="right"/>
              <w:ind w:right="81"/>
              <w:spacing w:after="0" w:line="151"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85"/>
        </w:trPr>
        <w:tc>
          <w:tcPr>
            <w:tcW w:w="20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color w:val="auto"/>
              </w:rPr>
              <w:t>Issue Costs</w:t>
            </w:r>
          </w:p>
        </w:tc>
        <w:tc>
          <w:tcPr>
            <w:tcW w:w="1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color w:val="auto"/>
              </w:rPr>
              <w:t>Value</w:t>
            </w: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rPr>
              <w:t>Issue Costs</w:t>
            </w:r>
          </w:p>
        </w:tc>
        <w:tc>
          <w:tcPr>
            <w:tcW w:w="140" w:type="dxa"/>
            <w:vAlign w:val="bottom"/>
          </w:tcPr>
          <w:p>
            <w:pPr>
              <w:spacing w:after="0"/>
              <w:rPr>
                <w:sz w:val="16"/>
                <w:szCs w:val="16"/>
                <w:color w:val="auto"/>
              </w:rPr>
            </w:pPr>
          </w:p>
        </w:tc>
        <w:tc>
          <w:tcPr>
            <w:tcW w:w="740" w:type="dxa"/>
            <w:vAlign w:val="bottom"/>
          </w:tcPr>
          <w:p>
            <w:pPr>
              <w:jc w:val="right"/>
              <w:ind w:right="181"/>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Direct Senior Obligations of AFG:</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4.50% Senior Notes due June 2047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567</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17"/>
        </w:trPr>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5.25% Senior Notes due April 2030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20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197"/>
        </w:trPr>
        <w:tc>
          <w:tcPr>
            <w:tcW w:w="20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Direct Subordinated Obligations of AFG: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4.50% Subordinated Debentures due September 2060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7"/>
        </w:trPr>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5.125% Subordinated Debentures due December 2059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5.625% Subordinated Debentures due June 2060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5.875% Subordinated Debentures due March 2059</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9"/>
        </w:trPr>
        <w:tc>
          <w:tcPr>
            <w:tcW w:w="200" w:type="dxa"/>
            <w:vAlign w:val="bottom"/>
            <w:tcBorders>
              <w:bottom w:val="single" w:sz="8" w:color="CCEEFF"/>
            </w:tcBorders>
          </w:tcPr>
          <w:p>
            <w:pPr>
              <w:spacing w:after="0"/>
              <w:rPr>
                <w:sz w:val="18"/>
                <w:szCs w:val="18"/>
                <w:color w:val="auto"/>
              </w:rPr>
            </w:pPr>
          </w:p>
        </w:tc>
        <w:tc>
          <w:tcPr>
            <w:tcW w:w="5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34"/>
        </w:trPr>
        <w:tc>
          <w:tcPr>
            <w:tcW w:w="20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1,475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Scheduled principal payments on debt for the balance of 2024, the subsequent five years and thereafter are as follows: 2024 — none; 2025 — none; 2026 — none; 2027 — none; 2028 — none; 2029 — none and thereafter — $1.50 billion.</w:t>
      </w:r>
    </w:p>
    <w:p>
      <w:pPr>
        <w:spacing w:after="0" w:line="185" w:lineRule="exact"/>
        <w:rPr>
          <w:sz w:val="20"/>
          <w:szCs w:val="20"/>
          <w:color w:val="auto"/>
        </w:rPr>
      </w:pPr>
    </w:p>
    <w:p>
      <w:pPr>
        <w:ind w:right="620"/>
        <w:spacing w:after="0" w:line="301" w:lineRule="auto"/>
        <w:rPr>
          <w:sz w:val="20"/>
          <w:szCs w:val="20"/>
          <w:color w:val="auto"/>
        </w:rPr>
      </w:pPr>
      <w:r>
        <w:rPr>
          <w:rFonts w:ascii="Arial" w:cs="Arial" w:eastAsia="Arial" w:hAnsi="Arial"/>
          <w:sz w:val="17"/>
          <w:szCs w:val="17"/>
          <w:color w:val="auto"/>
        </w:rPr>
        <w:t>In the first six months of 2023, AFG repurchased $15 million principal amount of its 4.50% Senior Notes due in June 2047 for $13 million and $8 million principal amount of its 5.25% Senior Notes due in April 2030 for $8 million in open market transactions.</w:t>
      </w:r>
    </w:p>
    <w:p>
      <w:pPr>
        <w:spacing w:after="0" w:line="171"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AFG can borrow up to $450 million under its revolving credit facility, which expires in June 2028. Amounts borrowed under this agreement bear interest, based on AFG’s credit rating, at rates ranging from 1.00% to 1.75% (currently 1.25%) over a SOFR-based floating rate. No amounts were borrowed under this facility at June 30, 2024 or December 31, 2023.</w:t>
      </w:r>
    </w:p>
    <w:p>
      <w:pPr>
        <w:spacing w:after="0" w:line="189" w:lineRule="exact"/>
        <w:rPr>
          <w:sz w:val="20"/>
          <w:szCs w:val="20"/>
          <w:color w:val="auto"/>
        </w:rPr>
      </w:pPr>
    </w:p>
    <w:p>
      <w:pPr>
        <w:ind w:left="560" w:hanging="552"/>
        <w:spacing w:after="0"/>
        <w:tabs>
          <w:tab w:leader="none" w:pos="560" w:val="left"/>
        </w:tabs>
        <w:numPr>
          <w:ilvl w:val="0"/>
          <w:numId w:val="21"/>
        </w:numPr>
        <w:rPr>
          <w:rFonts w:ascii="Arial" w:cs="Arial" w:eastAsia="Arial" w:hAnsi="Arial"/>
          <w:sz w:val="29"/>
          <w:szCs w:val="29"/>
          <w:b w:val="1"/>
          <w:bCs w:val="1"/>
          <w:color w:val="003366"/>
        </w:rPr>
      </w:pPr>
      <w:r>
        <w:rPr>
          <w:rFonts w:ascii="Arial" w:cs="Arial" w:eastAsia="Arial" w:hAnsi="Arial"/>
          <w:sz w:val="29"/>
          <w:szCs w:val="29"/>
          <w:b w:val="1"/>
          <w:bCs w:val="1"/>
          <w:color w:val="003366"/>
        </w:rPr>
        <w:t>Shareholders’ Equity</w:t>
      </w:r>
    </w:p>
    <w:p>
      <w:pPr>
        <w:spacing w:after="0" w:line="272"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AFG is authorized to issue 12.5 million shares of Voting Preferred Stock and 12.5 million shares of Nonvoting Preferred Stock, each without par value.</w:t>
      </w:r>
    </w:p>
    <w:p>
      <w:pPr>
        <w:spacing w:after="0" w:line="184" w:lineRule="exact"/>
        <w:rPr>
          <w:sz w:val="20"/>
          <w:szCs w:val="20"/>
          <w:color w:val="auto"/>
        </w:rPr>
      </w:pPr>
    </w:p>
    <w:p>
      <w:pPr>
        <w:ind w:right="300"/>
        <w:spacing w:after="0" w:line="249" w:lineRule="auto"/>
        <w:rPr>
          <w:sz w:val="20"/>
          <w:szCs w:val="20"/>
          <w:color w:val="auto"/>
        </w:rPr>
      </w:pPr>
      <w:r>
        <w:rPr>
          <w:rFonts w:ascii="Arial" w:cs="Arial" w:eastAsia="Arial" w:hAnsi="Arial"/>
          <w:sz w:val="20"/>
          <w:szCs w:val="20"/>
          <w:b w:val="1"/>
          <w:bCs w:val="1"/>
          <w:color w:val="003366"/>
        </w:rPr>
        <w:t xml:space="preserve">Accumulated Other Comprehensive Income (Loss), Net of Tax (“AOCI”) </w:t>
      </w:r>
      <w:r>
        <w:rPr>
          <w:rFonts w:ascii="Arial" w:cs="Arial" w:eastAsia="Arial" w:hAnsi="Arial"/>
          <w:sz w:val="17"/>
          <w:szCs w:val="17"/>
          <w:color w:val="000000"/>
        </w:rPr>
        <w:t>Comprehensive income is defined as all changes in</w:t>
      </w:r>
      <w:r>
        <w:rPr>
          <w:rFonts w:ascii="Arial" w:cs="Arial" w:eastAsia="Arial" w:hAnsi="Arial"/>
          <w:sz w:val="20"/>
          <w:szCs w:val="20"/>
          <w:b w:val="1"/>
          <w:bCs w:val="1"/>
          <w:color w:val="003366"/>
        </w:rPr>
        <w:t xml:space="preserve"> </w:t>
      </w:r>
      <w:r>
        <w:rPr>
          <w:rFonts w:ascii="Arial" w:cs="Arial" w:eastAsia="Arial" w:hAnsi="Arial"/>
          <w:sz w:val="17"/>
          <w:szCs w:val="17"/>
          <w:color w:val="000000"/>
        </w:rPr>
        <w:t>shareholders’ equity except those arising from transactions with shareholders. Comprehensive income includes net earnings and other comprehensive income (loss), which consists primarily of changes in net unrealized gains or losses on available for sale fixed maturity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progression of the components of accumulated other comprehensive income (loss) follows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gridSpan w:val="8"/>
          </w:tcPr>
          <w:p>
            <w:pPr>
              <w:jc w:val="center"/>
              <w:ind w:right="280"/>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39" w:lineRule="exact"/>
              <w:rPr>
                <w:sz w:val="20"/>
                <w:szCs w:val="20"/>
                <w:color w:val="auto"/>
              </w:rPr>
            </w:pPr>
            <w:r>
              <w:rPr>
                <w:rFonts w:ascii="Arial" w:cs="Arial" w:eastAsia="Arial" w:hAnsi="Arial"/>
                <w:sz w:val="14"/>
                <w:szCs w:val="14"/>
                <w:color w:val="auto"/>
                <w:w w:val="99"/>
              </w:rPr>
              <w:t>AOCI</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AOCI Ending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Beginning</w:t>
            </w:r>
          </w:p>
        </w:tc>
        <w:tc>
          <w:tcPr>
            <w:tcW w:w="20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2"/>
                <w:szCs w:val="12"/>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color w:val="auto"/>
              </w:rPr>
              <w:t>Net of tax</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64"/>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8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Quarter ended June 30, 2024</w:t>
            </w: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auto"/>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582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(315)</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Quarter ended June 30, 2023</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(464)</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820" w:type="dxa"/>
            <w:vAlign w:val="bottom"/>
            <w:tcBorders>
              <w:top w:val="single" w:sz="8" w:color="CCEEFF"/>
              <w:bottom w:val="single" w:sz="8" w:color="CCEEFF"/>
            </w:tcBorders>
            <w:gridSpan w:val="2"/>
            <w:shd w:val="clear" w:color="auto" w:fill="CCEEFF"/>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gridSpan w:val="8"/>
          </w:tcPr>
          <w:p>
            <w:pPr>
              <w:jc w:val="center"/>
              <w:ind w:right="280"/>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39" w:lineRule="exact"/>
              <w:rPr>
                <w:sz w:val="20"/>
                <w:szCs w:val="20"/>
                <w:color w:val="auto"/>
              </w:rPr>
            </w:pPr>
            <w:r>
              <w:rPr>
                <w:rFonts w:ascii="Arial" w:cs="Arial" w:eastAsia="Arial" w:hAnsi="Arial"/>
                <w:sz w:val="14"/>
                <w:szCs w:val="14"/>
                <w:color w:val="auto"/>
                <w:w w:val="99"/>
              </w:rPr>
              <w:t>AOCI</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AOCI Ending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rPr>
              <w:t>Beginning</w:t>
            </w:r>
          </w:p>
        </w:tc>
        <w:tc>
          <w:tcPr>
            <w:tcW w:w="20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2"/>
                <w:szCs w:val="12"/>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color w:val="auto"/>
              </w:rPr>
              <w:t>Net of tax</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64"/>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8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Six months ended June 30, 2024</w:t>
            </w: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auto"/>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Six months ended June 30, 2023</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6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(464)</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820" w:type="dxa"/>
            <w:vAlign w:val="bottom"/>
            <w:tcBorders>
              <w:top w:val="single" w:sz="8" w:color="CCEEFF"/>
              <w:bottom w:val="single" w:sz="8" w:color="CCEEFF"/>
            </w:tcBorders>
            <w:gridSpan w:val="2"/>
            <w:shd w:val="clear" w:color="auto" w:fill="CCEEFF"/>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reclassification adjustments affected the following lines in AFG’s Statement of Earnings:</w:t>
      </w:r>
    </w:p>
    <w:p>
      <w:pPr>
        <w:sectPr>
          <w:pgSz w:w="11900" w:h="16838" w:orient="portrait"/>
          <w:cols w:equalWidth="0" w:num="1">
            <w:col w:w="11240"/>
          </w:cols>
          <w:pgMar w:left="320" w:top="115" w:right="339" w:bottom="1440" w:gutter="0" w:footer="0" w:header="0"/>
        </w:sectPr>
      </w:pPr>
    </w:p>
    <w:p>
      <w:pPr>
        <w:spacing w:after="0" w:line="5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OCI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21590</wp:posOffset>
            </wp:positionV>
            <wp:extent cx="30257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4" w:lineRule="exact"/>
        <w:rPr>
          <w:sz w:val="20"/>
          <w:szCs w:val="20"/>
          <w:color w:val="auto"/>
        </w:rPr>
      </w:pPr>
    </w:p>
    <w:p>
      <w:pPr>
        <w:ind w:left="520" w:right="160"/>
        <w:spacing w:after="0" w:line="321" w:lineRule="auto"/>
        <w:rPr>
          <w:sz w:val="20"/>
          <w:szCs w:val="20"/>
          <w:color w:val="auto"/>
        </w:rPr>
      </w:pPr>
      <w:r>
        <w:rPr>
          <w:rFonts w:ascii="Arial" w:cs="Arial" w:eastAsia="Arial" w:hAnsi="Arial"/>
          <w:sz w:val="15"/>
          <w:szCs w:val="15"/>
          <w:color w:val="auto"/>
        </w:rPr>
        <w:t>Pretax - Net unrealized gains (losses) on securities Pretax - Net unrealized gains (losses) on cash flow hedges Tax</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Affected line in the statement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32658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Realized gains (losses) on securities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Net investment income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Provision for income taxes</w:t>
      </w:r>
    </w:p>
    <w:p>
      <w:pPr>
        <w:spacing w:after="0" w:line="200" w:lineRule="exact"/>
        <w:rPr>
          <w:sz w:val="20"/>
          <w:szCs w:val="20"/>
          <w:color w:val="auto"/>
        </w:rPr>
      </w:pPr>
    </w:p>
    <w:p>
      <w:pPr>
        <w:sectPr>
          <w:pgSz w:w="11900" w:h="16838" w:orient="portrait"/>
          <w:cols w:equalWidth="0" w:num="2">
            <w:col w:w="4660" w:space="720"/>
            <w:col w:w="5860"/>
          </w:cols>
          <w:pgMar w:left="320" w:top="115" w:right="339" w:bottom="1440" w:gutter="0" w:footer="0" w:header="0"/>
          <w:type w:val="continuous"/>
        </w:sectPr>
      </w:pPr>
    </w:p>
    <w:p>
      <w:pPr>
        <w:spacing w:after="0" w:line="175"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b w:val="1"/>
          <w:bCs w:val="1"/>
          <w:color w:val="003366"/>
        </w:rPr>
        <w:t xml:space="preserve">Stock Incentive Plans </w:t>
      </w:r>
      <w:r>
        <w:rPr>
          <w:rFonts w:ascii="Arial" w:cs="Arial" w:eastAsia="Arial" w:hAnsi="Arial"/>
          <w:sz w:val="17"/>
          <w:szCs w:val="17"/>
          <w:color w:val="000000"/>
        </w:rPr>
        <w:t>Under AFG’s stock incentive plans, employees of AFG and its subsidiaries are eligible to receive equity awards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form of stock options, stock appreciation rights, restricted stock awards, restricted stock units and stock awards. In the first six months of 2024, AFG issued 157,681 shares of restricted Common Stock (fair value of $126.24 per share) under the stock incentive plans.</w:t>
      </w:r>
    </w:p>
    <w:p>
      <w:pPr>
        <w:spacing w:after="0" w:line="212" w:lineRule="exact"/>
        <w:rPr>
          <w:sz w:val="20"/>
          <w:szCs w:val="20"/>
          <w:color w:val="auto"/>
        </w:rPr>
      </w:pPr>
    </w:p>
    <w:p>
      <w:pPr>
        <w:ind w:right="100"/>
        <w:spacing w:after="0" w:line="301" w:lineRule="auto"/>
        <w:rPr>
          <w:sz w:val="20"/>
          <w:szCs w:val="20"/>
          <w:color w:val="auto"/>
        </w:rPr>
      </w:pPr>
      <w:r>
        <w:rPr>
          <w:rFonts w:ascii="Arial" w:cs="Arial" w:eastAsia="Arial" w:hAnsi="Arial"/>
          <w:sz w:val="17"/>
          <w:szCs w:val="17"/>
          <w:color w:val="auto"/>
        </w:rPr>
        <w:t>Total compensation expense related to stock incentive plans of AFG and its subsidiaries was $5 million and $4 million in the second quarter of 2024 and 2023, respectively, and $9 million in both the first six months of 2024 and 2023.</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20" w:hanging="612"/>
        <w:spacing w:after="0"/>
        <w:tabs>
          <w:tab w:leader="none" w:pos="620" w:val="left"/>
        </w:tabs>
        <w:numPr>
          <w:ilvl w:val="0"/>
          <w:numId w:val="23"/>
        </w:numPr>
        <w:rPr>
          <w:rFonts w:ascii="Arial" w:cs="Arial" w:eastAsia="Arial" w:hAnsi="Arial"/>
          <w:sz w:val="29"/>
          <w:szCs w:val="29"/>
          <w:b w:val="1"/>
          <w:bCs w:val="1"/>
          <w:color w:val="003366"/>
        </w:rPr>
      </w:pPr>
      <w:r>
        <w:rPr>
          <w:rFonts w:ascii="Arial" w:cs="Arial" w:eastAsia="Arial" w:hAnsi="Arial"/>
          <w:sz w:val="29"/>
          <w:szCs w:val="29"/>
          <w:b w:val="1"/>
          <w:bCs w:val="1"/>
          <w:color w:val="003366"/>
        </w:rPr>
        <w:t>Income Taxes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income taxes at the statutory rate of 21% to the provision for income taxes as shown in AFG’s Statement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Earnings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100" w:type="dxa"/>
            <w:vAlign w:val="bottom"/>
            <w:gridSpan w:val="9"/>
          </w:tcPr>
          <w:p>
            <w:pPr>
              <w:ind w:left="80"/>
              <w:spacing w:after="0"/>
              <w:rPr>
                <w:sz w:val="20"/>
                <w:szCs w:val="20"/>
                <w:color w:val="auto"/>
              </w:rPr>
            </w:pPr>
            <w:r>
              <w:rPr>
                <w:rFonts w:ascii="Arial" w:cs="Arial" w:eastAsia="Arial" w:hAnsi="Arial"/>
                <w:sz w:val="15"/>
                <w:szCs w:val="15"/>
                <w:color w:val="auto"/>
              </w:rPr>
              <w:t>Three months ended June 30,</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5"/>
          </w:tcPr>
          <w:p>
            <w:pPr>
              <w:ind w:left="120"/>
              <w:spacing w:after="0"/>
              <w:rPr>
                <w:sz w:val="20"/>
                <w:szCs w:val="20"/>
                <w:color w:val="auto"/>
              </w:rPr>
            </w:pPr>
            <w:r>
              <w:rPr>
                <w:rFonts w:ascii="Arial" w:cs="Arial" w:eastAsia="Arial" w:hAnsi="Arial"/>
                <w:sz w:val="15"/>
                <w:szCs w:val="15"/>
                <w:color w:val="auto"/>
              </w:rPr>
              <w:t>Six months ended June 30,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gridSpan w:val="3"/>
          </w:tcPr>
          <w:p>
            <w:pPr>
              <w:jc w:val="right"/>
              <w:ind w:right="660"/>
              <w:spacing w:after="0"/>
              <w:rPr>
                <w:sz w:val="20"/>
                <w:szCs w:val="20"/>
                <w:color w:val="auto"/>
              </w:rPr>
            </w:pPr>
            <w:r>
              <w:rPr>
                <w:rFonts w:ascii="Arial" w:cs="Arial" w:eastAsia="Arial" w:hAnsi="Arial"/>
                <w:sz w:val="15"/>
                <w:szCs w:val="15"/>
                <w:color w:val="auto"/>
              </w:rPr>
              <w:t>2024</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3"/>
          </w:tcPr>
          <w:p>
            <w:pPr>
              <w:jc w:val="right"/>
              <w:ind w:right="680"/>
              <w:spacing w:after="0"/>
              <w:rPr>
                <w:sz w:val="20"/>
                <w:szCs w:val="20"/>
                <w:color w:val="auto"/>
              </w:rPr>
            </w:pPr>
            <w:r>
              <w:rPr>
                <w:rFonts w:ascii="Arial" w:cs="Arial" w:eastAsia="Arial" w:hAnsi="Arial"/>
                <w:sz w:val="15"/>
                <w:szCs w:val="15"/>
                <w:color w:val="auto"/>
                <w:w w:val="95"/>
              </w:rPr>
              <w:t>2023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800" w:type="dxa"/>
            <w:vAlign w:val="bottom"/>
            <w:tcBorders>
              <w:top w:val="single" w:sz="8" w:color="auto"/>
              <w:bottom w:val="single" w:sz="8" w:color="auto"/>
            </w:tcBorders>
            <w:gridSpan w:val="3"/>
          </w:tcPr>
          <w:p>
            <w:pPr>
              <w:jc w:val="right"/>
              <w:ind w:right="720"/>
              <w:spacing w:after="0"/>
              <w:rPr>
                <w:sz w:val="20"/>
                <w:szCs w:val="20"/>
                <w:color w:val="auto"/>
              </w:rPr>
            </w:pPr>
            <w:r>
              <w:rPr>
                <w:rFonts w:ascii="Arial" w:cs="Arial" w:eastAsia="Arial" w:hAnsi="Arial"/>
                <w:sz w:val="15"/>
                <w:szCs w:val="15"/>
                <w:color w:val="auto"/>
              </w:rPr>
              <w:t>2024</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gridSpan w:val="3"/>
          </w:tcPr>
          <w:p>
            <w:pPr>
              <w:jc w:val="right"/>
              <w:ind w:right="719"/>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Arial" w:cs="Arial" w:eastAsia="Arial" w:hAnsi="Arial"/>
                <w:sz w:val="15"/>
                <w:szCs w:val="15"/>
                <w:color w:val="auto"/>
              </w:rPr>
              <w:t>Amount</w:t>
            </w:r>
          </w:p>
        </w:tc>
        <w:tc>
          <w:tcPr>
            <w:tcW w:w="100" w:type="dxa"/>
            <w:vAlign w:val="bottom"/>
          </w:tcPr>
          <w:p>
            <w:pPr>
              <w:spacing w:after="0"/>
              <w:rPr>
                <w:sz w:val="17"/>
                <w:szCs w:val="17"/>
                <w:color w:val="auto"/>
              </w:rPr>
            </w:pPr>
          </w:p>
        </w:tc>
        <w:tc>
          <w:tcPr>
            <w:tcW w:w="940" w:type="dxa"/>
            <w:vAlign w:val="bottom"/>
          </w:tcPr>
          <w:p>
            <w:pPr>
              <w:jc w:val="right"/>
              <w:ind w:right="80"/>
              <w:spacing w:after="0"/>
              <w:rPr>
                <w:sz w:val="20"/>
                <w:szCs w:val="20"/>
                <w:color w:val="auto"/>
              </w:rPr>
            </w:pPr>
            <w:r>
              <w:rPr>
                <w:rFonts w:ascii="Arial" w:cs="Arial" w:eastAsia="Arial" w:hAnsi="Arial"/>
                <w:sz w:val="15"/>
                <w:szCs w:val="15"/>
                <w:color w:val="auto"/>
              </w:rPr>
              <w:t>% of EBT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5"/>
                <w:szCs w:val="15"/>
                <w:color w:val="auto"/>
                <w:w w:val="96"/>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100"/>
              <w:spacing w:after="0"/>
              <w:rPr>
                <w:sz w:val="20"/>
                <w:szCs w:val="20"/>
                <w:color w:val="auto"/>
              </w:rPr>
            </w:pPr>
            <w:r>
              <w:rPr>
                <w:rFonts w:ascii="Arial" w:cs="Arial" w:eastAsia="Arial" w:hAnsi="Arial"/>
                <w:sz w:val="15"/>
                <w:szCs w:val="15"/>
                <w:color w:val="auto"/>
              </w:rPr>
              <w:t>% of EBT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Arial" w:cs="Arial" w:eastAsia="Arial" w:hAnsi="Arial"/>
                <w:sz w:val="15"/>
                <w:szCs w:val="15"/>
                <w:color w:val="auto"/>
              </w:rPr>
              <w:t>Amount</w:t>
            </w:r>
          </w:p>
        </w:tc>
        <w:tc>
          <w:tcPr>
            <w:tcW w:w="1000" w:type="dxa"/>
            <w:vAlign w:val="bottom"/>
          </w:tcPr>
          <w:p>
            <w:pPr>
              <w:jc w:val="right"/>
              <w:ind w:right="100"/>
              <w:spacing w:after="0"/>
              <w:rPr>
                <w:sz w:val="20"/>
                <w:szCs w:val="20"/>
                <w:color w:val="auto"/>
              </w:rPr>
            </w:pPr>
            <w:r>
              <w:rPr>
                <w:rFonts w:ascii="Arial" w:cs="Arial" w:eastAsia="Arial" w:hAnsi="Arial"/>
                <w:sz w:val="15"/>
                <w:szCs w:val="15"/>
                <w:color w:val="auto"/>
              </w:rPr>
              <w:t>% of EBT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5"/>
                <w:szCs w:val="15"/>
                <w:color w:val="auto"/>
              </w:rPr>
              <w:t>Amount</w:t>
            </w:r>
          </w:p>
        </w:tc>
        <w:tc>
          <w:tcPr>
            <w:tcW w:w="1020" w:type="dxa"/>
            <w:vAlign w:val="bottom"/>
          </w:tcPr>
          <w:p>
            <w:pPr>
              <w:jc w:val="right"/>
              <w:ind w:right="99"/>
              <w:spacing w:after="0"/>
              <w:rPr>
                <w:sz w:val="20"/>
                <w:szCs w:val="20"/>
                <w:color w:val="auto"/>
              </w:rPr>
            </w:pPr>
            <w:r>
              <w:rPr>
                <w:rFonts w:ascii="Arial" w:cs="Arial" w:eastAsia="Arial" w:hAnsi="Arial"/>
                <w:sz w:val="15"/>
                <w:szCs w:val="15"/>
                <w:color w:val="auto"/>
              </w:rPr>
              <w:t>% of EBT</w:t>
            </w:r>
          </w:p>
        </w:tc>
        <w:tc>
          <w:tcPr>
            <w:tcW w:w="0" w:type="dxa"/>
            <w:vAlign w:val="bottom"/>
          </w:tcPr>
          <w:p>
            <w:pPr>
              <w:spacing w:after="0"/>
              <w:rPr>
                <w:sz w:val="1"/>
                <w:szCs w:val="1"/>
                <w:color w:val="auto"/>
              </w:rPr>
            </w:pPr>
          </w:p>
        </w:tc>
      </w:tr>
      <w:tr>
        <w:trPr>
          <w:trHeight w:val="236"/>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before income taxes (“EBT”)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at statutory rate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5"/>
        </w:trPr>
        <w:tc>
          <w:tcPr>
            <w:tcW w:w="3400" w:type="dxa"/>
            <w:vAlign w:val="bottom"/>
          </w:tcPr>
          <w:p>
            <w:pPr>
              <w:ind w:left="20"/>
              <w:spacing w:after="0"/>
              <w:rPr>
                <w:sz w:val="20"/>
                <w:szCs w:val="20"/>
                <w:color w:val="auto"/>
              </w:rPr>
            </w:pPr>
            <w:r>
              <w:rPr>
                <w:rFonts w:ascii="Arial" w:cs="Arial" w:eastAsia="Arial" w:hAnsi="Arial"/>
                <w:sz w:val="16"/>
                <w:szCs w:val="16"/>
                <w:color w:val="auto"/>
              </w:rPr>
              <w:t>Effect of:</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Employee stock ownership plan dividend</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paid deduction</w:t>
            </w: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0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exempt interest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3400" w:type="dxa"/>
            <w:vAlign w:val="bottom"/>
          </w:tcPr>
          <w:p>
            <w:pPr>
              <w:ind w:left="220"/>
              <w:spacing w:after="0"/>
              <w:rPr>
                <w:sz w:val="20"/>
                <w:szCs w:val="20"/>
                <w:color w:val="auto"/>
              </w:rPr>
            </w:pPr>
            <w:r>
              <w:rPr>
                <w:rFonts w:ascii="Arial" w:cs="Arial" w:eastAsia="Arial" w:hAnsi="Arial"/>
                <w:sz w:val="16"/>
                <w:szCs w:val="16"/>
                <w:color w:val="auto"/>
              </w:rPr>
              <w:t>Dividends received deduction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Nondeductible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5"/>
        </w:trPr>
        <w:tc>
          <w:tcPr>
            <w:tcW w:w="3400" w:type="dxa"/>
            <w:vAlign w:val="bottom"/>
          </w:tcPr>
          <w:p>
            <w:pPr>
              <w:ind w:left="220"/>
              <w:spacing w:after="0"/>
              <w:rPr>
                <w:sz w:val="20"/>
                <w:szCs w:val="20"/>
                <w:color w:val="auto"/>
              </w:rPr>
            </w:pPr>
            <w:r>
              <w:rPr>
                <w:rFonts w:ascii="Arial" w:cs="Arial" w:eastAsia="Arial" w:hAnsi="Arial"/>
                <w:sz w:val="16"/>
                <w:szCs w:val="16"/>
                <w:color w:val="auto"/>
              </w:rPr>
              <w:t>Adjustment related to sale of subsidiary</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operations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5"/>
        </w:trPr>
        <w:tc>
          <w:tcPr>
            <w:tcW w:w="3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143"/>
        </w:trPr>
        <w:tc>
          <w:tcPr>
            <w:tcW w:w="34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Provision for income taxes as shown in the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1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statement of earnings</w:t>
            </w: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In the second quarter of 2024, AFG recorded $4 million in net tax expense related to a pending IRS settlement regarding the sale of a subsidiary in a prior year.</w:t>
      </w:r>
    </w:p>
    <w:p>
      <w:pPr>
        <w:spacing w:after="0" w:line="199"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On January 1, 2023, the two major tax provisions in the Inflation Reduction Act (“IRA”) became effective. The IRA created a new corporate alternative minimum tax (“CAMT”) based on the earnings that a company reports in its financial statements and imposes a 1% excise tax on corporate stock repurchases. Any CAMT incurred would be available to offset taxes payable under the standard calculation in future periods. Accordingly, the CAMT is a timing difference and would result in the recording of an offsetting deferred tax asset with no impact on overall income tax expense. Based on current guidance, while AFG meets the financial statement income thresholds to be subject to CAMT, management does not believe AFG will incur a CAMT liability for 2024. The excise tax on stock repurchases in excess of any issuances is recorded as part of the cost of the repurchases directly in shareholders’ equity.</w:t>
      </w:r>
    </w:p>
    <w:p>
      <w:pPr>
        <w:spacing w:after="0" w:line="209"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The Organisation for Economic Co-operation and Development, an intergovernmental organization with 38 member countries, has proposed a global minimum corporate tax rate of 15% (“Pillar Two”). Due to AFG’s limited international operations and the tax rate AFG is subject to in those jurisdictions, management does not believe Pillar Two will have a material impact on AFG’s results of operations.</w:t>
      </w:r>
    </w:p>
    <w:p>
      <w:pPr>
        <w:spacing w:after="0" w:line="202"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29"/>
          <w:szCs w:val="29"/>
          <w:b w:val="1"/>
          <w:bCs w:val="1"/>
          <w:color w:val="003366"/>
        </w:rPr>
      </w:pPr>
      <w:r>
        <w:rPr>
          <w:rFonts w:ascii="Arial" w:cs="Arial" w:eastAsia="Arial" w:hAnsi="Arial"/>
          <w:sz w:val="29"/>
          <w:szCs w:val="29"/>
          <w:b w:val="1"/>
          <w:bCs w:val="1"/>
          <w:color w:val="003366"/>
        </w:rPr>
        <w:t>Contingencies</w:t>
      </w:r>
    </w:p>
    <w:p>
      <w:pPr>
        <w:spacing w:after="0" w:line="259"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 xml:space="preserve">There have been no significant changes to the matters discussed and referred to in </w:t>
      </w:r>
      <w:r>
        <w:rPr>
          <w:rFonts w:ascii="Arial" w:cs="Arial" w:eastAsia="Arial" w:hAnsi="Arial"/>
          <w:sz w:val="17"/>
          <w:szCs w:val="17"/>
          <w:i w:val="1"/>
          <w:iCs w:val="1"/>
          <w:color w:val="auto"/>
        </w:rPr>
        <w:t>Note N — “Contingencies”</w:t>
      </w:r>
      <w:r>
        <w:rPr>
          <w:rFonts w:ascii="Arial" w:cs="Arial" w:eastAsia="Arial" w:hAnsi="Arial"/>
          <w:sz w:val="17"/>
          <w:szCs w:val="17"/>
          <w:color w:val="auto"/>
        </w:rPr>
        <w:t xml:space="preserve"> of AFG’s 2023 Form 10-K, which covers property and casualty insurance reserves for claims related to environmental exposures, asbestos and other mass tort claims and environmental and occupational injury and disease claims of subsidiaries’ former railroad and manufacturing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29"/>
          <w:szCs w:val="29"/>
          <w:b w:val="1"/>
          <w:bCs w:val="1"/>
          <w:color w:val="003366"/>
        </w:rPr>
      </w:pPr>
      <w:r>
        <w:rPr>
          <w:rFonts w:ascii="Arial" w:cs="Arial" w:eastAsia="Arial" w:hAnsi="Arial"/>
          <w:sz w:val="29"/>
          <w:szCs w:val="29"/>
          <w:b w:val="1"/>
          <w:bCs w:val="1"/>
          <w:color w:val="003366"/>
        </w:rPr>
        <w:t>Insurance</w:t>
      </w:r>
    </w:p>
    <w:p>
      <w:pPr>
        <w:spacing w:after="0" w:line="271" w:lineRule="exact"/>
        <w:rPr>
          <w:sz w:val="20"/>
          <w:szCs w:val="20"/>
          <w:color w:val="auto"/>
        </w:rPr>
      </w:pPr>
    </w:p>
    <w:p>
      <w:pPr>
        <w:ind w:right="760"/>
        <w:spacing w:after="0" w:line="237" w:lineRule="auto"/>
        <w:rPr>
          <w:sz w:val="20"/>
          <w:szCs w:val="20"/>
          <w:color w:val="auto"/>
        </w:rPr>
      </w:pPr>
      <w:r>
        <w:rPr>
          <w:rFonts w:ascii="Arial" w:cs="Arial" w:eastAsia="Arial" w:hAnsi="Arial"/>
          <w:sz w:val="20"/>
          <w:szCs w:val="20"/>
          <w:b w:val="1"/>
          <w:bCs w:val="1"/>
          <w:color w:val="003366"/>
        </w:rPr>
        <w:t xml:space="preserve">Property and Casualty Insurance Reserves </w:t>
      </w:r>
      <w:r>
        <w:rPr>
          <w:rFonts w:ascii="Arial" w:cs="Arial" w:eastAsia="Arial" w:hAnsi="Arial"/>
          <w:sz w:val="17"/>
          <w:szCs w:val="17"/>
          <w:color w:val="000000"/>
        </w:rPr>
        <w:t>The following table provides an analysis of changes in the liability for losses and loss</w:t>
      </w:r>
      <w:r>
        <w:rPr>
          <w:rFonts w:ascii="Arial" w:cs="Arial" w:eastAsia="Arial" w:hAnsi="Arial"/>
          <w:sz w:val="20"/>
          <w:szCs w:val="20"/>
          <w:b w:val="1"/>
          <w:bCs w:val="1"/>
          <w:color w:val="003366"/>
        </w:rPr>
        <w:t xml:space="preserve"> </w:t>
      </w:r>
      <w:r>
        <w:rPr>
          <w:rFonts w:ascii="Arial" w:cs="Arial" w:eastAsia="Arial" w:hAnsi="Arial"/>
          <w:sz w:val="17"/>
          <w:szCs w:val="17"/>
          <w:color w:val="000000"/>
        </w:rPr>
        <w:t>adjustment expenses during the first six months of 2024 and 2023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Six months ended June 30,</w:t>
            </w:r>
          </w:p>
        </w:tc>
        <w:tc>
          <w:tcPr>
            <w:tcW w:w="580" w:type="dxa"/>
            <w:vAlign w:val="bottom"/>
            <w:tcBorders>
              <w:bottom w:val="single" w:sz="8" w:color="auto"/>
            </w:tcBorders>
          </w:tcPr>
          <w:p>
            <w:pPr>
              <w:spacing w:after="0"/>
              <w:rPr>
                <w:sz w:val="17"/>
                <w:szCs w:val="17"/>
                <w:color w:val="auto"/>
              </w:rPr>
            </w:pPr>
          </w:p>
        </w:tc>
      </w:tr>
      <w:tr>
        <w:trPr>
          <w:trHeight w:val="198"/>
        </w:trPr>
        <w:tc>
          <w:tcPr>
            <w:tcW w:w="8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2023</w:t>
            </w:r>
          </w:p>
        </w:tc>
        <w:tc>
          <w:tcPr>
            <w:tcW w:w="580" w:type="dxa"/>
            <w:vAlign w:val="bottom"/>
            <w:tcBorders>
              <w:bottom w:val="single" w:sz="8" w:color="auto"/>
            </w:tcBorders>
          </w:tcPr>
          <w:p>
            <w:pPr>
              <w:spacing w:after="0"/>
              <w:rPr>
                <w:sz w:val="17"/>
                <w:szCs w:val="17"/>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13,087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11,974</w:t>
            </w:r>
          </w:p>
        </w:tc>
      </w:tr>
      <w:tr>
        <w:trPr>
          <w:trHeight w:val="215"/>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reinsurance recoverables, net of allowance</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4,288</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w:t>
            </w: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liability at beginning of year</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8,207</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Provision for losses and LAE occurring in the current period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1,934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1,850</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the provision for claims of prior years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09"/>
        </w:trPr>
        <w:tc>
          <w:tcPr>
            <w:tcW w:w="8120" w:type="dxa"/>
            <w:vAlign w:val="bottom"/>
          </w:tcPr>
          <w:p>
            <w:pPr>
              <w:ind w:left="480"/>
              <w:spacing w:after="0"/>
              <w:rPr>
                <w:sz w:val="20"/>
                <w:szCs w:val="20"/>
                <w:color w:val="auto"/>
              </w:rPr>
            </w:pPr>
            <w:r>
              <w:rPr>
                <w:rFonts w:ascii="Arial" w:cs="Arial" w:eastAsia="Arial" w:hAnsi="Arial"/>
                <w:sz w:val="16"/>
                <w:szCs w:val="16"/>
                <w:color w:val="auto"/>
              </w:rPr>
              <w:t>Total losses and LAE incurred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1,849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1,725</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losses and LAE of:</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5"/>
        </w:trPr>
        <w:tc>
          <w:tcPr>
            <w:tcW w:w="8120" w:type="dxa"/>
            <w:vAlign w:val="bottom"/>
          </w:tcPr>
          <w:p>
            <w:pPr>
              <w:ind w:left="220"/>
              <w:spacing w:after="0"/>
              <w:rPr>
                <w:sz w:val="20"/>
                <w:szCs w:val="20"/>
                <w:color w:val="auto"/>
              </w:rPr>
            </w:pPr>
            <w:r>
              <w:rPr>
                <w:rFonts w:ascii="Arial" w:cs="Arial" w:eastAsia="Arial" w:hAnsi="Arial"/>
                <w:sz w:val="16"/>
                <w:szCs w:val="16"/>
                <w:color w:val="auto"/>
              </w:rPr>
              <w:t>Current year</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217"/>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years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(1,533)</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w:t>
            </w:r>
          </w:p>
        </w:tc>
      </w:tr>
      <w:tr>
        <w:trPr>
          <w:trHeight w:val="209"/>
        </w:trPr>
        <w:tc>
          <w:tcPr>
            <w:tcW w:w="8120" w:type="dxa"/>
            <w:vAlign w:val="bottom"/>
          </w:tcPr>
          <w:p>
            <w:pPr>
              <w:ind w:left="480"/>
              <w:spacing w:after="0"/>
              <w:rPr>
                <w:sz w:val="20"/>
                <w:szCs w:val="20"/>
                <w:color w:val="auto"/>
              </w:rPr>
            </w:pPr>
            <w:r>
              <w:rPr>
                <w:rFonts w:ascii="Arial" w:cs="Arial" w:eastAsia="Arial" w:hAnsi="Arial"/>
                <w:sz w:val="16"/>
                <w:szCs w:val="16"/>
                <w:color w:val="auto"/>
              </w:rPr>
              <w:t>Total payments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(1,958)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(1,683)</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and other</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120" w:type="dxa"/>
            <w:vAlign w:val="bottom"/>
          </w:tcPr>
          <w:p>
            <w:pPr>
              <w:ind w:left="20"/>
              <w:spacing w:after="0"/>
              <w:rPr>
                <w:sz w:val="20"/>
                <w:szCs w:val="20"/>
                <w:color w:val="auto"/>
              </w:rPr>
            </w:pPr>
            <w:r>
              <w:rPr>
                <w:rFonts w:ascii="Arial" w:cs="Arial" w:eastAsia="Arial" w:hAnsi="Arial"/>
                <w:sz w:val="16"/>
                <w:szCs w:val="16"/>
                <w:color w:val="auto"/>
              </w:rPr>
              <w:t>Net liability at end of period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8,689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8,249</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 reinsurance recoverables, net of allowance</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3,918</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3,676</w:t>
            </w:r>
          </w:p>
        </w:tc>
      </w:tr>
      <w:tr>
        <w:trPr>
          <w:trHeight w:val="210"/>
        </w:trPr>
        <w:tc>
          <w:tcPr>
            <w:tcW w:w="8120" w:type="dxa"/>
            <w:vAlign w:val="bottom"/>
          </w:tcPr>
          <w:p>
            <w:pPr>
              <w:ind w:left="20"/>
              <w:spacing w:after="0"/>
              <w:rPr>
                <w:sz w:val="20"/>
                <w:szCs w:val="20"/>
                <w:color w:val="auto"/>
              </w:rPr>
            </w:pPr>
            <w:r>
              <w:rPr>
                <w:rFonts w:ascii="Arial" w:cs="Arial" w:eastAsia="Arial" w:hAnsi="Arial"/>
                <w:sz w:val="16"/>
                <w:szCs w:val="16"/>
                <w:color w:val="auto"/>
              </w:rPr>
              <w:t>Gross unpaid losses and LAE included in the balance sheet at end of period</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12,607</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11,925</w:t>
            </w:r>
          </w:p>
        </w:tc>
      </w:tr>
      <w:tr>
        <w:trPr>
          <w:trHeight w:val="21"/>
        </w:trPr>
        <w:tc>
          <w:tcPr>
            <w:tcW w:w="8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color w:val="auto"/>
        </w:rPr>
        <w:t>The net decrease in the provision for claims of prior years during the first six months of 2024 reflects (i) lower than anticipated losses in the crop business and lower than expected claim severity in the property and inland marine business (within the Property and transportation sub-segment),</w:t>
      </w:r>
    </w:p>
    <w:p>
      <w:pPr>
        <w:spacing w:after="0" w:line="1" w:lineRule="exact"/>
        <w:rPr>
          <w:sz w:val="20"/>
          <w:szCs w:val="20"/>
          <w:color w:val="auto"/>
        </w:rPr>
      </w:pPr>
    </w:p>
    <w:p>
      <w:pPr>
        <w:ind w:right="140" w:firstLine="8"/>
        <w:spacing w:after="0" w:line="254" w:lineRule="auto"/>
        <w:tabs>
          <w:tab w:leader="none" w:pos="237" w:val="left"/>
        </w:tabs>
        <w:numPr>
          <w:ilvl w:val="0"/>
          <w:numId w:val="26"/>
        </w:numPr>
        <w:rPr>
          <w:rFonts w:ascii="Arial" w:cs="Arial" w:eastAsia="Arial" w:hAnsi="Arial"/>
          <w:sz w:val="17"/>
          <w:szCs w:val="17"/>
          <w:color w:val="auto"/>
        </w:rPr>
      </w:pPr>
      <w:r>
        <w:rPr>
          <w:rFonts w:ascii="Arial" w:cs="Arial" w:eastAsia="Arial" w:hAnsi="Arial"/>
          <w:sz w:val="17"/>
          <w:szCs w:val="17"/>
          <w:color w:val="auto"/>
        </w:rPr>
        <w:t>lower than anticipated claim severity in the workers’ compensation businesses and lower than expected claim frequency in the executive liability business (within the Specialty casualty sub-segment) and (iii) lower than anticipated claim frequency in the fidelity and trade credit businesses and lower than expected claim frequency and severity in the financial institutions business (within the Specialty financial sub-segment). This favorable development was partially offset by (i) higher than anticipated claim severity in the excess liability business and higher than expected claim frequency and severity in the social services business (within the Specialty casualty sub-segment), (ii) higher than anticipated claim severity in the innovative markets and surety businesses (within the Specialty financial sub-segment) and (iii) net adverse development associated with AFG’s internal reinsurance program (within Other specialty).</w:t>
      </w:r>
    </w:p>
    <w:p>
      <w:pPr>
        <w:spacing w:after="0" w:line="210"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The net decrease in the provision for claims of prior years during the first six months of 2023 reflects (i) lower than anticipated losses in the crop business, lower than expected claim frequency and severity in the trucking business and lower than anticipated claim frequency in the property and inland marine business (within the Property and transportation sub-segment), (ii) lower than anticipated claim severity in the workers’ compensation businesses, lower than expected claim frequency in the executive liability and environmental businesses and favorable reserve development related to COVID-19 losses across several businesses (within the Specialty casualty sub-segment) and (iii) lower than anticipated claim frequency in the trade credit and financial institutions businesses and lower than expected claim frequency and severity in the surety business (within the Specialty financial sub-segment). This favorable development was partially offset by higher than anticipated claim severity in the public sector and excess liability businesses (within the Specialty casualty sub-segment).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b w:val="1"/>
          <w:bCs w:val="1"/>
          <w:color w:val="003366"/>
        </w:rPr>
        <w:t xml:space="preserve">Recoverables from Reinsurers and Premiums Receivable </w:t>
      </w:r>
      <w:r>
        <w:rPr>
          <w:rFonts w:ascii="Arial" w:cs="Arial" w:eastAsia="Arial" w:hAnsi="Arial"/>
          <w:sz w:val="17"/>
          <w:szCs w:val="17"/>
          <w:color w:val="000000"/>
        </w:rPr>
        <w:t>Progressions of the 2024 and 2023 allowance for expected credit losses on</w:t>
      </w:r>
      <w:r>
        <w:rPr>
          <w:rFonts w:ascii="Arial" w:cs="Arial" w:eastAsia="Arial" w:hAnsi="Arial"/>
          <w:sz w:val="20"/>
          <w:szCs w:val="20"/>
          <w:b w:val="1"/>
          <w:bCs w:val="1"/>
          <w:color w:val="003366"/>
        </w:rPr>
        <w:t xml:space="preserve"> </w:t>
      </w:r>
      <w:r>
        <w:rPr>
          <w:rFonts w:ascii="Arial" w:cs="Arial" w:eastAsia="Arial" w:hAnsi="Arial"/>
          <w:sz w:val="17"/>
          <w:szCs w:val="17"/>
          <w:color w:val="000000"/>
        </w:rPr>
        <w:t>recoverables from reinsurers and premiums receivable are shown below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60" w:type="dxa"/>
            <w:vAlign w:val="bottom"/>
          </w:tcPr>
          <w:p>
            <w:pPr>
              <w:spacing w:after="0"/>
              <w:rPr>
                <w:sz w:val="15"/>
                <w:szCs w:val="15"/>
                <w:color w:val="auto"/>
              </w:rPr>
            </w:pPr>
          </w:p>
        </w:tc>
        <w:tc>
          <w:tcPr>
            <w:tcW w:w="24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color w:val="auto"/>
              </w:rPr>
              <w:t>Recoverables from Reinsurers</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3"/>
                <w:szCs w:val="13"/>
                <w:color w:val="auto"/>
              </w:rPr>
              <w:t>Premiums Receivable</w:t>
            </w:r>
          </w:p>
        </w:tc>
      </w:tr>
      <w:tr>
        <w:trPr>
          <w:trHeight w:val="201"/>
        </w:trPr>
        <w:tc>
          <w:tcPr>
            <w:tcW w:w="56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2024</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color w:val="auto"/>
              </w:rPr>
              <w:t>2023</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color w:val="auto"/>
              </w:rPr>
              <w:t>2023</w:t>
            </w: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Provision (credit) for expected credit losses</w:t>
            </w: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charged against the allowance</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660" w:type="dxa"/>
            <w:vAlign w:val="bottom"/>
          </w:tcPr>
          <w:p>
            <w:pPr>
              <w:ind w:left="20"/>
              <w:spacing w:after="0"/>
              <w:rPr>
                <w:sz w:val="20"/>
                <w:szCs w:val="20"/>
                <w:color w:val="auto"/>
              </w:rPr>
            </w:pPr>
            <w:r>
              <w:rPr>
                <w:rFonts w:ascii="Arial" w:cs="Arial" w:eastAsia="Arial" w:hAnsi="Arial"/>
                <w:sz w:val="16"/>
                <w:szCs w:val="16"/>
                <w:color w:val="auto"/>
              </w:rPr>
              <w:t>Balance at June 30</w:t>
            </w:r>
          </w:p>
        </w:tc>
        <w:tc>
          <w:tcPr>
            <w:tcW w:w="96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Balance at December 31</w:t>
            </w: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98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(credit) for expected credit losses</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Write-offs charged against the allowance</w:t>
            </w: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w:t>
            </w:r>
          </w:p>
        </w:tc>
        <w:tc>
          <w:tcPr>
            <w:tcW w:w="960" w:type="dxa"/>
            <w:vAlign w:val="bottom"/>
            <w:tcBorders>
              <w:top w:val="single" w:sz="8" w:color="auto"/>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940"/>
        <w:spacing w:after="0" w:line="297" w:lineRule="auto"/>
        <w:rPr>
          <w:sz w:val="20"/>
          <w:szCs w:val="20"/>
          <w:color w:val="auto"/>
        </w:rPr>
      </w:pPr>
      <w:r>
        <w:rPr>
          <w:rFonts w:ascii="Arial" w:cs="Arial" w:eastAsia="Arial" w:hAnsi="Arial"/>
          <w:sz w:val="36"/>
          <w:szCs w:val="36"/>
          <w:b w:val="1"/>
          <w:bCs w:val="1"/>
          <w:color w:val="003366"/>
        </w:rPr>
        <w:t>ITEM 2. Management’s Discussion and Analysis of Financial Condition and Results of Operations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366"/>
        </w:rPr>
        <w:t>INDEX TO MD&amp;A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w w:val="99"/>
              </w:rPr>
              <w:t>Page</w:t>
            </w:r>
          </w:p>
        </w:tc>
        <w:tc>
          <w:tcPr>
            <w:tcW w:w="52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4"/>
              </w:rPr>
              <w:t>Page</w:t>
            </w:r>
          </w:p>
        </w:tc>
      </w:tr>
      <w:tr>
        <w:trPr>
          <w:trHeight w:val="23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Forward-Looking Statements</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0000FF"/>
              </w:rPr>
              <w:t>33</w:t>
            </w:r>
          </w:p>
        </w:tc>
        <w:tc>
          <w:tcPr>
            <w:tcW w:w="60" w:type="dxa"/>
            <w:vAlign w:val="bottom"/>
          </w:tcPr>
          <w:p>
            <w:pPr>
              <w:spacing w:after="0"/>
              <w:rPr>
                <w:sz w:val="20"/>
                <w:szCs w:val="20"/>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Results of Operations</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0000FF"/>
              </w:rPr>
              <w:t>43</w:t>
            </w:r>
          </w:p>
        </w:tc>
        <w:tc>
          <w:tcPr>
            <w:tcW w:w="20" w:type="dxa"/>
            <w:vAlign w:val="bottom"/>
          </w:tcPr>
          <w:p>
            <w:pPr>
              <w:spacing w:after="0"/>
              <w:rPr>
                <w:sz w:val="20"/>
                <w:szCs w:val="20"/>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Overview</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34</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General</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43</w:t>
            </w:r>
          </w:p>
        </w:tc>
        <w:tc>
          <w:tcPr>
            <w:tcW w:w="2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Critical Accounting Policies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34</w:t>
            </w:r>
          </w:p>
        </w:tc>
        <w:tc>
          <w:tcPr>
            <w:tcW w:w="6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Results of Operations — Second Quarter</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44</w:t>
            </w:r>
          </w:p>
        </w:tc>
        <w:tc>
          <w:tcPr>
            <w:tcW w:w="2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Liquidity and Capital Resources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35</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Segmented Statement of Earnings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44</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Ratios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35</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Property and Casualty Insurance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45</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Condensed Consolidated Cash Flows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35</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Holding Company, Other and Unallocated</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54</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Parent and Subsidiary Liquidity</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36</w:t>
            </w:r>
          </w:p>
        </w:tc>
        <w:tc>
          <w:tcPr>
            <w:tcW w:w="6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Results of Operations — First Six Months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56</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Investments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37</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Segmented Statement of Earnings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57</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Uncertainties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39</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Property and Casualty Insurance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58</w:t>
            </w:r>
          </w:p>
        </w:tc>
        <w:tc>
          <w:tcPr>
            <w:tcW w:w="2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Managed Investment Entities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40</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Holding Company, Other and Unallocated</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67</w:t>
            </w:r>
          </w:p>
        </w:tc>
        <w:tc>
          <w:tcPr>
            <w:tcW w:w="20" w:type="dxa"/>
            <w:vAlign w:val="bottom"/>
          </w:tcPr>
          <w:p>
            <w:pPr>
              <w:spacing w:after="0"/>
              <w:rPr>
                <w:sz w:val="18"/>
                <w:szCs w:val="18"/>
                <w:color w:val="auto"/>
              </w:rPr>
            </w:pPr>
          </w:p>
        </w:tc>
      </w:tr>
      <w:tr>
        <w:trPr>
          <w:trHeight w:val="223"/>
        </w:trPr>
        <w:tc>
          <w:tcPr>
            <w:tcW w:w="5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Recent Accounting Standards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69</w:t>
            </w:r>
          </w:p>
        </w:tc>
        <w:tc>
          <w:tcPr>
            <w:tcW w:w="20" w:type="dxa"/>
            <w:vAlign w:val="bottom"/>
          </w:tcPr>
          <w:p>
            <w:pPr>
              <w:spacing w:after="0"/>
              <w:rPr>
                <w:sz w:val="19"/>
                <w:szCs w:val="19"/>
                <w:color w:val="auto"/>
              </w:rPr>
            </w:pPr>
          </w:p>
        </w:tc>
      </w:tr>
      <w:tr>
        <w:trPr>
          <w:trHeight w:val="88"/>
        </w:trPr>
        <w:tc>
          <w:tcPr>
            <w:tcW w:w="5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FORWARD-LOOKING STATEMENTS</w:t>
      </w:r>
    </w:p>
    <w:p>
      <w:pPr>
        <w:spacing w:after="0" w:line="10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Some of the forward-looking statements can be identified by the use of words such as “anticipates”, “believes”, “expects”, “projects”, “estimates”, “intends”, “plans”, “seeks”, “could”, “may”, “should”, “will” or the negative version of those words or other comparable terminology. Such forward-looking statements include statements relating to: expectations concerning market and other conditions and their effect on future premiums, revenues, earnings, investment activities and the amount and timing of share repurchases and special dividends; recoverability of asset values; expected losses and the adequacy of reserves for asbestos, environmental pollution and mass tort claims; rate changes; and improved loss experience.</w:t>
      </w:r>
    </w:p>
    <w:p>
      <w:pPr>
        <w:spacing w:after="0" w:line="206"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 xml:space="preserve">Actual results and/or financial condition could differ materially from those contained in or implied by such forward-looking statements for a variety of reasons including but not limited to the following and the risks and uncertainties AFG describes in the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section of its most recent Annual Report on Form 10-K, as updated by its other reports filed with the Securities and Exchange Commission.</w:t>
      </w:r>
    </w:p>
    <w:p>
      <w:pPr>
        <w:spacing w:after="0" w:line="2" w:lineRule="exact"/>
        <w:rPr>
          <w:sz w:val="20"/>
          <w:szCs w:val="20"/>
          <w:color w:val="auto"/>
        </w:rPr>
      </w:pPr>
    </w:p>
    <w:p>
      <w:pPr>
        <w:ind w:left="580" w:right="180" w:hanging="329"/>
        <w:spacing w:after="0" w:line="248"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financial, political and economic conditions, including changes in interest and inflation rates, currency fluctuations and extended economic recessions or expansions in the U.S. and/or abroad;</w:t>
      </w:r>
    </w:p>
    <w:p>
      <w:pPr>
        <w:spacing w:after="0" w:line="1"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performance of securities markets;</w:t>
      </w:r>
    </w:p>
    <w:p>
      <w:pPr>
        <w:spacing w:after="0" w:line="13" w:lineRule="exact"/>
        <w:rPr>
          <w:rFonts w:ascii="Arial" w:cs="Arial" w:eastAsia="Arial" w:hAnsi="Arial"/>
          <w:sz w:val="17"/>
          <w:szCs w:val="17"/>
          <w:color w:val="auto"/>
        </w:rPr>
      </w:pPr>
    </w:p>
    <w:p>
      <w:pPr>
        <w:ind w:left="580" w:right="800" w:hanging="329"/>
        <w:spacing w:after="0" w:line="253"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new legislation or declines in credit quality or credit ratings that could have a material impact on the valuation of securities in AFG’s investment portfolio;</w:t>
      </w: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availability of capital;</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insurance law or regulation, including changes in statutory accounting rules, including modifications to capital requirements;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the legal environment affecting AFG or its customers;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tax law and accounting changes;</w:t>
      </w:r>
    </w:p>
    <w:p>
      <w:pPr>
        <w:spacing w:after="0" w:line="13" w:lineRule="exact"/>
        <w:rPr>
          <w:rFonts w:ascii="Arial" w:cs="Arial" w:eastAsia="Arial" w:hAnsi="Arial"/>
          <w:sz w:val="17"/>
          <w:szCs w:val="17"/>
          <w:color w:val="auto"/>
        </w:rPr>
      </w:pPr>
    </w:p>
    <w:p>
      <w:pPr>
        <w:ind w:left="580" w:right="500" w:hanging="329"/>
        <w:spacing w:after="0" w:line="253"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levels of natural catastrophes and severe weather, terrorist activities (including any nuclear, biological, chemical or radiological events), incidents of war or losses resulting from pandemics, civil unrest and other major losses;</w:t>
      </w:r>
    </w:p>
    <w:p>
      <w:pPr>
        <w:ind w:left="580" w:right="340" w:hanging="329"/>
        <w:spacing w:after="0" w:line="248"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disruption caused by cyber-attacks or other technology breaches or failures by AFG or its business partners and service providers, which could negatively impact AFG’s business and/or expose AFG to litigation;</w:t>
      </w:r>
    </w:p>
    <w:p>
      <w:pPr>
        <w:spacing w:after="0" w:line="1" w:lineRule="exact"/>
        <w:rPr>
          <w:rFonts w:ascii="Arial" w:cs="Arial" w:eastAsia="Arial" w:hAnsi="Arial"/>
          <w:sz w:val="17"/>
          <w:szCs w:val="17"/>
          <w:color w:val="auto"/>
        </w:rPr>
      </w:pPr>
    </w:p>
    <w:p>
      <w:pPr>
        <w:ind w:left="580" w:right="180" w:hanging="329"/>
        <w:spacing w:after="0" w:line="256"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development of insurance loss reserves and establishment of other reserves, particularly with respect to amounts associated with asbestos and environmental claims;</w:t>
      </w:r>
    </w:p>
    <w:p>
      <w:pPr>
        <w:spacing w:after="0" w:line="1"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availability of reinsurance and ability of reinsurers to pay their obligations;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competitive pressures;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to obtain adequate rates and policy terms;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AFG’s credit ratings or the financial strength ratings assigned by major ratings agencies to AFG’s operating subsidiaries;</w:t>
      </w:r>
    </w:p>
    <w:p>
      <w:pPr>
        <w:spacing w:after="0" w:line="13"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impact of the conditions in the international financial markets and the global economy relating to AFG’s international operations; and</w:t>
      </w:r>
    </w:p>
    <w:p>
      <w:pPr>
        <w:spacing w:after="0" w:line="14"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effects on AFG’s reputation, including as a result of environmental, social and governance matters.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The forward-looking statements herein are made only as of the date of this report. The Company assumes no obligation to publicly update any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OBJECTIVE</w:t>
      </w:r>
    </w:p>
    <w:p>
      <w:pPr>
        <w:spacing w:after="0" w:line="45"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The objective of Management’s Discussion and Analysis is to provide a discussion and analysis of the financial statements and other statistical data that management believes will enhance the understanding of AFG’s financial condition, changes in financial condition and results of operations. The tables and narrative that follow are presented in a manner that is consistent with the information that AFG’s management uses to make operational decisions and allocate capital resources. They are provided to demonstrate the nature of the transactions and events that could impact AFG’s financial results. This discussion should be read in conjunction with the financial statements beginning on page 2.</w:t>
      </w:r>
    </w:p>
    <w:p>
      <w:pPr>
        <w:spacing w:after="0" w:line="118"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OVERVIEW</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Financial Condition</w:t>
      </w:r>
    </w:p>
    <w:p>
      <w:pPr>
        <w:spacing w:after="0" w:line="28"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AFG is organized as a holding company with almost all of its operations being conducted by subsidiaries. AFG, however, has continuing cash needs for administrative expenses, the payment of principal and interest on borrowings, shareholder dividends, and taxes. Therefore, certain analyses are most meaningfully presented on a parent only basis while others are best done on a total enterprise basis. In addition, because its businesses are financial in nature, AFG does not prepare its consolidated financial statements using a current-noncurrent format. Consequently, certain traditional ratios and financial analysis tests are not meaningful.</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Results of Operations</w:t>
      </w:r>
    </w:p>
    <w:p>
      <w:pPr>
        <w:spacing w:after="0" w:line="28" w:lineRule="exact"/>
        <w:rPr>
          <w:sz w:val="20"/>
          <w:szCs w:val="20"/>
          <w:color w:val="auto"/>
        </w:rPr>
      </w:pPr>
    </w:p>
    <w:p>
      <w:pPr>
        <w:ind w:right="620"/>
        <w:spacing w:after="0" w:line="264" w:lineRule="auto"/>
        <w:rPr>
          <w:sz w:val="20"/>
          <w:szCs w:val="20"/>
          <w:color w:val="auto"/>
        </w:rPr>
      </w:pPr>
      <w:r>
        <w:rPr>
          <w:rFonts w:ascii="Arial" w:cs="Arial" w:eastAsia="Arial" w:hAnsi="Arial"/>
          <w:sz w:val="17"/>
          <w:szCs w:val="17"/>
          <w:color w:val="auto"/>
        </w:rPr>
        <w:t>Through the operations of its subsidiaries, AFG is engaged primarily in property and casualty insurance, focusing on specialized commercial products for businesses.</w:t>
      </w:r>
    </w:p>
    <w:p>
      <w:pPr>
        <w:spacing w:after="0" w:line="215"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AFG reported net earnings of $209 million ($2.49 per share, diluted) for the second quarter of 2024 compared to $200 million ($2.34 per share, diluted) for the second quarter of 2023 reflecting higher underwriting profit.</w:t>
      </w:r>
    </w:p>
    <w:p>
      <w:pPr>
        <w:spacing w:after="0" w:line="185"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AFG reported net earnings of $451 million ($5.38 per share, diluted) for the first six months of 2024 compared to $412 million ($4.83 per share, diluted) for the first six months of 2023. The year-over-year increase was due primarily to higher underwriting profit and the impact of higher yields on fixed maturity investments coupled with net realized gains on securities in the first six months of 2024 compared to net realized losses on securities in the first six months of 2023. These items were partially offset by lower returns on AFG’s alternative investment portfolio.</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Outlook</w:t>
      </w:r>
    </w:p>
    <w:p>
      <w:pPr>
        <w:spacing w:after="0" w:line="2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AFG’s financial condition, results of operations and cash flows are impacted by the economic, legal and regulatory environment. Economic inflation, social inflation, supply chain disruption, labor shortages and other economic conditions may impact premium levels, loss cost trends and investment returns. Management believes that AFG’s strong financial position and current liquidity and capital at its subsidiaries will give AFG the flexibility to continue to effectively address and respond to the ongoing uncertainties presented by the macro-economic environment and the conflicts in Ukraine and Israel. AFG’s insurance subsidiaries continue to have capital at or in excess of the levels required by ratings agencies in order to maintain their current ratings, and the parent company does not have any near-term debt maturities.</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Management expects continued premium growth and strong underwriting results in the ongoing generally favorable property and casualty insurance market. In addition, management anticipates the deployment of cash during the elevated interest rate environment (since early 2022) will continue to have a positive impact on investment income on fixed maturity investments into 2025.</w:t>
      </w:r>
    </w:p>
    <w:p>
      <w:pPr>
        <w:spacing w:after="0" w:line="183"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CRITICAL ACCOUNTING POLICIES</w:t>
      </w:r>
    </w:p>
    <w:p>
      <w:pPr>
        <w:spacing w:after="0" w:line="259"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 xml:space="preserve">Significant accounting policies are summarized in </w:t>
      </w:r>
      <w:r>
        <w:rPr>
          <w:rFonts w:ascii="Arial" w:cs="Arial" w:eastAsia="Arial" w:hAnsi="Arial"/>
          <w:sz w:val="17"/>
          <w:szCs w:val="17"/>
          <w:i w:val="1"/>
          <w:iCs w:val="1"/>
          <w:color w:val="auto"/>
        </w:rPr>
        <w:t>Note A — “Accounting Policies”</w:t>
      </w:r>
      <w:r>
        <w:rPr>
          <w:rFonts w:ascii="Arial" w:cs="Arial" w:eastAsia="Arial" w:hAnsi="Arial"/>
          <w:sz w:val="17"/>
          <w:szCs w:val="17"/>
          <w:color w:val="auto"/>
        </w:rPr>
        <w:t xml:space="preserve"> to the financial statements. The preparation of financial statements in conformity with GAAP requires management to make estimates and assumptions that can have a significant effect on amounts reported in the financial statements. As more information becomes known, these estimates and assumptions change and, thus, impact amounts reported in the future. The areas where</w:t>
      </w: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management believes the degree of judgment required to determine amounts recorded in the financial statements is most significant are as follows:</w:t>
      </w:r>
    </w:p>
    <w:p>
      <w:pPr>
        <w:spacing w:after="0" w:line="23" w:lineRule="exact"/>
        <w:rPr>
          <w:sz w:val="20"/>
          <w:szCs w:val="20"/>
          <w:color w:val="auto"/>
        </w:rPr>
      </w:pP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valuation of investments, including the determination of impairment allowances,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establishment of insurance reserves, especially asbestos and environmental-related reserves,</w:t>
      </w:r>
    </w:p>
    <w:p>
      <w:pPr>
        <w:spacing w:after="0" w:line="13" w:lineRule="exact"/>
        <w:rPr>
          <w:rFonts w:ascii="Arial" w:cs="Arial" w:eastAsia="Arial" w:hAnsi="Arial"/>
          <w:sz w:val="17"/>
          <w:szCs w:val="17"/>
          <w:color w:val="auto"/>
        </w:rPr>
      </w:pP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recoverability of reinsurance, and</w:t>
      </w:r>
    </w:p>
    <w:p>
      <w:pPr>
        <w:spacing w:after="0" w:line="14" w:lineRule="exact"/>
        <w:rPr>
          <w:rFonts w:ascii="Arial" w:cs="Arial" w:eastAsia="Arial" w:hAnsi="Arial"/>
          <w:sz w:val="17"/>
          <w:szCs w:val="17"/>
          <w:color w:val="auto"/>
        </w:rPr>
      </w:pP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establishment of asbestos and environmental liabilities of former railroad and manufacturing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a discussion of these policies, see </w:t>
      </w:r>
      <w:r>
        <w:rPr>
          <w:rFonts w:ascii="Arial" w:cs="Arial" w:eastAsia="Arial" w:hAnsi="Arial"/>
          <w:sz w:val="17"/>
          <w:szCs w:val="17"/>
          <w:i w:val="1"/>
          <w:iCs w:val="1"/>
          <w:color w:val="auto"/>
        </w:rPr>
        <w:t>Management’s Discussion and Analysis — “Critical Accounting Policies”</w:t>
      </w:r>
      <w:r>
        <w:rPr>
          <w:rFonts w:ascii="Arial" w:cs="Arial" w:eastAsia="Arial" w:hAnsi="Arial"/>
          <w:sz w:val="17"/>
          <w:szCs w:val="17"/>
          <w:color w:val="auto"/>
        </w:rPr>
        <w:t xml:space="preserve"> in AFG’s 2023 Form 10-K.</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LIQUIDITY AND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Ratios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AFG’s debt to total capital ratio on a consolidated basis is shown below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December 31,</w:t>
            </w:r>
          </w:p>
        </w:tc>
        <w:tc>
          <w:tcPr>
            <w:tcW w:w="940" w:type="dxa"/>
            <w:vAlign w:val="bottom"/>
            <w:tcBorders>
              <w:bottom w:val="single" w:sz="8" w:color="auto"/>
            </w:tcBorders>
          </w:tcPr>
          <w:p>
            <w:pPr>
              <w:spacing w:after="0"/>
              <w:rPr>
                <w:sz w:val="17"/>
                <w:szCs w:val="17"/>
                <w:color w:val="auto"/>
              </w:rPr>
            </w:pPr>
          </w:p>
        </w:tc>
      </w:tr>
      <w:tr>
        <w:trPr>
          <w:trHeight w:val="201"/>
        </w:trPr>
        <w:tc>
          <w:tcPr>
            <w:tcW w:w="6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color w:val="auto"/>
              </w:rPr>
              <w:t>June 30, 2024</w:t>
            </w:r>
          </w:p>
        </w:tc>
        <w:tc>
          <w:tcPr>
            <w:tcW w:w="320" w:type="dxa"/>
            <w:vAlign w:val="bottom"/>
          </w:tcPr>
          <w:p>
            <w:pPr>
              <w:spacing w:after="0"/>
              <w:rPr>
                <w:sz w:val="17"/>
                <w:szCs w:val="17"/>
                <w:color w:val="auto"/>
              </w:rPr>
            </w:pPr>
          </w:p>
        </w:tc>
        <w:tc>
          <w:tcPr>
            <w:tcW w:w="1100" w:type="dxa"/>
            <w:vAlign w:val="bottom"/>
          </w:tcPr>
          <w:p>
            <w:pPr>
              <w:jc w:val="right"/>
              <w:ind w:right="461"/>
              <w:spacing w:after="0"/>
              <w:rPr>
                <w:sz w:val="20"/>
                <w:szCs w:val="20"/>
                <w:color w:val="auto"/>
              </w:rPr>
            </w:pPr>
            <w:r>
              <w:rPr>
                <w:rFonts w:ascii="Arial" w:cs="Arial" w:eastAsia="Arial" w:hAnsi="Arial"/>
                <w:sz w:val="15"/>
                <w:szCs w:val="15"/>
                <w:color w:val="auto"/>
              </w:rPr>
              <w:t>2023</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460"/>
              <w:spacing w:after="0"/>
              <w:rPr>
                <w:sz w:val="20"/>
                <w:szCs w:val="20"/>
                <w:color w:val="auto"/>
              </w:rPr>
            </w:pPr>
            <w:r>
              <w:rPr>
                <w:rFonts w:ascii="Arial" w:cs="Arial" w:eastAsia="Arial" w:hAnsi="Arial"/>
                <w:sz w:val="15"/>
                <w:szCs w:val="15"/>
                <w:color w:val="auto"/>
              </w:rPr>
              <w:t>2022</w:t>
            </w:r>
          </w:p>
        </w:tc>
      </w:tr>
      <w:tr>
        <w:trPr>
          <w:trHeight w:val="211"/>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amount of long-term debt</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1,498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1,498</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1,521</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Total capital</w:t>
            </w:r>
          </w:p>
        </w:tc>
        <w:tc>
          <w:tcPr>
            <w:tcW w:w="280" w:type="dxa"/>
            <w:vAlign w:val="bottom"/>
          </w:tcPr>
          <w:p>
            <w:pPr>
              <w:spacing w:after="0"/>
              <w:rPr>
                <w:sz w:val="18"/>
                <w:szCs w:val="18"/>
                <w:color w:val="auto"/>
              </w:rPr>
            </w:pPr>
          </w:p>
        </w:tc>
        <w:tc>
          <w:tcPr>
            <w:tcW w:w="1600" w:type="dxa"/>
            <w:vAlign w:val="bottom"/>
          </w:tcPr>
          <w:p>
            <w:pPr>
              <w:jc w:val="right"/>
              <w:ind w:right="120"/>
              <w:spacing w:after="0"/>
              <w:rPr>
                <w:sz w:val="20"/>
                <w:szCs w:val="20"/>
                <w:color w:val="auto"/>
              </w:rPr>
            </w:pPr>
            <w:r>
              <w:rPr>
                <w:rFonts w:ascii="Arial" w:cs="Arial" w:eastAsia="Arial" w:hAnsi="Arial"/>
                <w:sz w:val="16"/>
                <w:szCs w:val="16"/>
                <w:color w:val="auto"/>
              </w:rPr>
              <w:t>6,213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6,075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6,116</w:t>
            </w: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debt to total capital:</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6320" w:type="dxa"/>
            <w:vAlign w:val="bottom"/>
          </w:tcPr>
          <w:p>
            <w:pPr>
              <w:ind w:left="360"/>
              <w:spacing w:after="0"/>
              <w:rPr>
                <w:sz w:val="20"/>
                <w:szCs w:val="20"/>
                <w:color w:val="auto"/>
              </w:rPr>
            </w:pPr>
            <w:r>
              <w:rPr>
                <w:rFonts w:ascii="Arial" w:cs="Arial" w:eastAsia="Arial" w:hAnsi="Arial"/>
                <w:sz w:val="16"/>
                <w:szCs w:val="16"/>
                <w:color w:val="auto"/>
              </w:rPr>
              <w:t>Including subordinated debt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24.1 %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24.7 %</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24.9 %</w:t>
            </w:r>
          </w:p>
        </w:tc>
      </w:tr>
      <w:tr>
        <w:trPr>
          <w:trHeight w:val="217"/>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Excluding subordinated debt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13.8 %</w:t>
            </w:r>
          </w:p>
        </w:tc>
      </w:tr>
    </w:tbl>
    <w:p>
      <w:pPr>
        <w:spacing w:after="0" w:line="31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ratio of debt to total capital is a non-GAAP measure that management believes is useful for investors, analysts and ratings agencies to evaluate AFG’s financial strength and liquidity and to provide insight into how AFG finances its operations. The ratio is calculated by dividing the principal amount of AFG’s long-term debt by its total capital, which includes long-term debt and shareholders’ equity (excluding accumulated other comprehensive income (loss), net of tax). In addition, maintaining a ratio of debt, excluding subordinated debt and debt secured by real estate (if any), to total capital of 35% or lower is a financial covenant in AFG’s bank credit facility.</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Condensed Consolidated Cash Flows</w:t>
      </w:r>
    </w:p>
    <w:p>
      <w:pPr>
        <w:spacing w:after="0" w:line="2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AFG’s principal sources of cash include insurance premiums, income from its investment portfolio and proceeds from the maturities, redemptions and sales of investments. Insurance premiums in excess of acquisition expenses and operating costs are invested until they are needed to meet policyholder obligations or made available to the parent company through dividends to cover debt obligations and corporate expenses, and to provide returns to shareholders through share repurchases and dividends. Cash flows from operating, investing and financing activities as detailed in AFG’s Consolidated Statement of Cash Flows are shown below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62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5"/>
                <w:szCs w:val="15"/>
                <w:color w:val="auto"/>
              </w:rPr>
              <w:t>Six months ended June 30,</w:t>
            </w:r>
          </w:p>
        </w:tc>
        <w:tc>
          <w:tcPr>
            <w:tcW w:w="500" w:type="dxa"/>
            <w:vAlign w:val="bottom"/>
            <w:tcBorders>
              <w:bottom w:val="single" w:sz="8" w:color="auto"/>
            </w:tcBorders>
          </w:tcPr>
          <w:p>
            <w:pPr>
              <w:spacing w:after="0"/>
              <w:rPr>
                <w:sz w:val="17"/>
                <w:szCs w:val="17"/>
                <w:color w:val="auto"/>
              </w:rPr>
            </w:pPr>
          </w:p>
        </w:tc>
      </w:tr>
      <w:tr>
        <w:trPr>
          <w:trHeight w:val="198"/>
        </w:trPr>
        <w:tc>
          <w:tcPr>
            <w:tcW w:w="8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color w:val="auto"/>
              </w:rPr>
              <w:t>2024</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rPr>
              <w:t>2023</w:t>
            </w:r>
          </w:p>
        </w:tc>
        <w:tc>
          <w:tcPr>
            <w:tcW w:w="500" w:type="dxa"/>
            <w:vAlign w:val="bottom"/>
            <w:tcBorders>
              <w:bottom w:val="single" w:sz="8" w:color="auto"/>
            </w:tcBorders>
          </w:tcPr>
          <w:p>
            <w:pPr>
              <w:spacing w:after="0"/>
              <w:rPr>
                <w:sz w:val="17"/>
                <w:szCs w:val="17"/>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368</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w:t>
            </w:r>
          </w:p>
        </w:tc>
      </w:tr>
      <w:tr>
        <w:trPr>
          <w:trHeight w:val="210"/>
        </w:trPr>
        <w:tc>
          <w:tcPr>
            <w:tcW w:w="812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ind w:right="82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r>
      <w:tr>
        <w:trPr>
          <w:trHeight w:val="21"/>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line="254" w:lineRule="auto"/>
        <w:rPr>
          <w:sz w:val="20"/>
          <w:szCs w:val="20"/>
          <w:color w:val="auto"/>
        </w:rPr>
      </w:pPr>
      <w:r>
        <w:rPr>
          <w:rFonts w:ascii="Arial" w:cs="Arial" w:eastAsia="Arial" w:hAnsi="Arial"/>
          <w:sz w:val="20"/>
          <w:szCs w:val="20"/>
          <w:b w:val="1"/>
          <w:bCs w:val="1"/>
          <w:color w:val="003366"/>
        </w:rPr>
        <w:t xml:space="preserve">Net Cash Provided by Operating Activities </w:t>
      </w:r>
      <w:r>
        <w:rPr>
          <w:rFonts w:ascii="Arial" w:cs="Arial" w:eastAsia="Arial" w:hAnsi="Arial"/>
          <w:sz w:val="17"/>
          <w:szCs w:val="17"/>
          <w:color w:val="000000"/>
        </w:rPr>
        <w:t>AFG’s property and casualty insurance operations typically produce positive net operating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cash flows as premiums collected and investment income exceed policy acquisition costs, claims payments and operating expenses. AFG’s net cash provided by operating activities is impacted by the level and timing of property and casualty premiums, claim and expense payments and recoveries from reinsurers. Cash flows provided by operating activities also include the activity of AFG’s managed investment entities (collateralized loan obligations (“CLO”)) other than those activities included in investing or financing activities. The changes in the assets and liabilities of the managed investment entities included in operating activities reduced cash flows from operating activities by $239 million during the first six months of 2024 and increased cash flows from operating activities by $70 million in the first six months of 2023, accounting for a $309 million decrease in cash flows from operating activities in the 2024 period compared to the 2023 period. As discussed in </w:t>
      </w:r>
      <w:r>
        <w:rPr>
          <w:rFonts w:ascii="Arial" w:cs="Arial" w:eastAsia="Arial" w:hAnsi="Arial"/>
          <w:sz w:val="17"/>
          <w:szCs w:val="17"/>
          <w:i w:val="1"/>
          <w:iCs w:val="1"/>
          <w:color w:val="000000"/>
        </w:rPr>
        <w:t>Note A — “Accounting Policies — Managed Investment</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Entities” </w:t>
      </w:r>
      <w:r>
        <w:rPr>
          <w:rFonts w:ascii="Arial" w:cs="Arial" w:eastAsia="Arial" w:hAnsi="Arial"/>
          <w:sz w:val="17"/>
          <w:szCs w:val="17"/>
          <w:color w:val="000000"/>
        </w:rPr>
        <w:t>to the financial statements, AFG has no right to use the CLO assets and no obligation to pay the CLO liabilities and such assets and</w:t>
      </w:r>
      <w:r>
        <w:rPr>
          <w:rFonts w:ascii="Arial" w:cs="Arial" w:eastAsia="Arial" w:hAnsi="Arial"/>
          <w:sz w:val="17"/>
          <w:szCs w:val="17"/>
          <w:i w:val="1"/>
          <w:iCs w:val="1"/>
          <w:color w:val="000000"/>
        </w:rPr>
        <w:t xml:space="preserve"> </w:t>
      </w:r>
      <w:r>
        <w:rPr>
          <w:rFonts w:ascii="Arial" w:cs="Arial" w:eastAsia="Arial" w:hAnsi="Arial"/>
          <w:sz w:val="17"/>
          <w:szCs w:val="17"/>
          <w:color w:val="000000"/>
        </w:rPr>
        <w:t>liabilities are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shown separately in AFG’s Balance Sheet. Excluding the impact of the managed investment entities, net cash provided by operating activities was $258 million and $448 million in the first six months of 2024 and 2023, respectively.</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20"/>
          <w:szCs w:val="20"/>
          <w:b w:val="1"/>
          <w:bCs w:val="1"/>
          <w:color w:val="003366"/>
        </w:rPr>
        <w:t xml:space="preserve">Net Cash Provided by (Used in) Investing Activities </w:t>
      </w:r>
      <w:r>
        <w:rPr>
          <w:rFonts w:ascii="Arial" w:cs="Arial" w:eastAsia="Arial" w:hAnsi="Arial"/>
          <w:sz w:val="17"/>
          <w:szCs w:val="17"/>
          <w:color w:val="000000"/>
        </w:rPr>
        <w:t>AFG’s investing activities consist primarily of the investment of funds provided by</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its property and casualty businesses. Investing activities also include the purchase and disposal of managed investment entity investments, which are presented separately in AFG’s Balance Sheet. Net investment activity in the managed investment entities was a $57 million source of cash in the first six months of 2024 compared to $153 million in the first six months of 2023, accounting for a $96 million decrease in net cash provided by (used in) investing activities in the first six months of 2024 compared to the same 2023 period. See </w:t>
      </w:r>
      <w:r>
        <w:rPr>
          <w:rFonts w:ascii="Arial" w:cs="Arial" w:eastAsia="Arial" w:hAnsi="Arial"/>
          <w:sz w:val="17"/>
          <w:szCs w:val="17"/>
          <w:i w:val="1"/>
          <w:iCs w:val="1"/>
          <w:color w:val="000000"/>
        </w:rPr>
        <w:t>Note A — “Accounting Policies — Managed Investment</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Entities” </w:t>
      </w:r>
      <w:r>
        <w:rPr>
          <w:rFonts w:ascii="Arial" w:cs="Arial" w:eastAsia="Arial" w:hAnsi="Arial"/>
          <w:sz w:val="17"/>
          <w:szCs w:val="17"/>
          <w:color w:val="000000"/>
        </w:rPr>
        <w:t>and</w:t>
      </w:r>
      <w:r>
        <w:rPr>
          <w:rFonts w:ascii="Arial" w:cs="Arial" w:eastAsia="Arial" w:hAnsi="Arial"/>
          <w:sz w:val="17"/>
          <w:szCs w:val="17"/>
          <w:i w:val="1"/>
          <w:iCs w:val="1"/>
          <w:color w:val="000000"/>
        </w:rPr>
        <w:t xml:space="preserve"> Note G — “Managed Investment Entities” </w:t>
      </w:r>
      <w:r>
        <w:rPr>
          <w:rFonts w:ascii="Arial" w:cs="Arial" w:eastAsia="Arial" w:hAnsi="Arial"/>
          <w:sz w:val="17"/>
          <w:szCs w:val="17"/>
          <w:color w:val="000000"/>
        </w:rPr>
        <w:t>to the financial statements. Excluding the activity of the managed investment entities,</w:t>
      </w:r>
      <w:r>
        <w:rPr>
          <w:rFonts w:ascii="Arial" w:cs="Arial" w:eastAsia="Arial" w:hAnsi="Arial"/>
          <w:sz w:val="17"/>
          <w:szCs w:val="17"/>
          <w:i w:val="1"/>
          <w:iCs w:val="1"/>
          <w:color w:val="000000"/>
        </w:rPr>
        <w:t xml:space="preserve"> </w:t>
      </w:r>
      <w:r>
        <w:rPr>
          <w:rFonts w:ascii="Arial" w:cs="Arial" w:eastAsia="Arial" w:hAnsi="Arial"/>
          <w:sz w:val="17"/>
          <w:szCs w:val="17"/>
          <w:color w:val="000000"/>
        </w:rPr>
        <w:t>investing activities were a $63 million use of cash in the first six months of 2024 compared to a $215 million source of cash in the first six months of 2023.</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20"/>
          <w:szCs w:val="20"/>
          <w:b w:val="1"/>
          <w:bCs w:val="1"/>
          <w:color w:val="003366"/>
        </w:rPr>
        <w:t xml:space="preserve">Net Cash Used in Financing Activities </w:t>
      </w:r>
      <w:r>
        <w:rPr>
          <w:rFonts w:ascii="Arial" w:cs="Arial" w:eastAsia="Arial" w:hAnsi="Arial"/>
          <w:sz w:val="17"/>
          <w:szCs w:val="17"/>
          <w:color w:val="000000"/>
        </w:rPr>
        <w:t>AFG’s financing activities consist primarily of issuances and retirements of long-term debt,</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issuances and repurchases of common stock and dividend payments. Net cash used in financing activities was $117 million for the first six months of 2024 compared to $770 million in the first six months of 2023, a decrease of $653 million. AFG paid cash dividends totaling $327 million in the first six months of 2024 compared to $446 million in the first six months of 2023, a decrease in cash used by financing activities of $119 million. There were no debt retirements in the first six months of 2024 compared to $21 million in debt retirements during the first six months of 2023. During the first six months of 2024, AFG did not repurchase any of its Common Stock compared to repurchases of $67 million in the comparable 2023 period. Financing activities also include issuances and retirements of managed investment entity liabilities, which are nonrecourse to AFG and presented separately in AFG’s Balance Sheet. Issuances of managed investment entity liabilities exceeded retirements by $200 million in the first six months of 2024 compared to retirements exceeding issuances by $244 million in the first six months of 2023, accounting for a $444 million decrease in net cash used in financing activities in the 2024 period compared to the 2023 period. See </w:t>
      </w:r>
      <w:r>
        <w:rPr>
          <w:rFonts w:ascii="Arial" w:cs="Arial" w:eastAsia="Arial" w:hAnsi="Arial"/>
          <w:sz w:val="17"/>
          <w:szCs w:val="17"/>
          <w:i w:val="1"/>
          <w:iCs w:val="1"/>
          <w:color w:val="000000"/>
        </w:rPr>
        <w:t>Note A — “Accounting Policies — Managed Investment</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Entities” </w:t>
      </w:r>
      <w:r>
        <w:rPr>
          <w:rFonts w:ascii="Arial" w:cs="Arial" w:eastAsia="Arial" w:hAnsi="Arial"/>
          <w:sz w:val="17"/>
          <w:szCs w:val="17"/>
          <w:color w:val="000000"/>
        </w:rPr>
        <w:t>and</w:t>
      </w:r>
      <w:r>
        <w:rPr>
          <w:rFonts w:ascii="Arial" w:cs="Arial" w:eastAsia="Arial" w:hAnsi="Arial"/>
          <w:sz w:val="17"/>
          <w:szCs w:val="17"/>
          <w:i w:val="1"/>
          <w:iCs w:val="1"/>
          <w:color w:val="000000"/>
        </w:rPr>
        <w:t xml:space="preserve"> Note G — “Managed Investment Entities” </w:t>
      </w:r>
      <w:r>
        <w:rPr>
          <w:rFonts w:ascii="Arial" w:cs="Arial" w:eastAsia="Arial" w:hAnsi="Arial"/>
          <w:sz w:val="17"/>
          <w:szCs w:val="17"/>
          <w:color w:val="000000"/>
        </w:rPr>
        <w:t>to the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Parent and Subsidiary Liquidity</w:t>
      </w:r>
    </w:p>
    <w:p>
      <w:pPr>
        <w:spacing w:after="0" w:line="253"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Parent Holding Company Liquidity </w:t>
      </w:r>
      <w:r>
        <w:rPr>
          <w:rFonts w:ascii="Arial" w:cs="Arial" w:eastAsia="Arial" w:hAnsi="Arial"/>
          <w:sz w:val="17"/>
          <w:szCs w:val="17"/>
          <w:color w:val="000000"/>
        </w:rPr>
        <w:t>Management believes AFG has sufficient resources to meet its liquidity requirements. If funds</w:t>
      </w:r>
      <w:r>
        <w:rPr>
          <w:rFonts w:ascii="Arial" w:cs="Arial" w:eastAsia="Arial" w:hAnsi="Arial"/>
          <w:sz w:val="20"/>
          <w:szCs w:val="20"/>
          <w:b w:val="1"/>
          <w:bCs w:val="1"/>
          <w:color w:val="003366"/>
        </w:rPr>
        <w:t xml:space="preserve"> </w:t>
      </w:r>
      <w:r>
        <w:rPr>
          <w:rFonts w:ascii="Arial" w:cs="Arial" w:eastAsia="Arial" w:hAnsi="Arial"/>
          <w:sz w:val="17"/>
          <w:szCs w:val="17"/>
          <w:color w:val="000000"/>
        </w:rPr>
        <w:t>generated from operations, including dividends, tax payments and borrowings from subsidiaries, are insufficient to meet fixed charges in any period, AFG would be required to utilize parent company cash and investments or to generate cash through borrowings, sales of other assets or similar transactions.</w:t>
      </w:r>
    </w:p>
    <w:p>
      <w:pPr>
        <w:spacing w:after="0" w:line="216"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AFG's operations continue to generate significant excess capital for future returns of capital to shareholders in the form of regular and special cash dividends and through opportunistic share repurchases or to be deployed into its property and casualty businesses as management identifies the potential for profitable organic growth, and opportunities to expand through acquisitions of established businesses or start-ups that meet target return thresholds.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AFG paid a special cash dividend totaling $209 million ($2.50 per share) on February 28, 2024.</w:t>
      </w:r>
    </w:p>
    <w:p>
      <w:pPr>
        <w:spacing w:after="0" w:line="25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AFG may, at any time and from time to time, seek to retire or purchase its outstanding debt through cash purchases or exchanges for equity or debt, in open-market purchases, privately negotiated transactions or otherwise. Such repurchases or exchanges, if any, will be upon such terms and at such prices as management may determine, and will depend on prevailing market conditions, AFG’s liquidity requirements, contractual restrictions and other factors.</w:t>
      </w:r>
    </w:p>
    <w:p>
      <w:pPr>
        <w:spacing w:after="0" w:line="200"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During 2023, AFG repurchased 1,872,544 shares of its Common Stock for $213 million, paid special cash dividends totaling $466 million ($4.00 per share in February and $1.50 per share in November) and repurchased $23 million principal amount of its senior notes for $21 million cash.</w:t>
      </w:r>
    </w:p>
    <w:p>
      <w:pPr>
        <w:spacing w:after="0" w:line="186"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At June 30, 2024, AFG (parent) held approximately $438 million in cash and investments. Management believes that AFG’s cash balances are held at stable banking institutions, although the amounts of many of these deposits are in excess of federally insured balances. AFG can borrow up to $450 million under its revolving credit facility, which expires in June 2028. Amounts borrowed under this agreement bear interest at rates ranging from 1.00% to 1.75% (based on AFG’s credit rating, currently 1.25%) over a SOFR-based floating rate. There were no borrowings under AFG’s credit facilities, or under any other parent company short-term borrowing arrangements, during 2023 or the first six months of 2024.</w:t>
      </w:r>
    </w:p>
    <w:p>
      <w:pPr>
        <w:spacing w:after="0" w:line="206"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Under a tax allocation agreement with AFG, all 80% (or more) owned U.S. subsidiaries generally pay taxes to (or recover taxes from) AFG based on each subsidiary’s contribution to amounts due under AFG’s consolidated tax return.</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60"/>
        <w:spacing w:after="0" w:line="248" w:lineRule="auto"/>
        <w:rPr>
          <w:sz w:val="20"/>
          <w:szCs w:val="20"/>
          <w:color w:val="auto"/>
        </w:rPr>
      </w:pPr>
      <w:r>
        <w:rPr>
          <w:rFonts w:ascii="Arial" w:cs="Arial" w:eastAsia="Arial" w:hAnsi="Arial"/>
          <w:sz w:val="20"/>
          <w:szCs w:val="20"/>
          <w:b w:val="1"/>
          <w:bCs w:val="1"/>
          <w:color w:val="003366"/>
        </w:rPr>
        <w:t xml:space="preserve">Subsidiary Liquidity </w:t>
      </w:r>
      <w:r>
        <w:rPr>
          <w:rFonts w:ascii="Arial" w:cs="Arial" w:eastAsia="Arial" w:hAnsi="Arial"/>
          <w:sz w:val="17"/>
          <w:szCs w:val="17"/>
          <w:color w:val="000000"/>
        </w:rPr>
        <w:t>The liquidity requirements of AFG’s insurance subsidiaries relate primarily to the policyholder claims and underwriting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expenses and payments of dividends and taxes to AFG. Historically, cash flows from premiums and investment income have generally provided more than sufficient funds to meet these requirements. Funds received in excess of cash requirements are generally invested in marketable securities. In addition, the insurance subsidiaries generally hold a significant amount of highly liquid, short duration investments.</w:t>
      </w:r>
    </w:p>
    <w:p>
      <w:pPr>
        <w:spacing w:after="0" w:line="216"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AFG believes its insurance subsidiaries maintain sufficient liquidity to pay claims and underwriting expenses. In addition, these subsidiaries have sufficient capital to meet commitments in the event of unforeseen events such as reserve deficiencies, inadequate premium rates or reinsurer insolvencies. Even in the current uncertain economic environment, management believes that the capital levels in AFG’s insurance subsidiaries are adequate to maintain its business and rating agency ratings. Nonetheless, changes in statutory accounting rules, significant declines in the fair value of the insurance subsidiaries’ investment portfolios or significant ratings downgrades on these investments, could create a need for additional capital.</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Investments</w:t>
      </w:r>
    </w:p>
    <w:p>
      <w:pPr>
        <w:spacing w:after="0" w:line="4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AFG’s investment portfolio at June 30, 2024, contained $10.20 billion in fixed maturity securities classified as available for sale and carried at fair value with unrealized gains and losses included in accumulated other comprehensive income (loss) and $65 million in fixed maturities classified as trading with holding gains and losses included in net investment income. In addition, AFG’s investment portfolio includes $526 million in equity securities carried at fair value with holding gains and losses included in realized gains (losses) on securities and $551 million in equity securities carried at fair value with holding gains and losses included in net investment income.</w:t>
      </w:r>
    </w:p>
    <w:p>
      <w:pPr>
        <w:spacing w:after="0" w:line="227"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Fair values for AFG’s portfolio are determined by AFG’s internal investment professionals using data from nationally recognized pricing services, non-binding broker quotes and other market information. Fair values of equity securities are generally based on published closing prices. For AFG’s fixed maturity portfolio, approximately 89% was priced using pricing services at June 30, 2024 and 4% was priced using non-binding broker quotes. When prices obtained for the same security vary, AFG’s internal investment professionals select the price they believe is most indicative of an exit price.</w:t>
      </w:r>
    </w:p>
    <w:p>
      <w:pPr>
        <w:spacing w:after="0" w:line="222"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The pricing services use a variety of observable inputs to estimate fair value of fixed maturities that do not trade on a daily basis. Based upon information provided by the pricing services, these inputs include, but are not limited to, recent reported trades, benchmark yields, issuer spreads, bids or offers, reference data, and measures of volatility. Included in the pricing of mortgage-backed securities (“MBS”) are estimates of the rate of future prepayments and defaults of principal over the remaining life of the underlying collateral. Due to the lack of transparency in the process that brokers use to develop prices, valuations that are based on brokers’ prices are classified as Level 3 in the GAAP hierarchy unless the price can be corroborated, for example, by comparison to similar securities priced using observable inputs.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pricing services regarding the methods and assumptions used in pricing, including verifying, on a test basis, the inputs used by the services to value specific securities.</w:t>
      </w:r>
    </w:p>
    <w:p>
      <w:pPr>
        <w:spacing w:after="0" w:line="206" w:lineRule="exact"/>
        <w:rPr>
          <w:sz w:val="20"/>
          <w:szCs w:val="20"/>
          <w:color w:val="auto"/>
        </w:rPr>
      </w:pPr>
    </w:p>
    <w:p>
      <w:pPr>
        <w:ind w:right="260"/>
        <w:spacing w:after="0" w:line="260" w:lineRule="auto"/>
        <w:rPr>
          <w:sz w:val="20"/>
          <w:szCs w:val="20"/>
          <w:color w:val="auto"/>
        </w:rPr>
      </w:pPr>
      <w:r>
        <w:rPr>
          <w:rFonts w:ascii="Arial" w:cs="Arial" w:eastAsia="Arial" w:hAnsi="Arial"/>
          <w:sz w:val="17"/>
          <w:szCs w:val="17"/>
          <w:color w:val="auto"/>
        </w:rPr>
        <w:t>In general, the fair value of AFG’s fixed maturity investments is inversely correlated to changes in interest rates. The following table demonstrates the sensitivity of such fair values to reasonably likely changes in interest rates by illustrating the estimated effect on AFG’s fixed maturity portfolio that an immediate increase of 100 basis points in the interest rate yield curve would have had at June 30, 2024 (dollars in millions). Effects of increases or decreases from the 100 basis points illustrated would be approximately proportional.</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10,261</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Percentage impact on fair value of 100 bps increase in interest rates</w:t>
            </w:r>
          </w:p>
        </w:tc>
        <w:tc>
          <w:tcPr>
            <w:tcW w:w="2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impact on 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(308)</w:t>
            </w:r>
          </w:p>
        </w:tc>
      </w:tr>
    </w:tbl>
    <w:p>
      <w:pPr>
        <w:spacing w:after="0" w:line="221" w:lineRule="exact"/>
        <w:rPr>
          <w:sz w:val="20"/>
          <w:szCs w:val="20"/>
          <w:color w:val="auto"/>
        </w:rPr>
      </w:pPr>
    </w:p>
    <w:p>
      <w:pPr>
        <w:jc w:val="both"/>
        <w:ind w:right="160"/>
        <w:spacing w:after="0" w:line="274" w:lineRule="auto"/>
        <w:rPr>
          <w:sz w:val="20"/>
          <w:szCs w:val="20"/>
          <w:color w:val="auto"/>
        </w:rPr>
      </w:pPr>
      <w:r>
        <w:rPr>
          <w:rFonts w:ascii="Arial" w:cs="Arial" w:eastAsia="Arial" w:hAnsi="Arial"/>
          <w:sz w:val="17"/>
          <w:szCs w:val="17"/>
          <w:color w:val="auto"/>
        </w:rPr>
        <w:t>Approximately 94% of the fixed maturities held by AFG at June 30, 2024, were rated “investment grade” (credit rating of AAA to BBB) by nationally recognized rating agencies, 3% were rated “non-investment grade” and 3% were not rated. Investment grade securities generally bear lower yields and lower degrees of risk than those that are unrated and non-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investment grade. Management believes that the high-quality investment portfolio should generate a stable and predictable investment return.</w:t>
      </w:r>
    </w:p>
    <w:p>
      <w:pPr>
        <w:spacing w:after="0" w:line="169" w:lineRule="exact"/>
        <w:rPr>
          <w:sz w:val="20"/>
          <w:szCs w:val="20"/>
          <w:color w:val="auto"/>
        </w:rPr>
      </w:pPr>
    </w:p>
    <w:p>
      <w:pPr>
        <w:ind w:right="700"/>
        <w:spacing w:after="0" w:line="274" w:lineRule="auto"/>
        <w:rPr>
          <w:sz w:val="20"/>
          <w:szCs w:val="20"/>
          <w:color w:val="auto"/>
        </w:rPr>
      </w:pPr>
      <w:r>
        <w:rPr>
          <w:rFonts w:ascii="Arial" w:cs="Arial" w:eastAsia="Arial" w:hAnsi="Arial"/>
          <w:sz w:val="17"/>
          <w:szCs w:val="17"/>
          <w:color w:val="auto"/>
        </w:rPr>
        <w:t>AFG has less than $100 million of direct exposure to office commercial real estate through property ownership, mortgages or equity method investments. AFG’s fixed maturity portfolio includes securities (the majority of which are AAA-rated) with a carrying value of approximately $540 million that have minimal exposure to office commercial real estate.</w:t>
      </w:r>
    </w:p>
    <w:p>
      <w:pPr>
        <w:spacing w:after="0" w:line="195"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Summarized information for the unrealized gains and losses recorded in AFG’s Balance Sheet at June 30, 2024, is shown in the following table (dollars in millions). Approximately $226 million of available for sale fixed maturity securities had no unrealized gains or losses at June 30, 2024.</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5"/>
                <w:szCs w:val="15"/>
                <w:color w:val="auto"/>
              </w:rPr>
              <w:t>Securities</w:t>
            </w:r>
          </w:p>
        </w:tc>
        <w:tc>
          <w:tcPr>
            <w:tcW w:w="220" w:type="dxa"/>
            <w:vAlign w:val="bottom"/>
          </w:tcPr>
          <w:p>
            <w:pPr>
              <w:spacing w:after="0"/>
              <w:rPr>
                <w:sz w:val="14"/>
                <w:szCs w:val="14"/>
                <w:color w:val="auto"/>
              </w:rPr>
            </w:pPr>
          </w:p>
        </w:tc>
        <w:tc>
          <w:tcPr>
            <w:tcW w:w="1140" w:type="dxa"/>
            <w:vAlign w:val="bottom"/>
          </w:tcPr>
          <w:p>
            <w:pPr>
              <w:jc w:val="center"/>
              <w:ind w:right="137"/>
              <w:spacing w:after="0"/>
              <w:rPr>
                <w:sz w:val="20"/>
                <w:szCs w:val="20"/>
                <w:color w:val="auto"/>
              </w:rPr>
            </w:pPr>
            <w:r>
              <w:rPr>
                <w:rFonts w:ascii="Arial" w:cs="Arial" w:eastAsia="Arial" w:hAnsi="Arial"/>
                <w:sz w:val="15"/>
                <w:szCs w:val="15"/>
                <w:color w:val="auto"/>
              </w:rPr>
              <w:t>Securities</w:t>
            </w:r>
          </w:p>
        </w:tc>
      </w:tr>
      <w:tr>
        <w:trPr>
          <w:trHeight w:val="148"/>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5"/>
                <w:szCs w:val="15"/>
                <w:color w:val="auto"/>
              </w:rPr>
              <w:t>With</w:t>
            </w:r>
          </w:p>
        </w:tc>
        <w:tc>
          <w:tcPr>
            <w:tcW w:w="220" w:type="dxa"/>
            <w:vAlign w:val="bottom"/>
          </w:tcPr>
          <w:p>
            <w:pPr>
              <w:spacing w:after="0"/>
              <w:rPr>
                <w:sz w:val="12"/>
                <w:szCs w:val="12"/>
                <w:color w:val="auto"/>
              </w:rPr>
            </w:pPr>
          </w:p>
        </w:tc>
        <w:tc>
          <w:tcPr>
            <w:tcW w:w="1140" w:type="dxa"/>
            <w:vAlign w:val="bottom"/>
          </w:tcPr>
          <w:p>
            <w:pPr>
              <w:jc w:val="center"/>
              <w:ind w:right="117"/>
              <w:spacing w:after="0" w:line="149" w:lineRule="exact"/>
              <w:rPr>
                <w:sz w:val="20"/>
                <w:szCs w:val="20"/>
                <w:color w:val="auto"/>
              </w:rPr>
            </w:pPr>
            <w:r>
              <w:rPr>
                <w:rFonts w:ascii="Arial" w:cs="Arial" w:eastAsia="Arial" w:hAnsi="Arial"/>
                <w:sz w:val="15"/>
                <w:szCs w:val="15"/>
                <w:color w:val="auto"/>
                <w:w w:val="99"/>
              </w:rPr>
              <w:t>With</w:t>
            </w:r>
          </w:p>
        </w:tc>
      </w:tr>
      <w:tr>
        <w:trPr>
          <w:trHeight w:val="158"/>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00"/>
              <w:spacing w:after="0" w:line="158" w:lineRule="exact"/>
              <w:rPr>
                <w:sz w:val="20"/>
                <w:szCs w:val="20"/>
                <w:color w:val="auto"/>
              </w:rPr>
            </w:pPr>
            <w:r>
              <w:rPr>
                <w:rFonts w:ascii="Arial" w:cs="Arial" w:eastAsia="Arial" w:hAnsi="Arial"/>
                <w:sz w:val="15"/>
                <w:szCs w:val="15"/>
                <w:color w:val="auto"/>
              </w:rPr>
              <w:t>Unrealized</w:t>
            </w:r>
          </w:p>
        </w:tc>
        <w:tc>
          <w:tcPr>
            <w:tcW w:w="220" w:type="dxa"/>
            <w:vAlign w:val="bottom"/>
          </w:tcPr>
          <w:p>
            <w:pPr>
              <w:spacing w:after="0"/>
              <w:rPr>
                <w:sz w:val="13"/>
                <w:szCs w:val="13"/>
                <w:color w:val="auto"/>
              </w:rPr>
            </w:pPr>
          </w:p>
        </w:tc>
        <w:tc>
          <w:tcPr>
            <w:tcW w:w="1140" w:type="dxa"/>
            <w:vAlign w:val="bottom"/>
          </w:tcPr>
          <w:p>
            <w:pPr>
              <w:jc w:val="center"/>
              <w:ind w:right="117"/>
              <w:spacing w:after="0" w:line="158" w:lineRule="exact"/>
              <w:rPr>
                <w:sz w:val="20"/>
                <w:szCs w:val="20"/>
                <w:color w:val="auto"/>
              </w:rPr>
            </w:pPr>
            <w:r>
              <w:rPr>
                <w:rFonts w:ascii="Arial" w:cs="Arial" w:eastAsia="Arial" w:hAnsi="Arial"/>
                <w:sz w:val="15"/>
                <w:szCs w:val="15"/>
                <w:color w:val="auto"/>
              </w:rPr>
              <w:t>Unrealized</w:t>
            </w: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5"/>
                <w:szCs w:val="15"/>
                <w:color w:val="auto"/>
              </w:rPr>
              <w:t>Gains</w:t>
            </w:r>
          </w:p>
        </w:tc>
        <w:tc>
          <w:tcPr>
            <w:tcW w:w="220" w:type="dxa"/>
            <w:vAlign w:val="bottom"/>
          </w:tcPr>
          <w:p>
            <w:pPr>
              <w:spacing w:after="0"/>
              <w:rPr>
                <w:sz w:val="17"/>
                <w:szCs w:val="17"/>
                <w:color w:val="auto"/>
              </w:rPr>
            </w:pPr>
          </w:p>
        </w:tc>
        <w:tc>
          <w:tcPr>
            <w:tcW w:w="1140" w:type="dxa"/>
            <w:vAlign w:val="bottom"/>
          </w:tcPr>
          <w:p>
            <w:pPr>
              <w:jc w:val="center"/>
              <w:ind w:right="137"/>
              <w:spacing w:after="0"/>
              <w:rPr>
                <w:sz w:val="20"/>
                <w:szCs w:val="20"/>
                <w:color w:val="auto"/>
              </w:rPr>
            </w:pPr>
            <w:r>
              <w:rPr>
                <w:rFonts w:ascii="Arial" w:cs="Arial" w:eastAsia="Arial" w:hAnsi="Arial"/>
                <w:sz w:val="15"/>
                <w:szCs w:val="15"/>
                <w:color w:val="auto"/>
              </w:rPr>
              <w:t>Losses</w:t>
            </w:r>
          </w:p>
        </w:tc>
      </w:tr>
      <w:tr>
        <w:trPr>
          <w:trHeight w:val="193"/>
        </w:trPr>
        <w:tc>
          <w:tcPr>
            <w:tcW w:w="20" w:type="dxa"/>
            <w:vAlign w:val="bottom"/>
            <w:tcBorders>
              <w:top w:val="single" w:sz="8" w:color="CCEEFF"/>
            </w:tcBorders>
            <w:shd w:val="clear" w:color="auto" w:fill="CCEEFF"/>
          </w:tcPr>
          <w:p>
            <w:pPr>
              <w:spacing w:after="0"/>
              <w:rPr>
                <w:sz w:val="16"/>
                <w:szCs w:val="16"/>
                <w:color w:val="auto"/>
              </w:rPr>
            </w:pPr>
          </w:p>
        </w:tc>
        <w:tc>
          <w:tcPr>
            <w:tcW w:w="8420" w:type="dxa"/>
            <w:vAlign w:val="bottom"/>
            <w:tcBorders>
              <w:top w:val="single" w:sz="8" w:color="CCEEFF"/>
            </w:tcBorders>
            <w:gridSpan w:val="2"/>
            <w:shd w:val="clear" w:color="auto" w:fill="CCEEFF"/>
          </w:tcPr>
          <w:p>
            <w:pPr>
              <w:spacing w:after="0" w:line="159" w:lineRule="exact"/>
              <w:rPr>
                <w:sz w:val="20"/>
                <w:szCs w:val="20"/>
                <w:color w:val="auto"/>
              </w:rPr>
            </w:pPr>
            <w:r>
              <w:rPr>
                <w:rFonts w:ascii="Arial" w:cs="Arial" w:eastAsia="Arial" w:hAnsi="Arial"/>
                <w:sz w:val="17"/>
                <w:szCs w:val="17"/>
                <w:color w:val="auto"/>
              </w:rPr>
              <w:t>Available for Sale Fixed Maturities</w:t>
            </w: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2580" w:type="dxa"/>
            <w:vAlign w:val="bottom"/>
            <w:tcBorders>
              <w:top w:val="single" w:sz="8" w:color="auto"/>
            </w:tcBorders>
          </w:tcPr>
          <w:p>
            <w:pPr>
              <w:ind w:left="340"/>
              <w:spacing w:after="0"/>
              <w:rPr>
                <w:sz w:val="20"/>
                <w:szCs w:val="20"/>
                <w:color w:val="auto"/>
              </w:rPr>
            </w:pPr>
            <w:r>
              <w:rPr>
                <w:rFonts w:ascii="Arial" w:cs="Arial" w:eastAsia="Arial" w:hAnsi="Arial"/>
                <w:sz w:val="17"/>
                <w:szCs w:val="17"/>
                <w:color w:val="auto"/>
              </w:rPr>
              <w:t>Fair value of securities</w:t>
            </w:r>
          </w:p>
        </w:tc>
        <w:tc>
          <w:tcPr>
            <w:tcW w:w="58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tcPr>
          <w:p>
            <w:pPr>
              <w:jc w:val="right"/>
              <w:ind w:right="137"/>
              <w:spacing w:after="0"/>
              <w:rPr>
                <w:sz w:val="20"/>
                <w:szCs w:val="20"/>
                <w:color w:val="auto"/>
              </w:rPr>
            </w:pPr>
            <w:r>
              <w:rPr>
                <w:rFonts w:ascii="Arial" w:cs="Arial" w:eastAsia="Arial" w:hAnsi="Arial"/>
                <w:sz w:val="17"/>
                <w:szCs w:val="17"/>
                <w:color w:val="auto"/>
              </w:rPr>
              <w:t>3,680</w:t>
            </w: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tcPr>
          <w:p>
            <w:pPr>
              <w:jc w:val="right"/>
              <w:ind w:right="137"/>
              <w:spacing w:after="0"/>
              <w:rPr>
                <w:sz w:val="20"/>
                <w:szCs w:val="20"/>
                <w:color w:val="auto"/>
              </w:rPr>
            </w:pPr>
            <w:r>
              <w:rPr>
                <w:rFonts w:ascii="Arial" w:cs="Arial" w:eastAsia="Arial" w:hAnsi="Arial"/>
                <w:sz w:val="17"/>
                <w:szCs w:val="17"/>
                <w:color w:val="auto"/>
              </w:rPr>
              <w:t>6,290</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Amortized cost of securities, net of allowance for expected credit losses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3,594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6,743</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Gross unrealized gain (loss)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86</w:t>
            </w:r>
          </w:p>
        </w:tc>
        <w:tc>
          <w:tcPr>
            <w:tcW w:w="8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(453)</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Fair value as % of amortized cost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93 %</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Number of security positions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679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1,444</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Number individually exceeding $2 million gain or loss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42</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Concentration of gains (losses) by type or industry (exceeding 5% of unrealized):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Mortgage-backed securities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(163)</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Collateralized loan obligations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(19)</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Other asset-backed securities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(95)</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Banking</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(21)</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States and municipalities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(53)</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Asset managers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(27)</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Percentage rated investment grade</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95 %</w:t>
            </w:r>
          </w:p>
        </w:tc>
      </w:tr>
    </w:tbl>
    <w:p>
      <w:pPr>
        <w:spacing w:after="0" w:line="30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table below sets forth the scheduled maturities of AFG’s available for sale fixed maturity securities at June 30, 2024, based on their fair values. Securities with sinking funds are reported at average maturity. Actual maturities may differ from contractual maturities because certain securities may be called or prepaid by the issuers.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5"/>
                <w:szCs w:val="15"/>
                <w:color w:val="auto"/>
              </w:rPr>
              <w:t>Securities</w:t>
            </w:r>
          </w:p>
        </w:tc>
        <w:tc>
          <w:tcPr>
            <w:tcW w:w="1340" w:type="dxa"/>
            <w:vAlign w:val="bottom"/>
          </w:tcPr>
          <w:p>
            <w:pPr>
              <w:jc w:val="center"/>
              <w:spacing w:after="0"/>
              <w:rPr>
                <w:sz w:val="20"/>
                <w:szCs w:val="20"/>
                <w:color w:val="auto"/>
              </w:rPr>
            </w:pPr>
            <w:r>
              <w:rPr>
                <w:rFonts w:ascii="Arial" w:cs="Arial" w:eastAsia="Arial" w:hAnsi="Arial"/>
                <w:sz w:val="15"/>
                <w:szCs w:val="15"/>
                <w:color w:val="auto"/>
              </w:rPr>
              <w:t>Securities</w:t>
            </w: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5"/>
                <w:szCs w:val="15"/>
                <w:color w:val="auto"/>
              </w:rPr>
              <w:t>With</w:t>
            </w:r>
          </w:p>
        </w:tc>
        <w:tc>
          <w:tcPr>
            <w:tcW w:w="1340" w:type="dxa"/>
            <w:vAlign w:val="bottom"/>
          </w:tcPr>
          <w:p>
            <w:pPr>
              <w:jc w:val="center"/>
              <w:spacing w:after="0" w:line="149" w:lineRule="exact"/>
              <w:rPr>
                <w:sz w:val="20"/>
                <w:szCs w:val="20"/>
                <w:color w:val="auto"/>
              </w:rPr>
            </w:pPr>
            <w:r>
              <w:rPr>
                <w:rFonts w:ascii="Arial" w:cs="Arial" w:eastAsia="Arial" w:hAnsi="Arial"/>
                <w:sz w:val="15"/>
                <w:szCs w:val="15"/>
                <w:color w:val="auto"/>
                <w:w w:val="99"/>
              </w:rPr>
              <w:t>With</w:t>
            </w:r>
          </w:p>
        </w:tc>
      </w:tr>
      <w:tr>
        <w:trPr>
          <w:trHeight w:val="158"/>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5"/>
                <w:szCs w:val="15"/>
                <w:color w:val="auto"/>
              </w:rPr>
              <w:t>Unrealized</w:t>
            </w:r>
          </w:p>
        </w:tc>
        <w:tc>
          <w:tcPr>
            <w:tcW w:w="1340" w:type="dxa"/>
            <w:vAlign w:val="bottom"/>
          </w:tcPr>
          <w:p>
            <w:pPr>
              <w:jc w:val="center"/>
              <w:spacing w:after="0" w:line="158" w:lineRule="exact"/>
              <w:rPr>
                <w:sz w:val="20"/>
                <w:szCs w:val="20"/>
                <w:color w:val="auto"/>
              </w:rPr>
            </w:pPr>
            <w:r>
              <w:rPr>
                <w:rFonts w:ascii="Arial" w:cs="Arial" w:eastAsia="Arial" w:hAnsi="Arial"/>
                <w:sz w:val="15"/>
                <w:szCs w:val="15"/>
                <w:color w:val="auto"/>
              </w:rPr>
              <w:t>Unrealized</w:t>
            </w: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4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5"/>
                <w:szCs w:val="15"/>
                <w:color w:val="auto"/>
              </w:rPr>
              <w:t>Gains</w:t>
            </w:r>
          </w:p>
        </w:tc>
        <w:tc>
          <w:tcPr>
            <w:tcW w:w="1340" w:type="dxa"/>
            <w:vAlign w:val="bottom"/>
          </w:tcPr>
          <w:p>
            <w:pPr>
              <w:jc w:val="center"/>
              <w:spacing w:after="0"/>
              <w:rPr>
                <w:sz w:val="20"/>
                <w:szCs w:val="20"/>
                <w:color w:val="auto"/>
              </w:rPr>
            </w:pPr>
            <w:r>
              <w:rPr>
                <w:rFonts w:ascii="Arial" w:cs="Arial" w:eastAsia="Arial" w:hAnsi="Arial"/>
                <w:sz w:val="15"/>
                <w:szCs w:val="15"/>
                <w:color w:val="auto"/>
              </w:rPr>
              <w:t>Losses</w:t>
            </w:r>
          </w:p>
        </w:tc>
      </w:tr>
      <w:tr>
        <w:trPr>
          <w:trHeight w:val="192"/>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auto"/>
            </w:tcBorders>
            <w:shd w:val="clear" w:color="auto" w:fill="CCEEFF"/>
          </w:tcPr>
          <w:p>
            <w:pPr>
              <w:spacing w:after="0" w:line="159" w:lineRule="exact"/>
              <w:rPr>
                <w:sz w:val="20"/>
                <w:szCs w:val="20"/>
                <w:color w:val="auto"/>
              </w:rPr>
            </w:pPr>
            <w:r>
              <w:rPr>
                <w:rFonts w:ascii="Arial" w:cs="Arial" w:eastAsia="Arial" w:hAnsi="Arial"/>
                <w:sz w:val="17"/>
                <w:szCs w:val="17"/>
                <w:color w:val="auto"/>
                <w:w w:val="99"/>
              </w:rPr>
              <w:t>Maturity</w:t>
            </w:r>
          </w:p>
        </w:tc>
        <w:tc>
          <w:tcPr>
            <w:tcW w:w="784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Arial" w:cs="Arial" w:eastAsia="Arial" w:hAnsi="Arial"/>
                <w:sz w:val="17"/>
                <w:szCs w:val="17"/>
                <w:color w:val="auto"/>
              </w:rPr>
              <w:t>One year or less</w:t>
            </w: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340" w:type="dxa"/>
            <w:vAlign w:val="bottom"/>
          </w:tcPr>
          <w:p>
            <w:pPr>
              <w:jc w:val="right"/>
              <w:spacing w:after="0"/>
              <w:rPr>
                <w:sz w:val="20"/>
                <w:szCs w:val="20"/>
                <w:color w:val="auto"/>
              </w:rPr>
            </w:pPr>
            <w:r>
              <w:rPr>
                <w:rFonts w:ascii="Arial" w:cs="Arial" w:eastAsia="Arial" w:hAnsi="Arial"/>
                <w:sz w:val="17"/>
                <w:szCs w:val="17"/>
                <w:color w:val="auto"/>
              </w:rPr>
              <w:t>6 %</w:t>
            </w:r>
          </w:p>
        </w:tc>
      </w:tr>
      <w:tr>
        <w:trPr>
          <w:trHeight w:val="232"/>
        </w:trPr>
        <w:tc>
          <w:tcPr>
            <w:tcW w:w="20" w:type="dxa"/>
            <w:vAlign w:val="bottom"/>
            <w:shd w:val="clear" w:color="auto" w:fill="CCEEFF"/>
          </w:tcPr>
          <w:p>
            <w:pPr>
              <w:spacing w:after="0"/>
              <w:rPr>
                <w:sz w:val="20"/>
                <w:szCs w:val="20"/>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After one year through five years</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31 %</w:t>
            </w:r>
          </w:p>
        </w:tc>
      </w:tr>
      <w:tr>
        <w:trPr>
          <w:trHeight w:val="227"/>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Arial" w:cs="Arial" w:eastAsia="Arial" w:hAnsi="Arial"/>
                <w:sz w:val="17"/>
                <w:szCs w:val="17"/>
                <w:color w:val="auto"/>
              </w:rPr>
              <w:t>After five years through ten years</w:t>
            </w:r>
          </w:p>
        </w:tc>
        <w:tc>
          <w:tcPr>
            <w:tcW w:w="1320" w:type="dxa"/>
            <w:vAlign w:val="bottom"/>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9 %</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After ten years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3 %</w:t>
            </w: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39 %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49 %</w:t>
            </w:r>
          </w:p>
        </w:tc>
      </w:tr>
      <w:tr>
        <w:trPr>
          <w:trHeight w:val="232"/>
        </w:trPr>
        <w:tc>
          <w:tcPr>
            <w:tcW w:w="20" w:type="dxa"/>
            <w:vAlign w:val="bottom"/>
            <w:shd w:val="clear" w:color="auto" w:fill="CCEEFF"/>
          </w:tcPr>
          <w:p>
            <w:pPr>
              <w:spacing w:after="0"/>
              <w:rPr>
                <w:sz w:val="20"/>
                <w:szCs w:val="20"/>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Collateralized loan obligations and other asset-backed securities (average life of approximately 3 years)</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32 %</w:t>
            </w:r>
          </w:p>
        </w:tc>
      </w:tr>
      <w:tr>
        <w:trPr>
          <w:trHeight w:val="227"/>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Mortgage-backed securities (average life of approximately 6.5 years)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19 %</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(dollars in millions) summarizes the unrealized gains and losses on fixed maturity securities by dollar amount: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color w:val="auto"/>
              </w:rPr>
              <w:t>Aggregate</w:t>
            </w:r>
          </w:p>
        </w:tc>
        <w:tc>
          <w:tcPr>
            <w:tcW w:w="160" w:type="dxa"/>
            <w:vAlign w:val="bottom"/>
          </w:tcPr>
          <w:p>
            <w:pPr>
              <w:spacing w:after="0"/>
              <w:rPr>
                <w:sz w:val="14"/>
                <w:szCs w:val="14"/>
                <w:color w:val="auto"/>
              </w:rPr>
            </w:pPr>
          </w:p>
        </w:tc>
        <w:tc>
          <w:tcPr>
            <w:tcW w:w="1040" w:type="dxa"/>
            <w:vAlign w:val="bottom"/>
          </w:tcPr>
          <w:p>
            <w:pPr>
              <w:jc w:val="center"/>
              <w:ind w:right="78"/>
              <w:spacing w:after="0"/>
              <w:rPr>
                <w:sz w:val="20"/>
                <w:szCs w:val="20"/>
                <w:color w:val="auto"/>
              </w:rPr>
            </w:pPr>
            <w:r>
              <w:rPr>
                <w:rFonts w:ascii="Arial" w:cs="Arial" w:eastAsia="Arial" w:hAnsi="Arial"/>
                <w:sz w:val="15"/>
                <w:szCs w:val="15"/>
                <w:color w:val="auto"/>
              </w:rPr>
              <w:t>Aggregate</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Fair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8" w:lineRule="exact"/>
              <w:rPr>
                <w:sz w:val="20"/>
                <w:szCs w:val="20"/>
                <w:color w:val="auto"/>
              </w:rPr>
            </w:pPr>
            <w:r>
              <w:rPr>
                <w:rFonts w:ascii="Arial" w:cs="Arial" w:eastAsia="Arial" w:hAnsi="Arial"/>
                <w:sz w:val="15"/>
                <w:szCs w:val="15"/>
                <w:color w:val="auto"/>
              </w:rPr>
              <w:t>Fair</w:t>
            </w:r>
          </w:p>
        </w:tc>
        <w:tc>
          <w:tcPr>
            <w:tcW w:w="160" w:type="dxa"/>
            <w:vAlign w:val="bottom"/>
          </w:tcPr>
          <w:p>
            <w:pPr>
              <w:spacing w:after="0"/>
              <w:rPr>
                <w:sz w:val="13"/>
                <w:szCs w:val="13"/>
                <w:color w:val="auto"/>
              </w:rPr>
            </w:pPr>
          </w:p>
        </w:tc>
        <w:tc>
          <w:tcPr>
            <w:tcW w:w="1040" w:type="dxa"/>
            <w:vAlign w:val="bottom"/>
          </w:tcPr>
          <w:p>
            <w:pPr>
              <w:jc w:val="center"/>
              <w:ind w:right="78"/>
              <w:spacing w:after="0" w:line="158" w:lineRule="exact"/>
              <w:rPr>
                <w:sz w:val="20"/>
                <w:szCs w:val="20"/>
                <w:color w:val="auto"/>
              </w:rPr>
            </w:pPr>
            <w:r>
              <w:rPr>
                <w:rFonts w:ascii="Arial" w:cs="Arial" w:eastAsia="Arial" w:hAnsi="Arial"/>
                <w:sz w:val="15"/>
                <w:szCs w:val="15"/>
                <w:color w:val="auto"/>
              </w:rPr>
              <w:t>Unrealized</w:t>
            </w:r>
          </w:p>
        </w:tc>
        <w:tc>
          <w:tcPr>
            <w:tcW w:w="10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5"/>
                <w:szCs w:val="15"/>
                <w:color w:val="auto"/>
                <w:w w:val="99"/>
              </w:rPr>
              <w:t>Value as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color w:val="auto"/>
                <w:w w:val="98"/>
              </w:rPr>
              <w:t>Value</w:t>
            </w:r>
          </w:p>
        </w:tc>
        <w:tc>
          <w:tcPr>
            <w:tcW w:w="160" w:type="dxa"/>
            <w:vAlign w:val="bottom"/>
          </w:tcPr>
          <w:p>
            <w:pPr>
              <w:spacing w:after="0"/>
              <w:rPr>
                <w:sz w:val="17"/>
                <w:szCs w:val="17"/>
                <w:color w:val="auto"/>
              </w:rPr>
            </w:pPr>
          </w:p>
        </w:tc>
        <w:tc>
          <w:tcPr>
            <w:tcW w:w="1040" w:type="dxa"/>
            <w:vAlign w:val="bottom"/>
          </w:tcPr>
          <w:p>
            <w:pPr>
              <w:jc w:val="center"/>
              <w:ind w:right="78"/>
              <w:spacing w:after="0"/>
              <w:rPr>
                <w:sz w:val="20"/>
                <w:szCs w:val="20"/>
                <w:color w:val="auto"/>
              </w:rPr>
            </w:pPr>
            <w:r>
              <w:rPr>
                <w:rFonts w:ascii="Arial" w:cs="Arial" w:eastAsia="Arial" w:hAnsi="Arial"/>
                <w:sz w:val="15"/>
                <w:szCs w:val="15"/>
                <w:color w:val="auto"/>
              </w:rPr>
              <w:t>Gain (Loss)</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 of Cost</w:t>
            </w:r>
          </w:p>
        </w:tc>
        <w:tc>
          <w:tcPr>
            <w:tcW w:w="0" w:type="dxa"/>
            <w:vAlign w:val="bottom"/>
          </w:tcPr>
          <w:p>
            <w:pPr>
              <w:spacing w:after="0"/>
              <w:rPr>
                <w:sz w:val="1"/>
                <w:szCs w:val="1"/>
                <w:color w:val="auto"/>
              </w:rPr>
            </w:pPr>
          </w:p>
        </w:tc>
      </w:tr>
      <w:tr>
        <w:trPr>
          <w:trHeight w:val="193"/>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540" w:type="dxa"/>
            <w:vAlign w:val="bottom"/>
            <w:tcBorders>
              <w:top w:val="single" w:sz="8" w:color="CCEEFF"/>
              <w:bottom w:val="single" w:sz="8" w:color="auto"/>
            </w:tcBorders>
            <w:shd w:val="clear" w:color="auto" w:fill="CCEEFF"/>
          </w:tcPr>
          <w:p>
            <w:pPr>
              <w:spacing w:after="0" w:line="159" w:lineRule="exact"/>
              <w:rPr>
                <w:sz w:val="20"/>
                <w:szCs w:val="20"/>
                <w:color w:val="auto"/>
              </w:rPr>
            </w:pPr>
            <w:r>
              <w:rPr>
                <w:rFonts w:ascii="Arial" w:cs="Arial" w:eastAsia="Arial" w:hAnsi="Arial"/>
                <w:sz w:val="17"/>
                <w:szCs w:val="17"/>
                <w:color w:val="auto"/>
              </w:rPr>
              <w:t>Fixed Maturities at June 30, 2024</w:t>
            </w:r>
          </w:p>
        </w:tc>
        <w:tc>
          <w:tcPr>
            <w:tcW w:w="47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7"/>
                <w:szCs w:val="17"/>
                <w:b w:val="1"/>
                <w:bCs w:val="1"/>
                <w:color w:val="auto"/>
              </w:rPr>
              <w:t>Securities with unrealized gains: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Exceeding $500,000 (32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105 %</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$500,000 or less (647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102 %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102 %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Securities with unrealized losses: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Exceeding $500,000 (229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89 %</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$500,000 or less (1,215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97 %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The following table (dollars in millions) summarizes the unrealized losses for all securities with unrealized losses by issuer quality and the length of time those securities have been in an unrealized loss position: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color w:val="auto"/>
              </w:rPr>
              <w:t>Aggregate</w:t>
            </w:r>
          </w:p>
        </w:tc>
        <w:tc>
          <w:tcPr>
            <w:tcW w:w="180" w:type="dxa"/>
            <w:vAlign w:val="bottom"/>
          </w:tcPr>
          <w:p>
            <w:pPr>
              <w:spacing w:after="0"/>
              <w:rPr>
                <w:sz w:val="14"/>
                <w:szCs w:val="14"/>
                <w:color w:val="auto"/>
              </w:rPr>
            </w:pPr>
          </w:p>
        </w:tc>
        <w:tc>
          <w:tcPr>
            <w:tcW w:w="1020" w:type="dxa"/>
            <w:vAlign w:val="bottom"/>
          </w:tcPr>
          <w:p>
            <w:pPr>
              <w:jc w:val="center"/>
              <w:ind w:right="98"/>
              <w:spacing w:after="0"/>
              <w:rPr>
                <w:sz w:val="20"/>
                <w:szCs w:val="20"/>
                <w:color w:val="auto"/>
              </w:rPr>
            </w:pPr>
            <w:r>
              <w:rPr>
                <w:rFonts w:ascii="Arial" w:cs="Arial" w:eastAsia="Arial" w:hAnsi="Arial"/>
                <w:sz w:val="15"/>
                <w:szCs w:val="15"/>
                <w:color w:val="auto"/>
              </w:rPr>
              <w:t>Aggregate</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5"/>
                <w:szCs w:val="15"/>
                <w:color w:val="auto"/>
              </w:rPr>
              <w:t>Fair</w:t>
            </w:r>
          </w:p>
        </w:tc>
        <w:tc>
          <w:tcPr>
            <w:tcW w:w="180" w:type="dxa"/>
            <w:vAlign w:val="bottom"/>
          </w:tcPr>
          <w:p>
            <w:pPr>
              <w:spacing w:after="0"/>
              <w:rPr>
                <w:sz w:val="12"/>
                <w:szCs w:val="12"/>
                <w:color w:val="auto"/>
              </w:rPr>
            </w:pPr>
          </w:p>
        </w:tc>
        <w:tc>
          <w:tcPr>
            <w:tcW w:w="1020" w:type="dxa"/>
            <w:vAlign w:val="bottom"/>
          </w:tcPr>
          <w:p>
            <w:pPr>
              <w:jc w:val="center"/>
              <w:ind w:right="98"/>
              <w:spacing w:after="0" w:line="149" w:lineRule="exact"/>
              <w:rPr>
                <w:sz w:val="20"/>
                <w:szCs w:val="20"/>
                <w:color w:val="auto"/>
              </w:rPr>
            </w:pPr>
            <w:r>
              <w:rPr>
                <w:rFonts w:ascii="Arial" w:cs="Arial" w:eastAsia="Arial" w:hAnsi="Arial"/>
                <w:sz w:val="15"/>
                <w:szCs w:val="15"/>
                <w:color w:val="auto"/>
              </w:rPr>
              <w:t>Unrealized</w:t>
            </w:r>
          </w:p>
        </w:tc>
        <w:tc>
          <w:tcPr>
            <w:tcW w:w="1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5"/>
                <w:szCs w:val="15"/>
                <w:color w:val="auto"/>
                <w:w w:val="99"/>
              </w:rPr>
              <w:t>Value as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color w:val="auto"/>
                <w:w w:val="98"/>
              </w:rPr>
              <w:t>Value</w:t>
            </w:r>
          </w:p>
        </w:tc>
        <w:tc>
          <w:tcPr>
            <w:tcW w:w="180" w:type="dxa"/>
            <w:vAlign w:val="bottom"/>
          </w:tcPr>
          <w:p>
            <w:pPr>
              <w:spacing w:after="0"/>
              <w:rPr>
                <w:sz w:val="18"/>
                <w:szCs w:val="18"/>
                <w:color w:val="auto"/>
              </w:rPr>
            </w:pPr>
          </w:p>
        </w:tc>
        <w:tc>
          <w:tcPr>
            <w:tcW w:w="1020" w:type="dxa"/>
            <w:vAlign w:val="bottom"/>
          </w:tcPr>
          <w:p>
            <w:pPr>
              <w:jc w:val="center"/>
              <w:ind w:right="98"/>
              <w:spacing w:after="0"/>
              <w:rPr>
                <w:sz w:val="20"/>
                <w:szCs w:val="20"/>
                <w:color w:val="auto"/>
              </w:rPr>
            </w:pPr>
            <w:r>
              <w:rPr>
                <w:rFonts w:ascii="Arial" w:cs="Arial" w:eastAsia="Arial" w:hAnsi="Arial"/>
                <w:sz w:val="15"/>
                <w:szCs w:val="15"/>
                <w:color w:val="auto"/>
              </w:rPr>
              <w:t>Loss</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 of Cost</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680" w:type="dxa"/>
            <w:vAlign w:val="bottom"/>
            <w:tcBorders>
              <w:top w:val="single" w:sz="8" w:color="CCEEFF"/>
              <w:bottom w:val="single" w:sz="8" w:color="auto"/>
            </w:tcBorders>
            <w:shd w:val="clear" w:color="auto" w:fill="CCEEFF"/>
          </w:tcPr>
          <w:p>
            <w:pPr>
              <w:spacing w:after="0" w:line="162" w:lineRule="exact"/>
              <w:rPr>
                <w:sz w:val="20"/>
                <w:szCs w:val="20"/>
                <w:color w:val="auto"/>
              </w:rPr>
            </w:pPr>
            <w:r>
              <w:rPr>
                <w:rFonts w:ascii="Arial" w:cs="Arial" w:eastAsia="Arial" w:hAnsi="Arial"/>
                <w:sz w:val="16"/>
                <w:szCs w:val="16"/>
                <w:color w:val="auto"/>
              </w:rPr>
              <w:t>Securities with Unrealized Losses at June 30, 2024</w:t>
            </w:r>
          </w:p>
        </w:tc>
        <w:tc>
          <w:tcPr>
            <w:tcW w:w="36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Investment grade fixed maturities with losses for:</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Less than one year (231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99 %</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One year or longer (1,018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(413)</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92 %</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Non-investment grade fixed maturities with losses for: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7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Less than one year (29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One year or longer (166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92 %</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When a decline in the value of a specific investment is considered to be other-than-temporary, an allowance for credit losses (impairment) is charged to earnings (accounted for as a realized loss). The determination of whether unrealized losses are other-than-temporary requires judgment based on subjective as well as objective factors as detailed in AFG’s 2023 Form 10-K under </w:t>
      </w:r>
      <w:r>
        <w:rPr>
          <w:rFonts w:ascii="Arial" w:cs="Arial" w:eastAsia="Arial" w:hAnsi="Arial"/>
          <w:sz w:val="17"/>
          <w:szCs w:val="17"/>
          <w:i w:val="1"/>
          <w:iCs w:val="1"/>
          <w:color w:val="auto"/>
        </w:rPr>
        <w:t>Management’s Discussion and Analysis — “Investments.”</w:t>
      </w:r>
    </w:p>
    <w:p>
      <w:pPr>
        <w:spacing w:after="0" w:line="19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 xml:space="preserve">Based on its analysis, management believes AFG will recover its cost basis (net of any allowance) in the fixed maturity securities with unrealized losses and that AFG has the ability to hold the securities until they recover in value and had no intent to sell them at June 30, 2024. Although AFG has the ability to continue holding its fixed maturity investments with unrealized losses, its intent to hold them may change due to deterioration in the issuers’ creditworthiness, decisions to lessen exposure to a particular issuer or industry, asset/liability management decisions, market movements, changes in views about appropriate asset allocation or the desire to offset taxable realized gains. Should AFG’s ability or intent change regarding a particular security, a charge for impairment would likely be required. While it is not possible to accurately predict if or when a specific security will become impaired, increases in the allowance for credit losses could be material to results of operations in future periods. Significant declines in the fair value of AFG’s investment portfolio could have a significant adverse effect on AFG’s liquidity. For information on AFG’s realized gains (losses) on securities, see </w:t>
      </w:r>
      <w:r>
        <w:rPr>
          <w:rFonts w:ascii="Arial" w:cs="Arial" w:eastAsia="Arial" w:hAnsi="Arial"/>
          <w:sz w:val="17"/>
          <w:szCs w:val="17"/>
          <w:i w:val="1"/>
          <w:iCs w:val="1"/>
          <w:color w:val="auto"/>
        </w:rPr>
        <w:t>“Results of Operations — Realized Gains (Losses) on Securities.”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Uncertainties</w:t>
      </w:r>
    </w:p>
    <w:p>
      <w:pPr>
        <w:spacing w:after="0" w:line="41"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 xml:space="preserve">Management believes that the areas posing the greatest risk of material loss are the adequacy of its insurance reserves and contingencies arising out of its former railroad and manufacturing operations. See </w:t>
      </w:r>
      <w:r>
        <w:rPr>
          <w:rFonts w:ascii="Arial" w:cs="Arial" w:eastAsia="Arial" w:hAnsi="Arial"/>
          <w:sz w:val="17"/>
          <w:szCs w:val="17"/>
          <w:i w:val="1"/>
          <w:iCs w:val="1"/>
          <w:color w:val="auto"/>
        </w:rPr>
        <w:t>Management’s Discussion and Analysis — “Uncertainties — Asbestos and</w:t>
      </w:r>
      <w:r>
        <w:rPr>
          <w:rFonts w:ascii="Arial" w:cs="Arial" w:eastAsia="Arial" w:hAnsi="Arial"/>
          <w:sz w:val="17"/>
          <w:szCs w:val="17"/>
          <w:color w:val="auto"/>
        </w:rPr>
        <w:t xml:space="preserve"> </w:t>
      </w:r>
      <w:r>
        <w:rPr>
          <w:rFonts w:ascii="Arial" w:cs="Arial" w:eastAsia="Arial" w:hAnsi="Arial"/>
          <w:sz w:val="17"/>
          <w:szCs w:val="17"/>
          <w:i w:val="1"/>
          <w:iCs w:val="1"/>
          <w:color w:val="auto"/>
        </w:rPr>
        <w:t>Environmental-related (“A&amp;E”) Insurance Reserves</w:t>
      </w:r>
      <w:r>
        <w:rPr>
          <w:rFonts w:ascii="Arial" w:cs="Arial" w:eastAsia="Arial" w:hAnsi="Arial"/>
          <w:sz w:val="17"/>
          <w:szCs w:val="17"/>
          <w:color w:val="auto"/>
        </w:rPr>
        <w:t>” in AFG’s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MANAGED INVESTMENT ENTITIES</w:t>
      </w:r>
    </w:p>
    <w:p>
      <w:pPr>
        <w:spacing w:after="0" w:line="272"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 xml:space="preserve">Accounting standards require AFG to consolidate its investments in collateralized loan obligation (“CLO”) entities that it manages and owns an interest in (in the form of debt). See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G — “Managed Investment Entities”</w:t>
      </w:r>
      <w:r>
        <w:rPr>
          <w:rFonts w:ascii="Arial" w:cs="Arial" w:eastAsia="Arial" w:hAnsi="Arial"/>
          <w:sz w:val="17"/>
          <w:szCs w:val="17"/>
          <w:color w:val="auto"/>
        </w:rPr>
        <w:t xml:space="preserve"> to the financial statements. The effect of consolidating these entities is shown in the tables below (in millions). The “Before CLO Consolidation” columns include AFG’s investment and earnings in the CLOs on an unconsolidated basis.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BALANCE SHEET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20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color w:val="auto"/>
              </w:rPr>
              <w:t>Consol.</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rPr>
              <w:t>Consolidation</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200" w:type="dxa"/>
            <w:vAlign w:val="bottom"/>
          </w:tcPr>
          <w:p>
            <w:pPr>
              <w:spacing w:after="0"/>
              <w:rPr>
                <w:sz w:val="16"/>
                <w:szCs w:val="16"/>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Entries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June 30, 2024</w:t>
            </w:r>
          </w:p>
        </w:tc>
        <w:tc>
          <w:tcPr>
            <w:tcW w:w="47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2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spacing w:after="0"/>
              <w:rPr>
                <w:sz w:val="20"/>
                <w:szCs w:val="20"/>
                <w:color w:val="auto"/>
              </w:rPr>
            </w:pPr>
            <w:r>
              <w:rPr>
                <w:rFonts w:ascii="Arial" w:cs="Arial" w:eastAsia="Arial" w:hAnsi="Arial"/>
                <w:sz w:val="14"/>
                <w:szCs w:val="14"/>
                <w:color w:val="auto"/>
              </w:rPr>
              <w:t>Assets: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Cash and investments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Assets of managed investment entities</w:t>
            </w: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4,695</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760" w:type="dxa"/>
            <w:vAlign w:val="bottom"/>
            <w:gridSpan w:val="2"/>
          </w:tcPr>
          <w:p>
            <w:pPr>
              <w:ind w:left="18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25,377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4,695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7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29,913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Unpaid losses and loss adjustment expenses and unearned premiums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16,423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16,423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Liabilities of managed investment entities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Long-term debt and other liabilities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4,570</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47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20,993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Common Stock and Capital surplus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1,476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3,239</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4"/>
                <w:szCs w:val="14"/>
                <w:color w:val="auto"/>
              </w:rPr>
              <w:t>Accumulated other comprehensive income (loss), net of tax</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7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shareholders’ equity</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760" w:type="dxa"/>
            <w:vAlign w:val="bottom"/>
            <w:gridSpan w:val="2"/>
          </w:tcPr>
          <w:p>
            <w:pPr>
              <w:ind w:left="18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25,377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4,695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7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29,913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gridSpan w:val="3"/>
          </w:tcPr>
          <w:p>
            <w:pPr>
              <w:spacing w:after="0"/>
              <w:rPr>
                <w:sz w:val="20"/>
                <w:szCs w:val="20"/>
                <w:color w:val="auto"/>
              </w:rPr>
            </w:pPr>
            <w:r>
              <w:rPr>
                <w:rFonts w:ascii="Arial" w:cs="Arial" w:eastAsia="Arial" w:hAnsi="Arial"/>
                <w:sz w:val="14"/>
                <w:szCs w:val="14"/>
                <w:color w:val="auto"/>
              </w:rPr>
              <w:t>December 31, 2023</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Cash and investments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15,438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(175)</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15,263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Assets of managed investment entities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10,040</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47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56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Unpaid losses and loss adjustment expenses and unearned premiums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Liabilities of managed investment entities</w:t>
            </w: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(139)</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4,307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Long-term debt and other liabilities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760" w:type="dxa"/>
            <w:vAlign w:val="bottom"/>
            <w:gridSpan w:val="2"/>
          </w:tcPr>
          <w:p>
            <w:pPr>
              <w:ind w:left="18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21,222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4,446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7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25,529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Common Stock and Capital surplus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3,121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income (loss), net of tax</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47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4,258</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7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4,258</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Elimination of the fair value of AFG’s investment in CLOs and related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STATEMENT OF EARNINGS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140" w:type="dxa"/>
            <w:vAlign w:val="bottom"/>
          </w:tcPr>
          <w:p>
            <w:pPr>
              <w:spacing w:after="0"/>
              <w:rPr>
                <w:sz w:val="14"/>
                <w:szCs w:val="14"/>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Consol.</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Consol. (a)</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Entries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61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Three months ended June 30, 2024</w:t>
            </w: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tcPr>
          <w:p>
            <w:pPr>
              <w:spacing w:after="0"/>
              <w:rPr>
                <w:sz w:val="17"/>
                <w:szCs w:val="17"/>
                <w:color w:val="auto"/>
              </w:rPr>
            </w:pPr>
          </w:p>
        </w:tc>
        <w:tc>
          <w:tcPr>
            <w:tcW w:w="22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Revenues:</w:t>
            </w:r>
          </w:p>
        </w:tc>
        <w:tc>
          <w:tcPr>
            <w:tcW w:w="39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1,443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Net earnings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7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Three months ended June 30, 2023</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1,507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1,507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760" w:type="dxa"/>
            <w:vAlign w:val="bottom"/>
          </w:tcPr>
          <w:p>
            <w:pPr>
              <w:ind w:left="10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760" w:type="dxa"/>
            <w:vAlign w:val="bottom"/>
          </w:tcPr>
          <w:p>
            <w:pPr>
              <w:ind w:left="100"/>
              <w:spacing w:after="0"/>
              <w:rPr>
                <w:sz w:val="20"/>
                <w:szCs w:val="20"/>
                <w:color w:val="auto"/>
              </w:rPr>
            </w:pPr>
            <w:r>
              <w:rPr>
                <w:rFonts w:ascii="Arial" w:cs="Arial" w:eastAsia="Arial" w:hAnsi="Arial"/>
                <w:sz w:val="14"/>
                <w:szCs w:val="14"/>
                <w:color w:val="auto"/>
              </w:rPr>
              <w:t>(b)(c)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180" w:type="dxa"/>
            <w:vAlign w:val="bottom"/>
            <w:tcBorders>
              <w:bottom w:val="single" w:sz="8" w:color="CCEEFF"/>
            </w:tcBorders>
            <w:gridSpan w:val="2"/>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1,482</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7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1,585</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0" w:right="100" w:hanging="412"/>
        <w:spacing w:after="0" w:line="261"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income of $9 million in the second quarter of 2024 and $5 million in the second quarter of 2023, representing the change in fair value of AFG’s CLO investments and $3 million and $4 million in the second quarter of 2024 and 2023, respectively, in CLO management fees earned.</w:t>
      </w:r>
    </w:p>
    <w:p>
      <w:pPr>
        <w:spacing w:after="0" w:line="1" w:lineRule="exact"/>
        <w:rPr>
          <w:rFonts w:ascii="Arial" w:cs="Arial" w:eastAsia="Arial" w:hAnsi="Arial"/>
          <w:sz w:val="14"/>
          <w:szCs w:val="14"/>
          <w:color w:val="auto"/>
        </w:rPr>
      </w:pPr>
    </w:p>
    <w:p>
      <w:pPr>
        <w:ind w:left="420" w:right="440" w:hanging="412"/>
        <w:spacing w:after="0" w:line="261"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Elimination of the change in fair value of AFG’s investments in the CLOs, including $9 million and $7 million in the second quarter of 2024 and 2023, respectively, in distributions recorded as interest expense by the CLOs.</w:t>
      </w:r>
    </w:p>
    <w:p>
      <w:pPr>
        <w:ind w:left="400" w:hanging="392"/>
        <w:spacing w:after="0"/>
        <w:tabs>
          <w:tab w:leader="none" w:pos="4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Elimination of management fees earned by AFG.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CONDENSED CONSOLIDATING STATEMENT OF EARNINGS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140" w:type="dxa"/>
            <w:vAlign w:val="bottom"/>
          </w:tcPr>
          <w:p>
            <w:pPr>
              <w:spacing w:after="0"/>
              <w:rPr>
                <w:sz w:val="14"/>
                <w:szCs w:val="14"/>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Consol.</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Consol. (a)</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Entries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61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Six months ended June 30, 2024</w:t>
            </w: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Revenues:</w:t>
            </w:r>
          </w:p>
        </w:tc>
        <w:tc>
          <w:tcPr>
            <w:tcW w:w="40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3,624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3,806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2,858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Net earnings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7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4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Six months ended June 30, 2023</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2,944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2,944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760" w:type="dxa"/>
            <w:vAlign w:val="bottom"/>
          </w:tcPr>
          <w:p>
            <w:pPr>
              <w:ind w:left="10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w:t>
            </w:r>
          </w:p>
        </w:tc>
        <w:tc>
          <w:tcPr>
            <w:tcW w:w="760" w:type="dxa"/>
            <w:vAlign w:val="bottom"/>
          </w:tcPr>
          <w:p>
            <w:pPr>
              <w:ind w:left="100"/>
              <w:spacing w:after="0"/>
              <w:rPr>
                <w:sz w:val="20"/>
                <w:szCs w:val="20"/>
                <w:color w:val="auto"/>
              </w:rPr>
            </w:pPr>
            <w:r>
              <w:rPr>
                <w:rFonts w:ascii="Arial" w:cs="Arial" w:eastAsia="Arial" w:hAnsi="Arial"/>
                <w:sz w:val="14"/>
                <w:szCs w:val="14"/>
                <w:color w:val="auto"/>
              </w:rPr>
              <w:t>(b)(c)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180" w:type="dxa"/>
            <w:vAlign w:val="bottom"/>
            <w:tcBorders>
              <w:bottom w:val="single" w:sz="8" w:color="CCEEFF"/>
            </w:tcBorders>
            <w:gridSpan w:val="2"/>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2,863</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7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3,061</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0" w:right="20" w:hanging="412"/>
        <w:spacing w:after="0" w:line="261" w:lineRule="auto"/>
        <w:tabs>
          <w:tab w:leader="none" w:pos="407"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income of $23 million in the first six months of 2024 and $6 million in the first six months of 2023, representing the change in fair value of AFG’s CLO investments and $6 million and $8 million of income in the first six months of 2024 and 2023, respectively, in CLO management fees earned.</w:t>
      </w:r>
    </w:p>
    <w:p>
      <w:pPr>
        <w:spacing w:after="0" w:line="1" w:lineRule="exact"/>
        <w:rPr>
          <w:rFonts w:ascii="Arial" w:cs="Arial" w:eastAsia="Arial" w:hAnsi="Arial"/>
          <w:sz w:val="14"/>
          <w:szCs w:val="14"/>
          <w:color w:val="auto"/>
        </w:rPr>
      </w:pPr>
    </w:p>
    <w:p>
      <w:pPr>
        <w:ind w:left="420" w:right="300" w:hanging="412"/>
        <w:spacing w:after="0" w:line="261" w:lineRule="auto"/>
        <w:tabs>
          <w:tab w:leader="none" w:pos="407" w:val="left"/>
        </w:tabs>
        <w:numPr>
          <w:ilvl w:val="0"/>
          <w:numId w:val="31"/>
        </w:numPr>
        <w:rPr>
          <w:rFonts w:ascii="Arial" w:cs="Arial" w:eastAsia="Arial" w:hAnsi="Arial"/>
          <w:sz w:val="14"/>
          <w:szCs w:val="14"/>
          <w:color w:val="auto"/>
        </w:rPr>
      </w:pPr>
      <w:r>
        <w:rPr>
          <w:rFonts w:ascii="Arial" w:cs="Arial" w:eastAsia="Arial" w:hAnsi="Arial"/>
          <w:sz w:val="14"/>
          <w:szCs w:val="14"/>
          <w:color w:val="auto"/>
        </w:rPr>
        <w:t>Elimination of the change in fair value of AFG’s investments in the CLOs, including $18 million and $11 million in the first six months of 2024 and 2023, respectively, in distributions recorded as interest expense by the CLOs.</w:t>
      </w:r>
    </w:p>
    <w:p>
      <w:pPr>
        <w:ind w:left="400" w:hanging="392"/>
        <w:spacing w:after="0"/>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Elimination of management fees earned by AFG.</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General</w:t>
      </w:r>
    </w:p>
    <w:p>
      <w:pPr>
        <w:spacing w:after="0" w:line="28"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Core net operating earnings excludes realized gains (losses) on securities because such gains and losses are influenced significantly by financial markets, interest rates and the timing of sales. In addition, special charges related to coverage that AFG no longer writes, such as asbestos and environmental exposures, are excluded from core earnings.</w:t>
      </w:r>
    </w:p>
    <w:p>
      <w:pPr>
        <w:spacing w:after="0" w:line="207"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The following table (in millions, except per share amounts) identifies non-core items and reconciles net earnings to core net operating earnings, a non-GAAP financial measure. AFG believes core net operating earnings is a useful tool for investors and analysts in analyzing ongoing operating trends and for management to evaluate financial performance against historical results because it believes this provides a more comparable measure of its continuing business.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8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color w:val="auto"/>
              </w:rPr>
              <w:t>Six months ended June 30,</w:t>
            </w:r>
          </w:p>
        </w:tc>
      </w:tr>
      <w:tr>
        <w:trPr>
          <w:trHeight w:val="196"/>
        </w:trPr>
        <w:tc>
          <w:tcPr>
            <w:tcW w:w="51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2023</w:t>
            </w:r>
          </w:p>
        </w:tc>
      </w:tr>
      <w:tr>
        <w:trPr>
          <w:trHeight w:val="20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earnings:</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Core operating earnings before income taxes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8"/>
                <w:szCs w:val="18"/>
                <w:color w:val="auto"/>
              </w:rPr>
            </w:pPr>
          </w:p>
        </w:tc>
        <w:tc>
          <w:tcPr>
            <w:tcW w:w="960" w:type="dxa"/>
            <w:vAlign w:val="bottom"/>
          </w:tcPr>
          <w:p>
            <w:pPr>
              <w:jc w:val="right"/>
              <w:ind w:right="780"/>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566</w:t>
            </w:r>
          </w:p>
        </w:tc>
      </w:tr>
      <w:tr>
        <w:trPr>
          <w:trHeight w:val="217"/>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Pretax non-core items: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Gain (loss) on retirement of debt</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Other (*)</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1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Earnings before income taxes</w:t>
            </w: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Provision for income taxes: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Core operating earnings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5"/>
        </w:trPr>
        <w:tc>
          <w:tcPr>
            <w:tcW w:w="5180" w:type="dxa"/>
            <w:vAlign w:val="bottom"/>
          </w:tcPr>
          <w:p>
            <w:pPr>
              <w:ind w:left="440"/>
              <w:spacing w:after="0"/>
              <w:rPr>
                <w:sz w:val="20"/>
                <w:szCs w:val="20"/>
                <w:color w:val="auto"/>
              </w:rPr>
            </w:pPr>
            <w:r>
              <w:rPr>
                <w:rFonts w:ascii="Arial" w:cs="Arial" w:eastAsia="Arial" w:hAnsi="Arial"/>
                <w:sz w:val="16"/>
                <w:szCs w:val="16"/>
                <w:color w:val="auto"/>
              </w:rPr>
              <w:t>Non-core items: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5180" w:type="dxa"/>
            <w:vAlign w:val="bottom"/>
          </w:tcPr>
          <w:p>
            <w:pPr>
              <w:ind w:left="680"/>
              <w:spacing w:after="0"/>
              <w:rPr>
                <w:sz w:val="20"/>
                <w:szCs w:val="20"/>
                <w:color w:val="auto"/>
              </w:rPr>
            </w:pPr>
            <w:r>
              <w:rPr>
                <w:rFonts w:ascii="Arial" w:cs="Arial" w:eastAsia="Arial" w:hAnsi="Arial"/>
                <w:sz w:val="16"/>
                <w:szCs w:val="16"/>
                <w:color w:val="auto"/>
              </w:rPr>
              <w:t>Gain (loss) on retirement of debt</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18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Total provision for income taxes</w:t>
            </w:r>
          </w:p>
        </w:tc>
        <w:tc>
          <w:tcPr>
            <w:tcW w:w="9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w:t>
            </w:r>
          </w:p>
        </w:tc>
      </w:tr>
      <w:tr>
        <w:trPr>
          <w:trHeight w:val="235"/>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Core net operating earnings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960" w:type="dxa"/>
            <w:vAlign w:val="bottom"/>
          </w:tcPr>
          <w:p>
            <w:pPr>
              <w:jc w:val="right"/>
              <w:ind w:right="780"/>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449</w:t>
            </w:r>
          </w:p>
        </w:tc>
      </w:tr>
      <w:tr>
        <w:trPr>
          <w:trHeight w:val="217"/>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5180" w:type="dxa"/>
            <w:vAlign w:val="bottom"/>
          </w:tcPr>
          <w:p>
            <w:pPr>
              <w:ind w:left="260"/>
              <w:spacing w:after="0"/>
              <w:rPr>
                <w:sz w:val="20"/>
                <w:szCs w:val="20"/>
                <w:color w:val="auto"/>
              </w:rPr>
            </w:pPr>
            <w:r>
              <w:rPr>
                <w:rFonts w:ascii="Arial" w:cs="Arial" w:eastAsia="Arial" w:hAnsi="Arial"/>
                <w:sz w:val="16"/>
                <w:szCs w:val="16"/>
                <w:color w:val="auto"/>
              </w:rPr>
              <w:t>Gain (loss) on retirement of debt</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412</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Diluted per share amounts: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Core net operating earnings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r>
      <w:tr>
        <w:trPr>
          <w:trHeight w:val="215"/>
        </w:trPr>
        <w:tc>
          <w:tcPr>
            <w:tcW w:w="5180" w:type="dxa"/>
            <w:vAlign w:val="bottom"/>
          </w:tcPr>
          <w:p>
            <w:pPr>
              <w:ind w:left="36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(0.45)</w:t>
            </w:r>
          </w:p>
        </w:tc>
      </w:tr>
      <w:tr>
        <w:trPr>
          <w:trHeight w:val="217"/>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(loss) on retirement of debt</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15"/>
        </w:trPr>
        <w:tc>
          <w:tcPr>
            <w:tcW w:w="5180" w:type="dxa"/>
            <w:vAlign w:val="bottom"/>
          </w:tcPr>
          <w:p>
            <w:pPr>
              <w:ind w:left="360"/>
              <w:spacing w:after="0"/>
              <w:rPr>
                <w:sz w:val="20"/>
                <w:szCs w:val="20"/>
                <w:color w:val="auto"/>
              </w:rPr>
            </w:pPr>
            <w:r>
              <w:rPr>
                <w:rFonts w:ascii="Arial" w:cs="Arial" w:eastAsia="Arial" w:hAnsi="Arial"/>
                <w:sz w:val="16"/>
                <w:szCs w:val="16"/>
                <w:color w:val="auto"/>
              </w:rPr>
              <w:t>Other (*)</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6"/>
          <w:szCs w:val="16"/>
          <w:color w:val="auto"/>
        </w:rPr>
      </w:pPr>
      <w:r>
        <w:rPr>
          <w:rFonts w:ascii="Arial" w:cs="Arial" w:eastAsia="Arial" w:hAnsi="Arial"/>
          <w:sz w:val="17"/>
          <w:szCs w:val="17"/>
          <w:color w:val="auto"/>
        </w:rPr>
        <w:t>Adjustment to net income tax expense related to the sale of a subsidiary in a prior year.</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Net earnings were $209 million in the second quarter of 2024 compared to $200 million in the second quarter of 2023 reflecting higher core net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operating earnings. Core net operating earnings for the second quarter of 2024 increased $13 million compared to the second quarter of 2023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reflecting higher underwriting profit. Net realized gains (losses) on securities in the second quarter of 2024 and 2023 include after-tax losses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$2 million and after-tax gains of $1 million, respectively, resulting from the change in fair value of equity securities that were still held at the balance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sheet date.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Net earnings were $451 million in the first six months of 2024 compared to $412 million in the first six months of 2023 reflecting net realized gains on securities in the first six months of 2024 compared to net realized losses on securities in the first six months of 2023, partially offset by lower core net operating earnings. Core net operating earnings for the first six months of 2024 decreased $3 million compared to the first six months of 2023.</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Higher underwriting profit and higher investment income outside of alternative investments was more than offset by lower returns on AFG’s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alternative investment portfolio. Net realized gains (losses) on securities in the first six months of 2024 and 2023 include after-tax gains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$14 million and after-tax losses of $17 million, respectively, resulting from the change in fair value of equity securities that were still held at the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balance sheet date.</w:t>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RESULTS OF OPERATIONS — THREE MONTHS ENDED JUNE 30, 2024 AND 2023</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Segmented Statement of Earnings</w:t>
      </w:r>
    </w:p>
    <w:p>
      <w:pPr>
        <w:spacing w:after="0" w:line="28"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AFG reports its operations as two segments: (i) Property and casualty insurance (“P&amp;C”) and (ii) Other, which includes holding company costs and income and expenses related to the managed investment entities (“MIEs”).</w:t>
      </w:r>
    </w:p>
    <w:p>
      <w:pPr>
        <w:spacing w:after="0" w:line="21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The following tables for the three months ended June 30, 2024 and 2023 identify such items by segment and reconcile net earnings to core net operating earnings, a non-GAAP financial measure that AFG believes is a useful tool for investors and analysts in analyzing ongoing operating trends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40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June 30, 2024</w:t>
            </w:r>
          </w:p>
        </w:tc>
        <w:tc>
          <w:tcPr>
            <w:tcW w:w="35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40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June 30, 2023</w:t>
            </w:r>
          </w:p>
        </w:tc>
        <w:tc>
          <w:tcPr>
            <w:tcW w:w="35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 on retirement of debt, net of tax</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right="740" w:hanging="412"/>
        <w:spacing w:after="0" w:line="286" w:lineRule="auto"/>
        <w:tabs>
          <w:tab w:leader="none" w:pos="415"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See the reconciliation of core earnings to GAAP net earnings under “</w:t>
      </w:r>
      <w:r>
        <w:rPr>
          <w:rFonts w:ascii="Arial" w:cs="Arial" w:eastAsia="Arial" w:hAnsi="Arial"/>
          <w:sz w:val="16"/>
          <w:szCs w:val="16"/>
          <w:i w:val="1"/>
          <w:iCs w:val="1"/>
          <w:color w:val="auto"/>
        </w:rPr>
        <w:t>Results of Operations — General”</w:t>
      </w:r>
      <w:r>
        <w:rPr>
          <w:rFonts w:ascii="Arial" w:cs="Arial" w:eastAsia="Arial" w:hAnsi="Arial"/>
          <w:sz w:val="16"/>
          <w:szCs w:val="16"/>
          <w:color w:val="auto"/>
        </w:rPr>
        <w:t xml:space="preserve"> for details on the tax impacts of these reconciling items.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Property and Casualty Insurance Segment — Results of Operations</w:t>
      </w:r>
    </w:p>
    <w:p>
      <w:pPr>
        <w:spacing w:after="0" w:line="2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Performance measures such as underwriting profit or loss and related combined ratios are often used by property and casualty insurers to help users of their financial statements better understand the company’s performance. Underwriting profitability is measured by the combined ratio, which is a sum of the ratios of losses and loss adjustment expenses, and commissions and other underwriting expenses to premiums. A combined ratio under 100% indicates an underwriting profit. The combined ratio does not reflect net investment income, other income, other expenses or federal income taxes.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AFG’s property and casualty insurance operations contributed $319 million in pretax earnings in the second quarter of 2024 compared to</w:t>
      </w:r>
    </w:p>
    <w:p>
      <w:pPr>
        <w:spacing w:after="0" w:line="23"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$299 million in the second quarter of 2023, an increase of $20 million (7%). The increase in pretax earnings reflects higher underwriting profit and higher investment income outside of alternative investments, partially offset by lower investment income from AFG’s alternative investment portfolio (partnerships and similar investments and AFG-managed CLOs) and higher other expenses in the second quarter of 2024 compared to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AFG’s earnings before income taxes from its property and casualty insurance operations for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June 30, 2024 and 2023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580" w:type="dxa"/>
            <w:vAlign w:val="bottom"/>
          </w:tcPr>
          <w:p>
            <w:pPr>
              <w:spacing w:after="0"/>
              <w:rPr>
                <w:sz w:val="17"/>
                <w:szCs w:val="17"/>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1"/>
        </w:trPr>
        <w:tc>
          <w:tcPr>
            <w:tcW w:w="65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2023</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color w:val="auto"/>
              </w:rPr>
              <w:t>% Change</w:t>
            </w:r>
          </w:p>
        </w:tc>
      </w:tr>
      <w:tr>
        <w:trPr>
          <w:trHeight w:val="21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written premiums</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2,406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2,369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2 %</w:t>
            </w: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premiums ceded</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(702)</w:t>
            </w:r>
          </w:p>
        </w:tc>
        <w:tc>
          <w:tcPr>
            <w:tcW w:w="13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2 %</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written premiums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1,692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1,667</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1 %</w:t>
            </w: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unearned premiums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(160)</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(33 %)</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earned premiums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1,585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1,507</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5 %</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Loss and loss adjustment expenses</w:t>
            </w: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905</w:t>
            </w: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4 %</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478</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4 %</w:t>
            </w:r>
          </w:p>
        </w:tc>
      </w:tr>
      <w:tr>
        <w:trPr>
          <w:trHeight w:val="210"/>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Underwriting gain</w:t>
            </w: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124</w:t>
            </w: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21 %</w:t>
            </w:r>
          </w:p>
        </w:tc>
      </w:tr>
      <w:tr>
        <w:trPr>
          <w:trHeight w:val="216"/>
        </w:trPr>
        <w:tc>
          <w:tcPr>
            <w:tcW w:w="6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191</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and expenses, net</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25 %</w:t>
            </w:r>
          </w:p>
        </w:tc>
      </w:tr>
      <w:tr>
        <w:trPr>
          <w:trHeight w:val="183"/>
        </w:trPr>
        <w:tc>
          <w:tcPr>
            <w:tcW w:w="65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Earnings before income taxes</w:t>
            </w:r>
          </w:p>
        </w:tc>
        <w:tc>
          <w:tcPr>
            <w:tcW w:w="1000" w:type="dxa"/>
            <w:vAlign w:val="bottom"/>
            <w:tcBorders>
              <w:bottom w:val="single" w:sz="8" w:color="auto"/>
            </w:tcBorders>
          </w:tcPr>
          <w:p>
            <w:pPr>
              <w:jc w:val="right"/>
              <w:ind w:right="801"/>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319</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821"/>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299</w:t>
            </w:r>
          </w:p>
        </w:tc>
        <w:tc>
          <w:tcPr>
            <w:tcW w:w="1320" w:type="dxa"/>
            <w:vAlign w:val="bottom"/>
            <w:gridSpan w:val="2"/>
          </w:tcPr>
          <w:p>
            <w:pPr>
              <w:jc w:val="right"/>
              <w:ind w:right="1"/>
              <w:spacing w:after="0" w:line="183" w:lineRule="exact"/>
              <w:rPr>
                <w:sz w:val="20"/>
                <w:szCs w:val="20"/>
                <w:color w:val="auto"/>
              </w:rPr>
            </w:pPr>
            <w:r>
              <w:rPr>
                <w:rFonts w:ascii="Arial" w:cs="Arial" w:eastAsia="Arial" w:hAnsi="Arial"/>
                <w:sz w:val="16"/>
                <w:szCs w:val="16"/>
                <w:color w:val="auto"/>
              </w:rPr>
              <w:t>7 %</w:t>
            </w:r>
          </w:p>
        </w:tc>
      </w:tr>
      <w:tr>
        <w:trPr>
          <w:trHeight w:val="21"/>
        </w:trPr>
        <w:tc>
          <w:tcPr>
            <w:tcW w:w="6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85" w:lineRule="exact"/>
        <w:rPr>
          <w:sz w:val="20"/>
          <w:szCs w:val="20"/>
          <w:color w:val="auto"/>
        </w:rPr>
      </w:pPr>
    </w:p>
    <w:p>
      <w:pPr>
        <w:ind w:left="7220"/>
        <w:spacing w:after="0"/>
        <w:rPr>
          <w:sz w:val="20"/>
          <w:szCs w:val="20"/>
          <w:color w:val="auto"/>
        </w:rPr>
      </w:pPr>
      <w:r>
        <w:rPr>
          <w:rFonts w:ascii="Arial" w:cs="Arial" w:eastAsia="Arial" w:hAnsi="Arial"/>
          <w:sz w:val="15"/>
          <w:szCs w:val="15"/>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21590</wp:posOffset>
            </wp:positionV>
            <wp:extent cx="21170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Combined Ratios: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Specialty lines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Aggregate — including exited lines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640"/>
        <w:spacing w:after="0"/>
        <w:tabs>
          <w:tab w:leader="none" w:pos="2340" w:val="left"/>
          <w:tab w:leader="none" w:pos="3760" w:val="left"/>
        </w:tabs>
        <w:rPr>
          <w:sz w:val="20"/>
          <w:szCs w:val="20"/>
          <w:color w:val="auto"/>
        </w:rPr>
      </w:pPr>
      <w:r>
        <w:rPr>
          <w:rFonts w:ascii="Arial" w:cs="Arial" w:eastAsia="Arial" w:hAnsi="Arial"/>
          <w:sz w:val="15"/>
          <w:szCs w:val="15"/>
          <w:color w:val="auto"/>
        </w:rPr>
        <w:t>2024</w:t>
      </w:r>
      <w:r>
        <w:rPr>
          <w:sz w:val="20"/>
          <w:szCs w:val="20"/>
          <w:color w:val="auto"/>
        </w:rPr>
        <w:tab/>
      </w:r>
      <w:r>
        <w:rPr>
          <w:rFonts w:ascii="Arial" w:cs="Arial" w:eastAsia="Arial" w:hAnsi="Arial"/>
          <w:sz w:val="15"/>
          <w:szCs w:val="15"/>
          <w:color w:val="auto"/>
        </w:rPr>
        <w:t>2023</w:t>
      </w:r>
      <w:r>
        <w:rPr>
          <w:sz w:val="20"/>
          <w:szCs w:val="20"/>
          <w:color w:val="auto"/>
        </w:rPr>
        <w:tab/>
      </w:r>
      <w:r>
        <w:rPr>
          <w:rFonts w:ascii="Arial" w:cs="Arial" w:eastAsia="Arial" w:hAnsi="Arial"/>
          <w:sz w:val="15"/>
          <w:szCs w:val="15"/>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21590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20" w:type="dxa"/>
            <w:vAlign w:val="bottom"/>
          </w:tcPr>
          <w:p>
            <w:pPr>
              <w:jc w:val="right"/>
              <w:spacing w:after="0"/>
              <w:rPr>
                <w:sz w:val="20"/>
                <w:szCs w:val="20"/>
                <w:color w:val="auto"/>
              </w:rPr>
            </w:pPr>
            <w:r>
              <w:rPr>
                <w:rFonts w:ascii="Arial" w:cs="Arial" w:eastAsia="Arial" w:hAnsi="Arial"/>
                <w:sz w:val="16"/>
                <w:szCs w:val="16"/>
                <w:color w:val="auto"/>
              </w:rPr>
              <w:t>59.1 %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60.2 %</w:t>
            </w:r>
          </w:p>
        </w:tc>
        <w:tc>
          <w:tcPr>
            <w:tcW w:w="130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17"/>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31.4 %</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31.7 %</w:t>
            </w:r>
          </w:p>
        </w:tc>
        <w:tc>
          <w:tcPr>
            <w:tcW w:w="130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211"/>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90.5 %</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91.9 %</w:t>
            </w:r>
          </w:p>
        </w:tc>
        <w:tc>
          <w:tcPr>
            <w:tcW w:w="130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613"/>
        </w:trPr>
        <w:tc>
          <w:tcPr>
            <w:tcW w:w="1620" w:type="dxa"/>
            <w:vAlign w:val="bottom"/>
          </w:tcPr>
          <w:p>
            <w:pPr>
              <w:jc w:val="right"/>
              <w:spacing w:after="0"/>
              <w:rPr>
                <w:sz w:val="20"/>
                <w:szCs w:val="20"/>
                <w:color w:val="auto"/>
              </w:rPr>
            </w:pPr>
            <w:r>
              <w:rPr>
                <w:rFonts w:ascii="Arial" w:cs="Arial" w:eastAsia="Arial" w:hAnsi="Arial"/>
                <w:sz w:val="16"/>
                <w:szCs w:val="16"/>
                <w:color w:val="auto"/>
              </w:rPr>
              <w:t>59.1 %</w:t>
            </w: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60.0 %</w:t>
            </w:r>
          </w:p>
        </w:tc>
        <w:tc>
          <w:tcPr>
            <w:tcW w:w="130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17"/>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31.4 %</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31.7 %</w:t>
            </w:r>
          </w:p>
        </w:tc>
        <w:tc>
          <w:tcPr>
            <w:tcW w:w="130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210"/>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90.5 %</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91.7 %</w:t>
            </w:r>
          </w:p>
        </w:tc>
        <w:tc>
          <w:tcPr>
            <w:tcW w:w="130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-1165225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-890905</wp:posOffset>
            </wp:positionV>
            <wp:extent cx="713232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-591185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-316865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660"/>
          </w:cols>
          <w:pgMar w:left="320" w:top="116" w:right="339" w:bottom="1440" w:gutter="0" w:footer="0" w:header="0"/>
          <w:type w:val="continuous"/>
        </w:sectPr>
      </w:pPr>
    </w:p>
    <w:p>
      <w:pPr>
        <w:spacing w:after="0" w:line="115"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AFG reports the underwriting performance of its Specialty property and casualty insurance business in the following sub-segments: (i) Property and transportation, (ii) Specialty casualty and (iii) Specialty financial.</w:t>
      </w:r>
    </w:p>
    <w:p>
      <w:pPr>
        <w:spacing w:after="0" w:line="185"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To understand the overall profitability of particular lines, the timing of claims payments and the related impact of investment income must be considered. Certain “short-tail” lines of business (primarily property coverages) generally have quick loss payouts, which reduce the time funds are held, thereby limiting investment income earned thereon. In contrast, “long-tail” lines of business (primarily liability coverages and workers’ compensation) generally have payouts that are either structured over many years or take many years to settle, thereby significantly increasing investment income earned on related premiums received.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Gross Written Premiums</w:t>
      </w:r>
    </w:p>
    <w:p>
      <w:pPr>
        <w:spacing w:after="0" w:line="30" w:lineRule="exact"/>
        <w:rPr>
          <w:sz w:val="20"/>
          <w:szCs w:val="20"/>
          <w:color w:val="auto"/>
        </w:rPr>
      </w:pPr>
    </w:p>
    <w:p>
      <w:pPr>
        <w:jc w:val="both"/>
        <w:ind w:right="100"/>
        <w:spacing w:after="0" w:line="256" w:lineRule="auto"/>
        <w:rPr>
          <w:sz w:val="20"/>
          <w:szCs w:val="20"/>
          <w:color w:val="auto"/>
        </w:rPr>
      </w:pPr>
      <w:r>
        <w:rPr>
          <w:rFonts w:ascii="Arial" w:cs="Arial" w:eastAsia="Arial" w:hAnsi="Arial"/>
          <w:sz w:val="17"/>
          <w:szCs w:val="17"/>
          <w:color w:val="auto"/>
        </w:rPr>
        <w:t>Gross written premiums (“GWP”) for AFG’s property and casualty insurance segment were $2.41 billion for the second quarter of 2024 compared to $2.37 billion for the second quarter of 2023, an increase of $37 million (2%). Detail of AFG’s property and casualty gross written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color w:val="auto"/>
              </w:rPr>
              <w:t>Three months ended June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2024</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2023</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9"/>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4"/>
                <w:szCs w:val="14"/>
                <w:color w:val="auto"/>
              </w:rPr>
              <w:t>GWP</w:t>
            </w:r>
          </w:p>
        </w:tc>
        <w:tc>
          <w:tcPr>
            <w:tcW w:w="920" w:type="dxa"/>
            <w:vAlign w:val="bottom"/>
          </w:tcPr>
          <w:p>
            <w:pPr>
              <w:jc w:val="right"/>
              <w:ind w:right="34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color w:val="auto"/>
              </w:rPr>
              <w:t>GWP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00" w:type="dxa"/>
            <w:vAlign w:val="bottom"/>
          </w:tcPr>
          <w:p>
            <w:pPr>
              <w:jc w:val="right"/>
              <w:ind w:right="142"/>
              <w:spacing w:after="0"/>
              <w:rPr>
                <w:sz w:val="20"/>
                <w:szCs w:val="20"/>
                <w:color w:val="auto"/>
              </w:rPr>
            </w:pPr>
            <w:r>
              <w:rPr>
                <w:rFonts w:ascii="Arial" w:cs="Arial" w:eastAsia="Arial" w:hAnsi="Arial"/>
                <w:sz w:val="14"/>
                <w:szCs w:val="14"/>
                <w:color w:val="auto"/>
              </w:rPr>
              <w:t>% Change</w:t>
            </w:r>
          </w:p>
        </w:tc>
      </w:tr>
      <w:tr>
        <w:trPr>
          <w:trHeight w:val="214"/>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1,084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1,059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1,023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17"/>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299</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53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2,406</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2,369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Reinsurance Premiums Ceded</w:t>
      </w:r>
    </w:p>
    <w:p>
      <w:pPr>
        <w:spacing w:after="0" w:line="30"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Reinsurance premiums ceded (“Ceded”) for AFG’s property and casualty insurance segment were 30% of gross written premiums for both the second quarter of 2024 and the second quarter of 2023. Detail of AFG’s property and casualty reinsurance premiums ceded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color w:val="auto"/>
              </w:rPr>
              <w:t>Three months ended June 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2024</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2023</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Arial" w:cs="Arial" w:eastAsia="Arial" w:hAnsi="Arial"/>
                <w:sz w:val="14"/>
                <w:szCs w:val="14"/>
                <w:color w:val="auto"/>
              </w:rPr>
              <w:t>Change in</w:t>
            </w:r>
          </w:p>
        </w:tc>
      </w:tr>
      <w:tr>
        <w:trPr>
          <w:trHeight w:val="198"/>
        </w:trPr>
        <w:tc>
          <w:tcPr>
            <w:tcW w:w="5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4"/>
                <w:szCs w:val="14"/>
                <w:color w:val="auto"/>
              </w:rPr>
              <w:t>Ceded</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 of GWP</w:t>
            </w:r>
          </w:p>
        </w:tc>
        <w:tc>
          <w:tcPr>
            <w:tcW w:w="240" w:type="dxa"/>
            <w:vAlign w:val="bottom"/>
          </w:tcPr>
          <w:p>
            <w:pPr>
              <w:spacing w:after="0"/>
              <w:rPr>
                <w:sz w:val="17"/>
                <w:szCs w:val="17"/>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60"/>
              <w:spacing w:after="0"/>
              <w:rPr>
                <w:sz w:val="20"/>
                <w:szCs w:val="20"/>
                <w:color w:val="auto"/>
              </w:rPr>
            </w:pPr>
            <w:r>
              <w:rPr>
                <w:rFonts w:ascii="Arial" w:cs="Arial" w:eastAsia="Arial" w:hAnsi="Arial"/>
                <w:sz w:val="14"/>
                <w:szCs w:val="14"/>
                <w:color w:val="auto"/>
              </w:rPr>
              <w:t>% of GWP</w:t>
            </w:r>
          </w:p>
        </w:tc>
        <w:tc>
          <w:tcPr>
            <w:tcW w:w="1140" w:type="dxa"/>
            <w:vAlign w:val="bottom"/>
          </w:tcPr>
          <w:p>
            <w:pPr>
              <w:ind w:left="240"/>
              <w:spacing w:after="0"/>
              <w:rPr>
                <w:sz w:val="20"/>
                <w:szCs w:val="20"/>
                <w:color w:val="auto"/>
              </w:rPr>
            </w:pPr>
            <w:r>
              <w:rPr>
                <w:rFonts w:ascii="Arial" w:cs="Arial" w:eastAsia="Arial" w:hAnsi="Arial"/>
                <w:sz w:val="14"/>
                <w:szCs w:val="14"/>
                <w:color w:val="auto"/>
              </w:rPr>
              <w:t>% of GWP</w:t>
            </w:r>
          </w:p>
        </w:tc>
      </w:tr>
      <w:tr>
        <w:trPr>
          <w:trHeight w:val="214"/>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 %</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32 %</w:t>
            </w:r>
          </w:p>
        </w:tc>
        <w:tc>
          <w:tcPr>
            <w:tcW w:w="80" w:type="dxa"/>
            <w:vAlign w:val="bottom"/>
          </w:tcPr>
          <w:p>
            <w:pPr>
              <w:spacing w:after="0"/>
              <w:rPr>
                <w:sz w:val="18"/>
                <w:szCs w:val="18"/>
                <w:color w:val="auto"/>
              </w:rPr>
            </w:pPr>
          </w:p>
        </w:tc>
        <w:tc>
          <w:tcPr>
            <w:tcW w:w="1140" w:type="dxa"/>
            <w:vAlign w:val="bottom"/>
          </w:tcPr>
          <w:p>
            <w:pPr>
              <w:ind w:left="740"/>
              <w:spacing w:after="0"/>
              <w:rPr>
                <w:sz w:val="20"/>
                <w:szCs w:val="20"/>
                <w:color w:val="auto"/>
              </w:rPr>
            </w:pPr>
            <w:r>
              <w:rPr>
                <w:rFonts w:ascii="Arial" w:cs="Arial" w:eastAsia="Arial" w:hAnsi="Arial"/>
                <w:sz w:val="16"/>
                <w:szCs w:val="16"/>
                <w:color w:val="auto"/>
                <w:w w:val="99"/>
              </w:rPr>
              <w:t>(1 %)</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ind w:left="740"/>
              <w:spacing w:after="0"/>
              <w:rPr>
                <w:sz w:val="20"/>
                <w:szCs w:val="20"/>
                <w:color w:val="auto"/>
              </w:rPr>
            </w:pPr>
            <w:r>
              <w:rPr>
                <w:rFonts w:ascii="Arial" w:cs="Arial" w:eastAsia="Arial" w:hAnsi="Arial"/>
                <w:sz w:val="16"/>
                <w:szCs w:val="16"/>
                <w:color w:val="auto"/>
                <w:w w:val="99"/>
              </w:rPr>
              <w:t>(2 %)</w:t>
            </w:r>
          </w:p>
        </w:tc>
      </w:tr>
      <w:tr>
        <w:trPr>
          <w:trHeight w:val="21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r>
      <w:tr>
        <w:trPr>
          <w:trHeight w:val="235"/>
        </w:trPr>
        <w:tc>
          <w:tcPr>
            <w:tcW w:w="5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Written Premiums</w:t>
      </w:r>
    </w:p>
    <w:p>
      <w:pPr>
        <w:spacing w:after="0" w:line="30" w:lineRule="exact"/>
        <w:rPr>
          <w:sz w:val="20"/>
          <w:szCs w:val="20"/>
          <w:color w:val="auto"/>
        </w:rPr>
      </w:pPr>
    </w:p>
    <w:p>
      <w:pPr>
        <w:jc w:val="both"/>
        <w:ind w:right="280"/>
        <w:spacing w:after="0" w:line="256" w:lineRule="auto"/>
        <w:rPr>
          <w:sz w:val="20"/>
          <w:szCs w:val="20"/>
          <w:color w:val="auto"/>
        </w:rPr>
      </w:pPr>
      <w:r>
        <w:rPr>
          <w:rFonts w:ascii="Arial" w:cs="Arial" w:eastAsia="Arial" w:hAnsi="Arial"/>
          <w:sz w:val="17"/>
          <w:szCs w:val="17"/>
          <w:color w:val="auto"/>
        </w:rPr>
        <w:t>Net written premiums (“NWP”) for AFG’s property and casualty insurance segment were $1.69 billion for the second quarter of 2024 compared to $1.67 billion for the second quarter of 2023, an increase of $25 million (1%). Detail of AFG’s property and casualty net written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color w:val="auto"/>
              </w:rPr>
              <w:t>Three months ended June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2024</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2023</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8"/>
        </w:trPr>
        <w:tc>
          <w:tcPr>
            <w:tcW w:w="5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3"/>
          </w:tcPr>
          <w:p>
            <w:pPr>
              <w:jc w:val="right"/>
              <w:ind w:right="600"/>
              <w:spacing w:after="0"/>
              <w:rPr>
                <w:sz w:val="20"/>
                <w:szCs w:val="20"/>
                <w:color w:val="auto"/>
              </w:rPr>
            </w:pPr>
            <w:r>
              <w:rPr>
                <w:rFonts w:ascii="Arial" w:cs="Arial" w:eastAsia="Arial" w:hAnsi="Arial"/>
                <w:sz w:val="14"/>
                <w:szCs w:val="14"/>
                <w:color w:val="auto"/>
              </w:rPr>
              <w:t>NWP</w:t>
            </w:r>
          </w:p>
        </w:tc>
        <w:tc>
          <w:tcPr>
            <w:tcW w:w="940" w:type="dxa"/>
            <w:vAlign w:val="bottom"/>
          </w:tcPr>
          <w:p>
            <w:pPr>
              <w:jc w:val="right"/>
              <w:ind w:right="38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60"/>
              <w:spacing w:after="0"/>
              <w:rPr>
                <w:sz w:val="20"/>
                <w:szCs w:val="20"/>
                <w:color w:val="auto"/>
              </w:rPr>
            </w:pPr>
            <w:r>
              <w:rPr>
                <w:rFonts w:ascii="Arial" w:cs="Arial" w:eastAsia="Arial" w:hAnsi="Arial"/>
                <w:sz w:val="14"/>
                <w:szCs w:val="14"/>
                <w:color w:val="auto"/>
              </w:rPr>
              <w:t>NWP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40" w:type="dxa"/>
            <w:vAlign w:val="bottom"/>
          </w:tcPr>
          <w:p>
            <w:pPr>
              <w:jc w:val="right"/>
              <w:ind w:right="164"/>
              <w:spacing w:after="0"/>
              <w:rPr>
                <w:sz w:val="20"/>
                <w:szCs w:val="20"/>
                <w:color w:val="auto"/>
              </w:rPr>
            </w:pPr>
            <w:r>
              <w:rPr>
                <w:rFonts w:ascii="Arial" w:cs="Arial" w:eastAsia="Arial" w:hAnsi="Arial"/>
                <w:sz w:val="14"/>
                <w:szCs w:val="14"/>
                <w:color w:val="auto"/>
              </w:rPr>
              <w:t>% Change</w:t>
            </w:r>
          </w:p>
        </w:tc>
      </w:tr>
      <w:tr>
        <w:trPr>
          <w:trHeight w:val="21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668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2 %</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42 %</w:t>
            </w:r>
          </w:p>
        </w:tc>
        <w:tc>
          <w:tcPr>
            <w:tcW w:w="1220" w:type="dxa"/>
            <w:vAlign w:val="bottom"/>
            <w:gridSpan w:val="2"/>
          </w:tcPr>
          <w:p>
            <w:pPr>
              <w:jc w:val="right"/>
              <w:ind w:right="4"/>
              <w:spacing w:after="0"/>
              <w:rPr>
                <w:sz w:val="20"/>
                <w:szCs w:val="20"/>
                <w:color w:val="auto"/>
              </w:rPr>
            </w:pPr>
            <w:r>
              <w:rPr>
                <w:rFonts w:ascii="Arial" w:cs="Arial" w:eastAsia="Arial" w:hAnsi="Arial"/>
                <w:sz w:val="16"/>
                <w:szCs w:val="16"/>
                <w:color w:val="auto"/>
              </w:rPr>
              <w:t>2 %</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3 %</w:t>
            </w:r>
          </w:p>
        </w:tc>
      </w:tr>
      <w:tr>
        <w:trPr>
          <w:trHeight w:val="21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(11 %)</w:t>
            </w:r>
          </w:p>
        </w:tc>
      </w:tr>
      <w:tr>
        <w:trPr>
          <w:trHeight w:val="235"/>
        </w:trPr>
        <w:tc>
          <w:tcPr>
            <w:tcW w:w="5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2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Earned Premiums</w:t>
      </w:r>
    </w:p>
    <w:p>
      <w:pPr>
        <w:spacing w:after="0" w:line="30" w:lineRule="exact"/>
        <w:rPr>
          <w:sz w:val="20"/>
          <w:szCs w:val="20"/>
          <w:color w:val="auto"/>
        </w:rPr>
      </w:pPr>
    </w:p>
    <w:p>
      <w:pPr>
        <w:jc w:val="both"/>
        <w:ind w:right="240"/>
        <w:spacing w:after="0" w:line="256" w:lineRule="auto"/>
        <w:rPr>
          <w:sz w:val="20"/>
          <w:szCs w:val="20"/>
          <w:color w:val="auto"/>
        </w:rPr>
      </w:pPr>
      <w:r>
        <w:rPr>
          <w:rFonts w:ascii="Arial" w:cs="Arial" w:eastAsia="Arial" w:hAnsi="Arial"/>
          <w:sz w:val="17"/>
          <w:szCs w:val="17"/>
          <w:color w:val="auto"/>
        </w:rPr>
        <w:t>Net earned premiums (“NEP”) for AFG’s property and casualty insurance segment were $1.59 billion for the second quarter of 2024 compared to $1.51 billion for the second quarter of 2023, an increase of $78 million (5%). Detail of AFG’s property and casualty net earned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color w:val="auto"/>
              </w:rPr>
              <w:t>Three months ended June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4"/>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2024</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2023</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8"/>
        </w:trPr>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4"/>
                <w:szCs w:val="14"/>
                <w:color w:val="auto"/>
              </w:rPr>
              <w:t>NEP</w:t>
            </w:r>
          </w:p>
        </w:tc>
        <w:tc>
          <w:tcPr>
            <w:tcW w:w="940" w:type="dxa"/>
            <w:vAlign w:val="bottom"/>
          </w:tcPr>
          <w:p>
            <w:pPr>
              <w:jc w:val="right"/>
              <w:ind w:right="38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80"/>
              <w:spacing w:after="0"/>
              <w:rPr>
                <w:sz w:val="20"/>
                <w:szCs w:val="20"/>
                <w:color w:val="auto"/>
              </w:rPr>
            </w:pPr>
            <w:r>
              <w:rPr>
                <w:rFonts w:ascii="Arial" w:cs="Arial" w:eastAsia="Arial" w:hAnsi="Arial"/>
                <w:sz w:val="14"/>
                <w:szCs w:val="14"/>
                <w:color w:val="auto"/>
              </w:rPr>
              <w:t>NEP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20" w:type="dxa"/>
            <w:vAlign w:val="bottom"/>
          </w:tcPr>
          <w:p>
            <w:pPr>
              <w:jc w:val="right"/>
              <w:ind w:right="204"/>
              <w:spacing w:after="0"/>
              <w:rPr>
                <w:sz w:val="20"/>
                <w:szCs w:val="20"/>
                <w:color w:val="auto"/>
              </w:rPr>
            </w:pPr>
            <w:r>
              <w:rPr>
                <w:rFonts w:ascii="Arial" w:cs="Arial" w:eastAsia="Arial" w:hAnsi="Arial"/>
                <w:sz w:val="14"/>
                <w:szCs w:val="14"/>
                <w:color w:val="auto"/>
              </w:rPr>
              <w:t>% Change</w:t>
            </w:r>
          </w:p>
        </w:tc>
      </w:tr>
      <w:tr>
        <w:trPr>
          <w:trHeight w:val="214"/>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534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2 %</w:t>
            </w: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47 %</w:t>
            </w:r>
          </w:p>
        </w:tc>
        <w:tc>
          <w:tcPr>
            <w:tcW w:w="1300" w:type="dxa"/>
            <w:vAlign w:val="bottom"/>
            <w:gridSpan w:val="2"/>
          </w:tcPr>
          <w:p>
            <w:pPr>
              <w:jc w:val="right"/>
              <w:ind w:right="4"/>
              <w:spacing w:after="0"/>
              <w:rPr>
                <w:sz w:val="20"/>
                <w:szCs w:val="20"/>
                <w:color w:val="auto"/>
              </w:rPr>
            </w:pPr>
            <w:r>
              <w:rPr>
                <w:rFonts w:ascii="Arial" w:cs="Arial" w:eastAsia="Arial" w:hAnsi="Arial"/>
                <w:sz w:val="16"/>
                <w:szCs w:val="16"/>
                <w:color w:val="auto"/>
              </w:rPr>
              <w:t>4 %</w:t>
            </w:r>
          </w:p>
        </w:tc>
      </w:tr>
      <w:tr>
        <w:trPr>
          <w:trHeight w:val="21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3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24 %</w:t>
            </w:r>
          </w:p>
        </w:tc>
      </w:tr>
      <w:tr>
        <w:trPr>
          <w:trHeight w:val="215"/>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(7 %)</w:t>
            </w:r>
          </w:p>
        </w:tc>
      </w:tr>
      <w:tr>
        <w:trPr>
          <w:trHeight w:val="235"/>
        </w:trPr>
        <w:tc>
          <w:tcPr>
            <w:tcW w:w="5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30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rPr>
              <w:t>5 %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Gross written premiums for the second quarter of 2024 increased $37 million (2%) compared to the second quarter of 2023, reflecting new business opportunities, increased exposures and a good renewal rate environment, partially offset by the impact of later reporting of crop acreage. Tempered growth in the quarter also reflects AFG’s proactive and intentional approach to managing exposure in several of the social inflation exposed businesses. Overall average renewal rates increased approximately 6% in the second quarter of 2024. Excluding overall rate decreases in the workers’ compensation businesses, renewal rates increased approximately 8%.</w:t>
      </w:r>
    </w:p>
    <w:p>
      <w:pPr>
        <w:spacing w:after="0" w:line="207"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Gross written premiums increased $25 million (2%) in the second quarter of 2024 compared to the second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quarter of 2023. Year-over-year premium growth was primarily attributed to new business opportunities, a favorable rate environment and increased exposures in the commercial auto businesses. Later reporting of crop acreage, which impacts the timing of crop premiums, more than offset the additional crop premium associated with the CRS acquisition. Excluding crop, gross and net written premiums in this group grew by 7% and 5%, respectively. Average renewal rates increased approximately 8% for this group in the second quarter of 2024. Reinsurance premiums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ceded as a percentage of gross written premiums were comparable in the second quarter of 2024 and the second quarter of 2023.</w:t>
      </w:r>
    </w:p>
    <w:p>
      <w:pPr>
        <w:spacing w:after="0" w:line="237"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Gross written premiums increased $11 million (1%) in the second quarter of 2024 compared to the second quarter of 2023.</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Year-over-year premium growth resulted primarily from new business opportunities, higher rates and strong policy retention. This growth was partially offset by non-renewal of some large accounts and other underwriting actions taken in several of the targeted markets businesses. Average renewal rates increased approximately 5% for this group in the second quarter of 2024. Excluding overall rate decreases in the workers’ compensation businesses, renewal rates for this group increased approximately 7%. Reinsurance premiums ceded as a percentage of gross written premiums decreased 1 percentage point in the second quarter of 2024 compared to the second quarter of 2023 reflecting lower cessions in the social services business, partially offset by higher cessions in the excess liability business.</w:t>
      </w:r>
    </w:p>
    <w:p>
      <w:pPr>
        <w:spacing w:after="0" w:line="225"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Gross written premiums were flat in the second quarter of 2024 compared to the second quarter of 2023. Growth in the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financial institutions business was partially offset by a decision to pause writing of new intellectual property related coverage in the innovative markets business. Average renewal rates increased approximately 6% for this group in the second quarter of 2024. Reinsurance premiums ceded as a percentage of gross written premiums decreased 2 percentage points in the second quarter of 2024 compared to the second quarter of 2023. The impact of lower gross written premiums in the innovative markets business, which cedes a larger percentage of premiums than some of the other businesses in the Specialty financial sub-segment was partially offset by the impact of higher cessions in the financial institutions business due to a change in the mix of business.</w:t>
      </w:r>
    </w:p>
    <w:p>
      <w:pPr>
        <w:spacing w:after="0" w:line="216"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The amounts shown as reinsurance premiums ceded represent business assumed by AFG’s internal reinsurance program from</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operations that make up AFG’s other Specialty property and casualty insurance sub-segments. Reinsurance premiums assumed decreased $7 million in the second quarter of 2024 compared to the second quarter of 2023 reflecting a decrease in premiums retained, primarily from businesses in the Specialty casualty sub-segment.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Combined Ratio</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(dollars in millions) details the components of the combined ratio for AFG’s property and casualty insurance segment: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Property and transportation</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casualty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financial</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Specialty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Aggregate — including exited lines</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25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color w:val="auto"/>
              </w:rPr>
              <w:t>Three months ended June 30,</w:t>
            </w:r>
          </w:p>
        </w:tc>
        <w:tc>
          <w:tcPr>
            <w:tcW w:w="0" w:type="dxa"/>
            <w:vAlign w:val="bottom"/>
          </w:tcPr>
          <w:p>
            <w:pPr>
              <w:spacing w:after="0"/>
              <w:rPr>
                <w:sz w:val="1"/>
                <w:szCs w:val="1"/>
                <w:color w:val="auto"/>
              </w:rPr>
            </w:pPr>
          </w:p>
        </w:tc>
      </w:tr>
      <w:tr>
        <w:trPr>
          <w:trHeight w:val="196"/>
        </w:trPr>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2024</w:t>
            </w:r>
          </w:p>
        </w:tc>
        <w:tc>
          <w:tcPr>
            <w:tcW w:w="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414"/>
        </w:trPr>
        <w:tc>
          <w:tcPr>
            <w:tcW w:w="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64.0 %</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64.8 %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28.9 %</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92.9 %</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2"/>
              <w:spacing w:after="0"/>
              <w:rPr>
                <w:sz w:val="20"/>
                <w:szCs w:val="20"/>
                <w:color w:val="auto"/>
              </w:rPr>
            </w:pPr>
            <w:r>
              <w:rPr>
                <w:rFonts w:ascii="Arial" w:cs="Arial" w:eastAsia="Arial" w:hAnsi="Arial"/>
                <w:sz w:val="16"/>
                <w:szCs w:val="16"/>
                <w:color w:val="auto"/>
              </w:rPr>
              <w:t>39</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58.0 %</w:t>
            </w: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59.2 %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2"/>
        </w:trPr>
        <w:tc>
          <w:tcPr>
            <w:tcW w:w="94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27.4 %</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27.4 %</w:t>
            </w:r>
          </w:p>
        </w:tc>
        <w:tc>
          <w:tcPr>
            <w:tcW w:w="100" w:type="dxa"/>
            <w:vAlign w:val="bottom"/>
          </w:tcPr>
          <w:p>
            <w:pPr>
              <w:spacing w:after="0"/>
              <w:rPr>
                <w:sz w:val="18"/>
                <w:szCs w:val="18"/>
                <w:color w:val="auto"/>
              </w:rPr>
            </w:pPr>
          </w:p>
        </w:tc>
        <w:tc>
          <w:tcPr>
            <w:tcW w:w="1480" w:type="dxa"/>
            <w:vAlign w:val="bottom"/>
            <w:gridSpan w:val="3"/>
          </w:tcPr>
          <w:p>
            <w:pPr>
              <w:jc w:val="right"/>
              <w:ind w:right="460"/>
              <w:spacing w:after="0"/>
              <w:rPr>
                <w:sz w:val="20"/>
                <w:szCs w:val="20"/>
                <w:color w:val="auto"/>
              </w:rPr>
            </w:pPr>
            <w:r>
              <w:rPr>
                <w:rFonts w:ascii="Arial" w:cs="Arial" w:eastAsia="Arial" w:hAnsi="Arial"/>
                <w:sz w:val="16"/>
                <w:szCs w:val="16"/>
                <w:color w:val="auto"/>
              </w:rPr>
              <w:t>— %</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85.4 %</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2"/>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42.1 %</w:t>
            </w: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40.9 %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2"/>
        </w:trPr>
        <w:tc>
          <w:tcPr>
            <w:tcW w:w="94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47.6 %</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89.7 %</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2"/>
              <w:spacing w:after="0"/>
              <w:rPr>
                <w:sz w:val="20"/>
                <w:szCs w:val="20"/>
                <w:color w:val="auto"/>
              </w:rPr>
            </w:pPr>
            <w:r>
              <w:rPr>
                <w:rFonts w:ascii="Arial" w:cs="Arial" w:eastAsia="Arial" w:hAnsi="Arial"/>
                <w:sz w:val="16"/>
                <w:szCs w:val="16"/>
                <w:color w:val="auto"/>
              </w:rPr>
              <w:t>25</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59.1 %</w:t>
            </w: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60.2 %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94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31.4 %</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90.5 %</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2"/>
              <w:spacing w:after="0"/>
              <w:rPr>
                <w:sz w:val="20"/>
                <w:szCs w:val="20"/>
                <w:color w:val="auto"/>
              </w:rPr>
            </w:pPr>
            <w:r>
              <w:rPr>
                <w:rFonts w:ascii="Arial" w:cs="Arial" w:eastAsia="Arial" w:hAnsi="Arial"/>
                <w:sz w:val="16"/>
                <w:szCs w:val="16"/>
                <w:color w:val="auto"/>
              </w:rPr>
              <w:t>151</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59.1 %</w:t>
            </w: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60.0 %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94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31.4 %</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90.5 %</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2"/>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-4208145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-3933825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-3634105</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-3342640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-3068320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-2767965</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-2476500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-2202815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-1902460</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-1610995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-1336675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-1036955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-745490</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-471170</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-170815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720"/>
            <w:col w:w="7260"/>
          </w:cols>
          <w:pgMar w:left="320" w:top="116" w:right="339" w:bottom="1440" w:gutter="0" w:footer="0" w:header="0"/>
          <w:type w:val="continuous"/>
        </w:sectPr>
      </w:pPr>
    </w:p>
    <w:p>
      <w:pPr>
        <w:spacing w:after="0" w:line="11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Specialty property and casualty insurance operations generated an underwriting profit of $151 million in the second quarter of 2024 compared to $123 million in the second quarter of 2023, an increase of $28 million (23%). Higher underwriting profits in each of the Specialty property and casualty insurance sub-segments were partially offset by higher losses in the business assumed by AFG’s internal reinsurance program. Overall catastrophe losses were $36 million (2.3 points on the combined ratio) in the second quarter of 2024 compared to catastrophe losses $53 million (3.5 points), including $2 million in net reinstatement premiums in the second quarter of 2023.</w:t>
      </w:r>
    </w:p>
    <w:p>
      <w:pPr>
        <w:spacing w:after="0" w:line="207" w:lineRule="exact"/>
        <w:rPr>
          <w:sz w:val="20"/>
          <w:szCs w:val="20"/>
          <w:color w:val="auto"/>
        </w:rPr>
      </w:pPr>
    </w:p>
    <w:p>
      <w:pPr>
        <w:ind w:right="20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Underwriting profit for this group was $39 million for the second quarter of 2024 compared to $32 million for the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second quarter of 2023, an increase of $7 million (22%). Higher year-over-year underwriting profits in the property and inland marine and crop insurance businesses were partially offset by lower underwriting profitability in the transportation businesses. Catastrophe losses were $13 million (2.4 points on the combined ratio) in the second quarter of 2024 compared to $15 million (2.9 points) in the second quarter of 2023.</w:t>
      </w:r>
    </w:p>
    <w:p>
      <w:pPr>
        <w:spacing w:after="0" w:line="218"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Underwriting profit for this group was $108 million for the second quarter of 2024 compared to $95 million for the second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quarter of 2023, an increase of $13 million (14%). Higher year-over-year underwriting profitability in the targeted markets and workers’ compensation businesses and improved results in several other Specialty casualty businesses were partially offset by lower levels of favorable prior year reserve development in the executive liability business and adverse development in the excess liability business. Catastrophe losses were $5 million (0.7 points on the combined ratio) in the second quarter of 2024 compared to catastrophe losses of $8 million (1.0 points), including $2 million in net reinstatement premiums in the second quarter of 2023.</w:t>
      </w: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52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Underwriting profit for this group was $25 million for the second quarter of 2024 compared to $10 million in the second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quarter of 2023, an increase of $15 million (150%). This increase reflects higher underwriting profitability in the financial institutions business. Catastrophe losses were $17 million (7.3 points on the combined ratio) compared to $19 million (9.6 points) in the second quarter of 2023.</w:t>
      </w:r>
    </w:p>
    <w:p>
      <w:pPr>
        <w:spacing w:after="0" w:line="216" w:lineRule="exact"/>
        <w:rPr>
          <w:sz w:val="20"/>
          <w:szCs w:val="20"/>
          <w:color w:val="auto"/>
        </w:rPr>
      </w:pPr>
    </w:p>
    <w:p>
      <w:pPr>
        <w:ind w:right="180"/>
        <w:spacing w:after="0" w:line="247"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This group reported an underwriting loss of $21 million in the second quarter of 2024 compared to $14 million in the second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quarter of 2023, an increase of $7 million (50%), reflecting higher losses in the business assumed by AFG’s internal reinsurance program from the operations that make up AFG’s other Specialty sub-segments in the second quarter of 2024 compared to the second quarter of 2023. Catastrophe losses were $1 million in the second quarter of 2024 compared to $11 million in the second quarter of 2023.</w:t>
      </w:r>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underwriting results for AFG’s property and casualty insurance segment includes adverse prior year reserve development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$1 million in the second quarter of 2024 compared to favorable prior year development of $1 million in the second quarter of 2023 related to business outside of the Specialty group that AFG no longer writes.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Losses and Loss Adjustment Expenses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AFG’s overall loss and LAE ratio was 59.1% for the second quarter of 2024 compared to 60.0% for the second quarter of 2023, a decrease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0.9 percentage points. The components of AFG’s property and casualty losses and LAE amounts and ratio are detailed below (dollars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Three months ended 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ind w:left="520"/>
              <w:spacing w:after="0"/>
              <w:rPr>
                <w:sz w:val="20"/>
                <w:szCs w:val="20"/>
                <w:color w:val="auto"/>
              </w:rPr>
            </w:pPr>
            <w:r>
              <w:rPr>
                <w:rFonts w:ascii="Arial" w:cs="Arial" w:eastAsia="Arial" w:hAnsi="Arial"/>
                <w:sz w:val="14"/>
                <w:szCs w:val="14"/>
                <w:color w:val="auto"/>
              </w:rPr>
              <w:t>Amount</w:t>
            </w:r>
          </w:p>
        </w:tc>
        <w:tc>
          <w:tcPr>
            <w:tcW w:w="1420" w:type="dxa"/>
            <w:vAlign w:val="bottom"/>
            <w:gridSpan w:val="3"/>
          </w:tcPr>
          <w:p>
            <w:pPr>
              <w:ind w:left="960"/>
              <w:spacing w:after="0"/>
              <w:rPr>
                <w:sz w:val="20"/>
                <w:szCs w:val="20"/>
                <w:color w:val="auto"/>
              </w:rPr>
            </w:pPr>
            <w:r>
              <w:rPr>
                <w:rFonts w:ascii="Arial" w:cs="Arial" w:eastAsia="Arial" w:hAnsi="Arial"/>
                <w:sz w:val="14"/>
                <w:szCs w:val="14"/>
                <w:color w:val="auto"/>
              </w:rPr>
              <w:t>Ratio</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Change in</w:t>
            </w:r>
          </w:p>
        </w:tc>
        <w:tc>
          <w:tcPr>
            <w:tcW w:w="0" w:type="dxa"/>
            <w:vAlign w:val="bottom"/>
          </w:tcPr>
          <w:p>
            <w:pPr>
              <w:spacing w:after="0"/>
              <w:rPr>
                <w:sz w:val="1"/>
                <w:szCs w:val="1"/>
                <w:color w:val="auto"/>
              </w:rPr>
            </w:pPr>
          </w:p>
        </w:tc>
      </w:tr>
      <w:tr>
        <w:trPr>
          <w:trHeight w:val="198"/>
        </w:trPr>
        <w:tc>
          <w:tcPr>
            <w:tcW w:w="56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Ratio</w:t>
            </w:r>
          </w:p>
        </w:tc>
        <w:tc>
          <w:tcPr>
            <w:tcW w:w="0" w:type="dxa"/>
            <w:vAlign w:val="bottom"/>
          </w:tcPr>
          <w:p>
            <w:pPr>
              <w:spacing w:after="0"/>
              <w:rPr>
                <w:sz w:val="1"/>
                <w:szCs w:val="1"/>
                <w:color w:val="auto"/>
              </w:rPr>
            </w:pPr>
          </w:p>
        </w:tc>
      </w:tr>
      <w:tr>
        <w:trPr>
          <w:trHeight w:val="20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transportation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368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65.7 %</w:t>
            </w:r>
          </w:p>
        </w:tc>
        <w:tc>
          <w:tcPr>
            <w:tcW w:w="1320" w:type="dxa"/>
            <w:vAlign w:val="bottom"/>
            <w:gridSpan w:val="2"/>
          </w:tcPr>
          <w:p>
            <w:pPr>
              <w:jc w:val="right"/>
              <w:ind w:right="8"/>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2.9 %</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Property and transportation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64.8 %</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casualty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61.6 %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1.0 %</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casualty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59.2 %</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financial</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37.0 %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9.6 %</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financial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40.9 %</w:t>
            </w:r>
          </w:p>
        </w:tc>
        <w:tc>
          <w:tcPr>
            <w:tcW w:w="13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Specialty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936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60.7 %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3.5 %</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Specialty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60.2 %</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Aggregate — including exited lines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936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60.7 %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3.5 %</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Aggregate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60.0 %</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Current accident year losses and LAE, excluding catastrophe losses</w:t>
      </w:r>
    </w:p>
    <w:p>
      <w:pPr>
        <w:spacing w:after="0" w:line="21" w:lineRule="exact"/>
        <w:rPr>
          <w:sz w:val="20"/>
          <w:szCs w:val="20"/>
          <w:color w:val="auto"/>
        </w:rPr>
      </w:pPr>
    </w:p>
    <w:p>
      <w:pPr>
        <w:ind w:right="360"/>
        <w:spacing w:after="0" w:line="281" w:lineRule="auto"/>
        <w:rPr>
          <w:sz w:val="20"/>
          <w:szCs w:val="20"/>
          <w:color w:val="auto"/>
        </w:rPr>
      </w:pPr>
      <w:r>
        <w:rPr>
          <w:rFonts w:ascii="Arial" w:cs="Arial" w:eastAsia="Arial" w:hAnsi="Arial"/>
          <w:sz w:val="17"/>
          <w:szCs w:val="17"/>
          <w:color w:val="auto"/>
        </w:rPr>
        <w:t>The current accident year loss and LAE ratio, excluding catastrophe losses, for AFG’s Specialty property and casualty insurance operations was 59.1% for the second quarter of 2024 compared to 60.7% for the second quarter of 2023, a decrease of 1.6 percentage points.</w:t>
      </w:r>
    </w:p>
    <w:p>
      <w:pPr>
        <w:spacing w:after="0" w:line="188"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The 2.1 percentage points increase in the loss and LAE ratio for the current year, excluding catastrophe losses,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reflects growth in the crop business, which has a higher loss and LAE ratio than some of the other businesses in the Property and transportation sub-segment, and higher reported losses in the commercial auto businesses.</w:t>
      </w:r>
    </w:p>
    <w:p>
      <w:pPr>
        <w:spacing w:after="0" w:line="216" w:lineRule="exact"/>
        <w:rPr>
          <w:sz w:val="20"/>
          <w:szCs w:val="20"/>
          <w:color w:val="auto"/>
        </w:rPr>
      </w:pPr>
    </w:p>
    <w:p>
      <w:pPr>
        <w:ind w:right="320"/>
        <w:spacing w:after="0" w:line="236"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The 0.8 percentage points decrease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improved results in the targeted markets businesses.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2"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The 2.3 percentage points decrease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growth in the financial institutions business, which has a lower loss and LAE ratio than some of the other businesses in the Specialty financial sub-segment.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Net prior year reserve development</w:t>
      </w:r>
    </w:p>
    <w:p>
      <w:pPr>
        <w:spacing w:after="0" w:line="21" w:lineRule="exact"/>
        <w:rPr>
          <w:sz w:val="20"/>
          <w:szCs w:val="20"/>
          <w:color w:val="auto"/>
        </w:rPr>
      </w:pPr>
    </w:p>
    <w:p>
      <w:pPr>
        <w:ind w:right="780"/>
        <w:spacing w:after="0" w:line="264" w:lineRule="auto"/>
        <w:rPr>
          <w:sz w:val="20"/>
          <w:szCs w:val="20"/>
          <w:color w:val="auto"/>
        </w:rPr>
      </w:pPr>
      <w:r>
        <w:rPr>
          <w:rFonts w:ascii="Arial" w:cs="Arial" w:eastAsia="Arial" w:hAnsi="Arial"/>
          <w:sz w:val="17"/>
          <w:szCs w:val="17"/>
          <w:color w:val="auto"/>
        </w:rPr>
        <w:t>AFG’s Specialty property and casualty insurance operations recorded net favorable reserve development related to prior accident years of $36 million in the second quarter of 2024 compared to $61 million in the second quarter of 2023, a decrease of $25 million (41%).</w:t>
      </w:r>
    </w:p>
    <w:p>
      <w:pPr>
        <w:spacing w:after="0" w:line="216"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Net favorable reserve development of $33 million in the second quarter of 2024 reflects lower than anticipated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losses in the crop business and lower than expected claim severity in the property and inland marine business. Net favorable reserve development of $21 million in the second quarter of 2023 reflects lower than expected claim frequency and severity in the trucking business, lower than anticipated losses in the crop business and lower than anticipated claim frequency in the ocean marine business.</w:t>
      </w:r>
    </w:p>
    <w:p>
      <w:pPr>
        <w:spacing w:after="0" w:line="218"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Net favorable reserve development of $25 million in the second quarter of 2024 reflects lower than anticipated claim severity</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workers’ compensation businesses and lower than expected claim frequency in the executive liability business, partially offset by higher than anticipated claim severity in the excess liability business. Net favorable reserve development of $24 million in the second quarter of 2023 reflects lower than anticipated claim severity in the workers’ compensation businesses, lower than expected claim frequency in the executive liability and environmental businesses and favorable reserve development related to COVID-19 losses across several businesses, partially offset by higher than anticipated claim severity in the public sector business.</w:t>
      </w:r>
    </w:p>
    <w:p>
      <w:pPr>
        <w:spacing w:after="0" w:line="215"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Net reserve development of less than $1 million in the second quarter of 2024 reflects lower than anticipated claim frequency</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trade credit and fidelity businesses and lower than expected claim frequency and severity in the financial institutions business, offset by higher than anticipated claim severity in certain other businesses. Net favorable reserve development of $11 million in the second quarter of 2023 reflects lower than anticipated claim frequency in the trade credit and financial institutions businesses and lower than expected claim frequency and severity in the fidelity business.</w:t>
      </w:r>
    </w:p>
    <w:p>
      <w:pPr>
        <w:spacing w:after="0" w:line="233"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In addition to the development discussed above, total Specialty prior year reserve development includes net adverse reserve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development of $22 million in the second quarter of 2024 and net favorable reserve development of $5 million in the second quarter of 2023 associated with AFG’s internal reinsurance program and the amortization of the deferred gain on the retroactive reinsurance transaction entered into in connection with the sale of a business in 1998. The net adverse reserve development in 2024 is primarily related to social inflation exposed business assumed from the Specialty casualty sub-segment.</w:t>
      </w:r>
    </w:p>
    <w:p>
      <w:pPr>
        <w:spacing w:after="0" w:line="219"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net prior accident years reserve development for AFG’s property and casualty insurance segment includes net adverse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reserve development of $1 million in the second quarter of 2024 and net favorable reserve development of $1 million in the second quarter of 2023 related to business outside of the Specialty group that AFG no longer writes.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Catastrophe losses</w:t>
      </w:r>
    </w:p>
    <w:p>
      <w:pPr>
        <w:spacing w:after="0" w:line="21"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AFG generally seeks to reduce its exposure to catastrophes (whether resulting from climate change or otherwise) through individual risk selection, including minimizing coastal and known fault-line exposures, and the purchase of reinsurance. Based on data available at December 31, 2023, AFG’s exposure to a catastrophic earthquake or windstorm that industry models indicate should statistically occur once in every 100, 250 or 500 years as a percentage of AFG’s Shareholders’ Equity is shown below:</w:t>
      </w:r>
    </w:p>
    <w:p>
      <w:pPr>
        <w:spacing w:after="0" w:line="90" w:lineRule="exact"/>
        <w:rPr>
          <w:sz w:val="20"/>
          <w:szCs w:val="20"/>
          <w:color w:val="auto"/>
        </w:rPr>
      </w:pPr>
    </w:p>
    <w:tbl>
      <w:tblPr>
        <w:tblLayout w:type="fixed"/>
        <w:tblInd w:w="3200" w:type="dxa"/>
        <w:tblCellMar>
          <w:top w:w="0" w:type="dxa"/>
          <w:left w:w="0" w:type="dxa"/>
          <w:bottom w:w="0" w:type="dxa"/>
          <w:right w:w="0" w:type="dxa"/>
        </w:tblCellMar>
      </w:tblPr>
      <w:tr>
        <w:trPr>
          <w:trHeight w:val="200"/>
        </w:trPr>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tcPr>
          <w:p>
            <w:pPr>
              <w:jc w:val="center"/>
              <w:spacing w:after="0"/>
              <w:rPr>
                <w:sz w:val="20"/>
                <w:szCs w:val="20"/>
                <w:color w:val="auto"/>
              </w:rPr>
            </w:pPr>
            <w:r>
              <w:rPr>
                <w:rFonts w:ascii="Arial" w:cs="Arial" w:eastAsia="Arial" w:hAnsi="Arial"/>
                <w:sz w:val="15"/>
                <w:szCs w:val="15"/>
                <w:color w:val="auto"/>
              </w:rPr>
              <w:t>Approximate impact of modeled loss</w:t>
            </w:r>
          </w:p>
        </w:tc>
      </w:tr>
      <w:tr>
        <w:trPr>
          <w:trHeight w:val="205"/>
        </w:trPr>
        <w:tc>
          <w:tcPr>
            <w:tcW w:w="1660" w:type="dxa"/>
            <w:vAlign w:val="bottom"/>
            <w:gridSpan w:val="2"/>
          </w:tcPr>
          <w:p>
            <w:pPr>
              <w:jc w:val="center"/>
              <w:ind w:right="100"/>
              <w:spacing w:after="0"/>
              <w:rPr>
                <w:sz w:val="20"/>
                <w:szCs w:val="20"/>
                <w:color w:val="auto"/>
              </w:rPr>
            </w:pPr>
            <w:r>
              <w:rPr>
                <w:rFonts w:ascii="Arial" w:cs="Arial" w:eastAsia="Arial" w:hAnsi="Arial"/>
                <w:sz w:val="15"/>
                <w:szCs w:val="15"/>
                <w:color w:val="auto"/>
              </w:rPr>
              <w:t>Industry Model</w:t>
            </w:r>
          </w:p>
        </w:tc>
        <w:tc>
          <w:tcPr>
            <w:tcW w:w="3220" w:type="dxa"/>
            <w:vAlign w:val="bottom"/>
          </w:tcPr>
          <w:p>
            <w:pPr>
              <w:jc w:val="center"/>
              <w:spacing w:after="0"/>
              <w:rPr>
                <w:sz w:val="20"/>
                <w:szCs w:val="20"/>
                <w:color w:val="auto"/>
              </w:rPr>
            </w:pPr>
            <w:r>
              <w:rPr>
                <w:rFonts w:ascii="Arial" w:cs="Arial" w:eastAsia="Arial" w:hAnsi="Arial"/>
                <w:sz w:val="15"/>
                <w:szCs w:val="15"/>
                <w:color w:val="auto"/>
              </w:rPr>
              <w:t>on AFG’s Shareholders’ Equity</w:t>
            </w:r>
          </w:p>
        </w:tc>
      </w:tr>
      <w:tr>
        <w:trPr>
          <w:trHeight w:val="213"/>
        </w:trPr>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100-year event</w:t>
            </w:r>
          </w:p>
        </w:tc>
        <w:tc>
          <w:tcPr>
            <w:tcW w:w="10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2%</w:t>
            </w:r>
          </w:p>
        </w:tc>
      </w:tr>
      <w:tr>
        <w:trPr>
          <w:trHeight w:val="215"/>
        </w:trPr>
        <w:tc>
          <w:tcPr>
            <w:tcW w:w="1660" w:type="dxa"/>
            <w:vAlign w:val="bottom"/>
            <w:gridSpan w:val="2"/>
          </w:tcPr>
          <w:p>
            <w:pPr>
              <w:jc w:val="center"/>
              <w:ind w:right="100"/>
              <w:spacing w:after="0"/>
              <w:rPr>
                <w:sz w:val="20"/>
                <w:szCs w:val="20"/>
                <w:color w:val="auto"/>
              </w:rPr>
            </w:pPr>
            <w:r>
              <w:rPr>
                <w:rFonts w:ascii="Arial" w:cs="Arial" w:eastAsia="Arial" w:hAnsi="Arial"/>
                <w:sz w:val="16"/>
                <w:szCs w:val="16"/>
                <w:color w:val="auto"/>
              </w:rPr>
              <w:t>250-year event</w:t>
            </w:r>
          </w:p>
        </w:tc>
        <w:tc>
          <w:tcPr>
            <w:tcW w:w="3220" w:type="dxa"/>
            <w:vAlign w:val="bottom"/>
          </w:tcPr>
          <w:p>
            <w:pPr>
              <w:jc w:val="center"/>
              <w:spacing w:after="0"/>
              <w:rPr>
                <w:sz w:val="20"/>
                <w:szCs w:val="20"/>
                <w:color w:val="auto"/>
              </w:rPr>
            </w:pPr>
            <w:r>
              <w:rPr>
                <w:rFonts w:ascii="Arial" w:cs="Arial" w:eastAsia="Arial" w:hAnsi="Arial"/>
                <w:sz w:val="16"/>
                <w:szCs w:val="16"/>
                <w:color w:val="auto"/>
                <w:w w:val="94"/>
              </w:rPr>
              <w:t>2%</w:t>
            </w:r>
          </w:p>
        </w:tc>
      </w:tr>
      <w:tr>
        <w:trPr>
          <w:trHeight w:val="217"/>
        </w:trPr>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500-year event</w:t>
            </w:r>
          </w:p>
        </w:tc>
        <w:tc>
          <w:tcPr>
            <w:tcW w:w="3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w:t>
            </w:r>
          </w:p>
        </w:tc>
      </w:tr>
    </w:tbl>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AFG maintains comprehensive property catastrophe reinsurance coverage for its property and casualty insurance operations, including a $70 million per occurrence net retention, for losses up to $153 million in the vast majority of circumstances. In certain unlikely events, AFG’s ultimate loss under this coverage could be as high as $73 million for a</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59"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single occurrence. AFG further maintains supplemental fully collateralized reinsurance coverage up to 94% of $324 million for catastrophe losses in excess of $153 million of traditional catastrophe reinsurance through a catastrophe bond.</w:t>
      </w:r>
    </w:p>
    <w:p>
      <w:pPr>
        <w:spacing w:after="0" w:line="185" w:lineRule="exact"/>
        <w:rPr>
          <w:sz w:val="20"/>
          <w:szCs w:val="20"/>
          <w:color w:val="auto"/>
        </w:rPr>
      </w:pPr>
    </w:p>
    <w:p>
      <w:pPr>
        <w:ind w:right="500"/>
        <w:spacing w:after="0" w:line="301" w:lineRule="auto"/>
        <w:rPr>
          <w:sz w:val="20"/>
          <w:szCs w:val="20"/>
          <w:color w:val="auto"/>
        </w:rPr>
      </w:pPr>
      <w:r>
        <w:rPr>
          <w:rFonts w:ascii="Arial" w:cs="Arial" w:eastAsia="Arial" w:hAnsi="Arial"/>
          <w:sz w:val="17"/>
          <w:szCs w:val="17"/>
          <w:color w:val="auto"/>
        </w:rPr>
        <w:t>Catastrophe losses of $36 million in the second quarter of 2024 and $51 million in the second quarter of 2023 resulted primarily from storms in multiple regions of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Commissions and Other Underwriting Expenses</w:t>
      </w:r>
    </w:p>
    <w:p>
      <w:pPr>
        <w:spacing w:after="0" w:line="17"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AFG’s property and casualty commissions and other underwriting expenses (“U/W Exp”) were $498 million in the second quarter of 2024 compared to $478 million for the second quarter of 2023, an increase of $20 million (4%). AFG’s underwriting expense ratio, calculated as commissions and other underwriting expenses divided by net premiums earned, was 31.4% for the second quarter of 2024 compared to 31.7% for the second quarter of 2023, a decrease of 0.3 percentage points. Detail of AFG’s property and casualty commissions and other underwriting expenses and underwriting expense ratios is shown below (dollars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color w:val="auto"/>
              </w:rPr>
              <w:t>Three months ended June 30,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965"/>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964"/>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280" w:type="dxa"/>
            <w:vAlign w:val="bottom"/>
          </w:tcPr>
          <w:p>
            <w:pPr>
              <w:jc w:val="right"/>
              <w:ind w:right="242"/>
              <w:spacing w:after="0"/>
              <w:rPr>
                <w:sz w:val="20"/>
                <w:szCs w:val="20"/>
                <w:color w:val="auto"/>
              </w:rPr>
            </w:pPr>
            <w:r>
              <w:rPr>
                <w:rFonts w:ascii="Arial" w:cs="Arial" w:eastAsia="Arial" w:hAnsi="Arial"/>
                <w:sz w:val="14"/>
                <w:szCs w:val="14"/>
                <w:color w:val="auto"/>
              </w:rPr>
              <w:t>Change in</w:t>
            </w:r>
          </w:p>
        </w:tc>
      </w:tr>
      <w:tr>
        <w:trPr>
          <w:trHeight w:val="198"/>
        </w:trPr>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21"/>
              <w:spacing w:after="0"/>
              <w:rPr>
                <w:sz w:val="20"/>
                <w:szCs w:val="20"/>
                <w:color w:val="auto"/>
              </w:rPr>
            </w:pPr>
            <w:r>
              <w:rPr>
                <w:rFonts w:ascii="Arial" w:cs="Arial" w:eastAsia="Arial" w:hAnsi="Arial"/>
                <w:sz w:val="14"/>
                <w:szCs w:val="14"/>
                <w:color w:val="auto"/>
              </w:rPr>
              <w:t>U/W Exp</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color w:val="auto"/>
              </w:rPr>
              <w:t>% of NEP</w:t>
            </w:r>
          </w:p>
        </w:tc>
        <w:tc>
          <w:tcPr>
            <w:tcW w:w="200" w:type="dxa"/>
            <w:vAlign w:val="bottom"/>
          </w:tcPr>
          <w:p>
            <w:pPr>
              <w:spacing w:after="0"/>
              <w:rPr>
                <w:sz w:val="17"/>
                <w:szCs w:val="17"/>
                <w:color w:val="auto"/>
              </w:rPr>
            </w:pPr>
          </w:p>
        </w:tc>
        <w:tc>
          <w:tcPr>
            <w:tcW w:w="840" w:type="dxa"/>
            <w:vAlign w:val="bottom"/>
          </w:tcPr>
          <w:p>
            <w:pPr>
              <w:jc w:val="right"/>
              <w:ind w:right="121"/>
              <w:spacing w:after="0"/>
              <w:rPr>
                <w:sz w:val="20"/>
                <w:szCs w:val="20"/>
                <w:color w:val="auto"/>
              </w:rPr>
            </w:pPr>
            <w:r>
              <w:rPr>
                <w:rFonts w:ascii="Arial" w:cs="Arial" w:eastAsia="Arial" w:hAnsi="Arial"/>
                <w:sz w:val="14"/>
                <w:szCs w:val="14"/>
                <w:color w:val="auto"/>
              </w:rPr>
              <w:t>U/W Exp</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color w:val="auto"/>
              </w:rPr>
              <w:t>% of NEP</w:t>
            </w:r>
          </w:p>
        </w:tc>
        <w:tc>
          <w:tcPr>
            <w:tcW w:w="1280" w:type="dxa"/>
            <w:vAlign w:val="bottom"/>
          </w:tcPr>
          <w:p>
            <w:pPr>
              <w:jc w:val="right"/>
              <w:ind w:right="242"/>
              <w:spacing w:after="0"/>
              <w:rPr>
                <w:sz w:val="20"/>
                <w:szCs w:val="20"/>
                <w:color w:val="auto"/>
              </w:rPr>
            </w:pPr>
            <w:r>
              <w:rPr>
                <w:rFonts w:ascii="Arial" w:cs="Arial" w:eastAsia="Arial" w:hAnsi="Arial"/>
                <w:sz w:val="14"/>
                <w:szCs w:val="14"/>
                <w:color w:val="auto"/>
              </w:rPr>
              <w:t>% of NEP</w:t>
            </w:r>
          </w:p>
        </w:tc>
      </w:tr>
      <w:tr>
        <w:trPr>
          <w:trHeight w:val="213"/>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28.9 %</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29.4 %</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27.4 %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195</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27.4 %</w:t>
            </w:r>
          </w:p>
        </w:tc>
        <w:tc>
          <w:tcPr>
            <w:tcW w:w="10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 %</w:t>
            </w:r>
          </w:p>
        </w:tc>
      </w:tr>
      <w:tr>
        <w:trPr>
          <w:trHeight w:val="21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47.6 %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54.1 %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(6.5 %)</w:t>
            </w:r>
          </w:p>
        </w:tc>
      </w:tr>
      <w:tr>
        <w:trPr>
          <w:trHeight w:val="215"/>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60" w:type="dxa"/>
            <w:vAlign w:val="bottom"/>
            <w:tcBorders>
              <w:bottom w:val="single" w:sz="8" w:color="auto"/>
            </w:tcBorders>
          </w:tcPr>
          <w:p>
            <w:pPr>
              <w:spacing w:after="0"/>
              <w:rPr>
                <w:sz w:val="18"/>
                <w:szCs w:val="18"/>
                <w:color w:val="auto"/>
              </w:rPr>
            </w:pP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36.8 %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60" w:type="dxa"/>
            <w:vAlign w:val="bottom"/>
            <w:tcBorders>
              <w:bottom w:val="single" w:sz="8" w:color="auto"/>
            </w:tcBorders>
          </w:tcPr>
          <w:p>
            <w:pPr>
              <w:spacing w:after="0"/>
              <w:rPr>
                <w:sz w:val="18"/>
                <w:szCs w:val="18"/>
                <w:color w:val="auto"/>
              </w:rPr>
            </w:pP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31.1 %</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rPr>
              <w:t>5.7 %</w:t>
            </w:r>
          </w:p>
        </w:tc>
      </w:tr>
      <w:tr>
        <w:trPr>
          <w:trHeight w:val="230"/>
        </w:trPr>
        <w:tc>
          <w:tcPr>
            <w:tcW w:w="49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31.4 %</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31.7 %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Commissions and other underwriting expenses as a percentage of net earned premiums decreased</w:t>
      </w:r>
    </w:p>
    <w:p>
      <w:pPr>
        <w:spacing w:after="0" w:line="15"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0.5 percentage points in the second quarter of 2024 compared to the second quarter of 2023 reflecting the impact of higher earned premiums on the ratio, including in the crop business that has a lower commissions and other underwriting expense ratio compared to some of the other businesses in the Property and transportation sub-segment and lower average commission rates in the trucking business.</w:t>
      </w:r>
    </w:p>
    <w:p>
      <w:pPr>
        <w:spacing w:after="0" w:line="201" w:lineRule="exact"/>
        <w:rPr>
          <w:sz w:val="20"/>
          <w:szCs w:val="20"/>
          <w:color w:val="auto"/>
        </w:rPr>
      </w:pPr>
    </w:p>
    <w:p>
      <w:pPr>
        <w:ind w:right="280"/>
        <w:spacing w:after="0" w:line="236"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Commissions and other underwriting expenses as a percentage of net earned premiums were comparable in the second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quarter of 2024 and the second quarter of 2023.</w:t>
      </w:r>
    </w:p>
    <w:p>
      <w:pPr>
        <w:spacing w:after="0" w:line="236" w:lineRule="exact"/>
        <w:rPr>
          <w:sz w:val="20"/>
          <w:szCs w:val="20"/>
          <w:color w:val="auto"/>
        </w:rPr>
      </w:pPr>
    </w:p>
    <w:p>
      <w:pPr>
        <w:ind w:right="160"/>
        <w:spacing w:after="0"/>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Commissions and other underwriting expenses as a percentage of net earned premiums decreased 6.5 percentage points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second quarter of 2024 compared to the second quarter of 2023 due primarily to the impact of higher earned premiums in the financial institutions business on the ratio and lower average commission rates in certain businesses.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Net Investment Income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Net investment income in AFG’s property and casualty insurance operations was $189 million in the second quarter of 2024 compared to</w:t>
      </w:r>
    </w:p>
    <w:p>
      <w:pPr>
        <w:spacing w:after="0" w:line="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$191 million in the second quarter of 2023, a decrease of $2 million (1%). The average invested assets and overall yield earned on investments held by AFG’s property and casualty insurance operations are provided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jc w:val="right"/>
              <w:ind w:right="700"/>
              <w:spacing w:after="0"/>
              <w:rPr>
                <w:sz w:val="20"/>
                <w:szCs w:val="20"/>
                <w:color w:val="auto"/>
              </w:rPr>
            </w:pPr>
            <w:r>
              <w:rPr>
                <w:rFonts w:ascii="Arial" w:cs="Arial" w:eastAsia="Arial" w:hAnsi="Arial"/>
                <w:sz w:val="14"/>
                <w:szCs w:val="14"/>
                <w:color w:val="auto"/>
              </w:rPr>
              <w:t>Three months ended June 30,</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9"/>
        </w:trPr>
        <w:tc>
          <w:tcPr>
            <w:tcW w:w="54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Change</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 Change</w:t>
            </w:r>
          </w:p>
        </w:tc>
      </w:tr>
      <w:tr>
        <w:trPr>
          <w:trHeight w:val="20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5"/>
        </w:trPr>
        <w:tc>
          <w:tcPr>
            <w:tcW w:w="5480" w:type="dxa"/>
            <w:vAlign w:val="bottom"/>
          </w:tcPr>
          <w:p>
            <w:pPr>
              <w:ind w:left="260"/>
              <w:spacing w:after="0"/>
              <w:rPr>
                <w:sz w:val="20"/>
                <w:szCs w:val="20"/>
                <w:color w:val="auto"/>
              </w:rPr>
            </w:pPr>
            <w:r>
              <w:rPr>
                <w:rFonts w:ascii="Arial" w:cs="Arial" w:eastAsia="Arial" w:hAnsi="Arial"/>
                <w:sz w:val="16"/>
                <w:szCs w:val="16"/>
                <w:color w:val="auto"/>
              </w:rPr>
              <w:t>Net investment income, excluding alternative investments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20</w:t>
            </w:r>
          </w:p>
        </w:tc>
        <w:tc>
          <w:tcPr>
            <w:tcW w:w="1220" w:type="dxa"/>
            <w:vAlign w:val="bottom"/>
            <w:gridSpan w:val="2"/>
          </w:tcPr>
          <w:p>
            <w:pPr>
              <w:jc w:val="right"/>
              <w:ind w:right="8"/>
              <w:spacing w:after="0"/>
              <w:rPr>
                <w:sz w:val="20"/>
                <w:szCs w:val="20"/>
                <w:color w:val="auto"/>
              </w:rPr>
            </w:pPr>
            <w:r>
              <w:rPr>
                <w:rFonts w:ascii="Arial" w:cs="Arial" w:eastAsia="Arial" w:hAnsi="Arial"/>
                <w:sz w:val="16"/>
                <w:szCs w:val="16"/>
                <w:color w:val="auto"/>
              </w:rPr>
              <w:t>15 %</w:t>
            </w:r>
          </w:p>
        </w:tc>
      </w:tr>
      <w:tr>
        <w:trPr>
          <w:trHeight w:val="216"/>
        </w:trPr>
        <w:tc>
          <w:tcPr>
            <w:tcW w:w="5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Alternative investments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10"/>
        </w:trPr>
        <w:tc>
          <w:tcPr>
            <w:tcW w:w="5480" w:type="dxa"/>
            <w:vAlign w:val="bottom"/>
          </w:tcPr>
          <w:p>
            <w:pPr>
              <w:ind w:left="440"/>
              <w:spacing w:after="0"/>
              <w:rPr>
                <w:sz w:val="20"/>
                <w:szCs w:val="20"/>
                <w:color w:val="auto"/>
              </w:rPr>
            </w:pPr>
            <w:r>
              <w:rPr>
                <w:rFonts w:ascii="Arial" w:cs="Arial" w:eastAsia="Arial" w:hAnsi="Arial"/>
                <w:sz w:val="16"/>
                <w:szCs w:val="16"/>
                <w:color w:val="auto"/>
              </w:rPr>
              <w:t>Total net investment income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83"/>
        </w:trPr>
        <w:tc>
          <w:tcPr>
            <w:tcW w:w="5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6"/>
                <w:szCs w:val="16"/>
                <w:color w:val="auto"/>
              </w:rPr>
              <w:t>Average invested assets (at amortized cost)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15,346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14,498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848</w:t>
            </w:r>
          </w:p>
        </w:tc>
        <w:tc>
          <w:tcPr>
            <w:tcW w:w="1220" w:type="dxa"/>
            <w:vAlign w:val="bottom"/>
            <w:gridSpan w:val="2"/>
          </w:tcPr>
          <w:p>
            <w:pPr>
              <w:jc w:val="right"/>
              <w:ind w:right="8"/>
              <w:spacing w:after="0"/>
              <w:rPr>
                <w:sz w:val="20"/>
                <w:szCs w:val="20"/>
                <w:color w:val="auto"/>
              </w:rPr>
            </w:pPr>
            <w:r>
              <w:rPr>
                <w:rFonts w:ascii="Arial" w:cs="Arial" w:eastAsia="Arial" w:hAnsi="Arial"/>
                <w:sz w:val="16"/>
                <w:szCs w:val="16"/>
                <w:color w:val="auto"/>
              </w:rPr>
              <w:t>6 %</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83"/>
        </w:trPr>
        <w:tc>
          <w:tcPr>
            <w:tcW w:w="5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6"/>
                <w:szCs w:val="16"/>
                <w:color w:val="auto"/>
              </w:rPr>
              <w:t>Yield (net investment income as a % of average invested assets)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4.93 %</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5.27 %</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(0.34 %)</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83"/>
        </w:trPr>
        <w:tc>
          <w:tcPr>
            <w:tcW w:w="5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6"/>
                <w:szCs w:val="16"/>
                <w:color w:val="auto"/>
              </w:rPr>
              <w:t>Tax equivalent yield (*)</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4.98 %</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5.34 %</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(0.36 %)</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
        </w:trPr>
        <w:tc>
          <w:tcPr>
            <w:tcW w:w="5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Adjusts the yield on equity securities and tax-exempt bonds to the fully taxable equivalent yield.</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decrease in the property and casualty insurance segment’s net investment income for the second quarter of 2024 compared to the second quarter of 2023 reflects lower returns on AFG’s alternative investments portfolio (partnerships and similar investments and AFG-managed CLOs), substantially offset by the impact of higher balances of invested assets and higher returns on fixed maturity investments. The property and casualty insurance segment’s overall yield on investments (net investment income as a percentage of average invested assets) was 4.93% for the second quarter of 2024 compared to 5.27% for the second quarter of 2023, a decrease of 0.34 percentage points reflecting lower returns on alternative investments. The annualized return earned on alternative investments was 5.1% in the second quarter of 2024 compared to 9.6% in the comparable prior year period.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Other Income and Expenses, Net</w:t>
      </w:r>
    </w:p>
    <w:p>
      <w:pPr>
        <w:spacing w:after="0" w:line="30" w:lineRule="exact"/>
        <w:rPr>
          <w:sz w:val="20"/>
          <w:szCs w:val="20"/>
          <w:color w:val="auto"/>
        </w:rPr>
      </w:pPr>
    </w:p>
    <w:p>
      <w:pPr>
        <w:jc w:val="both"/>
        <w:ind w:right="240"/>
        <w:spacing w:after="0" w:line="256" w:lineRule="auto"/>
        <w:rPr>
          <w:sz w:val="20"/>
          <w:szCs w:val="20"/>
          <w:color w:val="auto"/>
        </w:rPr>
      </w:pPr>
      <w:r>
        <w:rPr>
          <w:rFonts w:ascii="Arial" w:cs="Arial" w:eastAsia="Arial" w:hAnsi="Arial"/>
          <w:sz w:val="17"/>
          <w:szCs w:val="17"/>
          <w:color w:val="auto"/>
        </w:rPr>
        <w:t>Other income and expenses, net for AFG’s property and casualty insurance operations was a net expense of $20 million for the second quarter of 2024 compared to $16 million for the second quarter of 2023, an increase of $4 million (25%). The table below details the items included in other income and expenses, net for AFG’s property and casualty insurance operations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6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4"/>
                <w:szCs w:val="14"/>
                <w:color w:val="auto"/>
              </w:rPr>
              <w:t>Three months ended June 30,</w:t>
            </w:r>
          </w:p>
        </w:tc>
        <w:tc>
          <w:tcPr>
            <w:tcW w:w="460" w:type="dxa"/>
            <w:vAlign w:val="bottom"/>
            <w:tcBorders>
              <w:bottom w:val="single" w:sz="8" w:color="auto"/>
            </w:tcBorders>
          </w:tcPr>
          <w:p>
            <w:pPr>
              <w:spacing w:after="0"/>
              <w:rPr>
                <w:sz w:val="16"/>
                <w:szCs w:val="16"/>
                <w:color w:val="auto"/>
              </w:rPr>
            </w:pPr>
          </w:p>
        </w:tc>
      </w:tr>
      <w:tr>
        <w:trPr>
          <w:trHeight w:val="196"/>
        </w:trPr>
        <w:tc>
          <w:tcPr>
            <w:tcW w:w="80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2024</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2023</w:t>
            </w:r>
          </w:p>
        </w:tc>
        <w:tc>
          <w:tcPr>
            <w:tcW w:w="460" w:type="dxa"/>
            <w:vAlign w:val="bottom"/>
            <w:tcBorders>
              <w:bottom w:val="single" w:sz="8" w:color="auto"/>
            </w:tcBorders>
          </w:tcPr>
          <w:p>
            <w:pPr>
              <w:spacing w:after="0"/>
              <w:rPr>
                <w:sz w:val="17"/>
                <w:szCs w:val="17"/>
                <w:color w:val="auto"/>
              </w:rPr>
            </w:pP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108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196"/>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Other expenses:</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6"/>
        </w:trPr>
        <w:tc>
          <w:tcPr>
            <w:tcW w:w="8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intangibles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8060" w:type="dxa"/>
            <w:vAlign w:val="bottom"/>
          </w:tcPr>
          <w:p>
            <w:pPr>
              <w:ind w:left="260"/>
              <w:spacing w:after="0"/>
              <w:rPr>
                <w:sz w:val="20"/>
                <w:szCs w:val="20"/>
                <w:color w:val="auto"/>
              </w:rPr>
            </w:pPr>
            <w:r>
              <w:rPr>
                <w:rFonts w:ascii="Arial" w:cs="Arial" w:eastAsia="Arial" w:hAnsi="Arial"/>
                <w:sz w:val="16"/>
                <w:szCs w:val="16"/>
                <w:color w:val="auto"/>
              </w:rPr>
              <w:t>Interest expense on funds withheld</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8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expenses related to CRS</w:t>
            </w: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80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other expenses</w:t>
            </w: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Other income and expenses, net</w:t>
            </w:r>
          </w:p>
        </w:tc>
        <w:tc>
          <w:tcPr>
            <w:tcW w:w="1080" w:type="dxa"/>
            <w:vAlign w:val="bottom"/>
            <w:tcBorders>
              <w:bottom w:val="single" w:sz="8" w:color="auto"/>
            </w:tcBorders>
          </w:tcPr>
          <w:p>
            <w:pPr>
              <w:jc w:val="right"/>
              <w:ind w:right="88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90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8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right="160"/>
        <w:spacing w:after="0" w:line="274" w:lineRule="auto"/>
        <w:rPr>
          <w:sz w:val="20"/>
          <w:szCs w:val="20"/>
          <w:color w:val="auto"/>
        </w:rPr>
      </w:pPr>
      <w:r>
        <w:rPr>
          <w:rFonts w:ascii="Arial" w:cs="Arial" w:eastAsia="Arial" w:hAnsi="Arial"/>
          <w:sz w:val="17"/>
          <w:szCs w:val="17"/>
          <w:color w:val="auto"/>
        </w:rPr>
        <w:t>The higher amortization of intangibles in the second quarter of 2024 compared to the second quarter of 2023 reflects the acquisition of CRS in July 2023. The $3 million (30%) increase in interest expense on funds withheld for the second quarter of 2024 compared to the second quarter of 2023 reflects the impact of higher interest rates paid on funds withheld.</w:t>
      </w:r>
    </w:p>
    <w:p>
      <w:pPr>
        <w:spacing w:after="0" w:line="287"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Holding Company, Other and Unallocated — Results of Operations</w:t>
      </w:r>
    </w:p>
    <w:p>
      <w:pPr>
        <w:spacing w:after="0" w:line="2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AFG’s net GAAP pretax loss outside of its property and casualty insurance segment (excluding realized gains and losses) totaled $46 million in the second quarter of 2024 compared to $42 million in the second quarter of 2023, an increase of $4 million (10%). AFG’s net core pretax loss outside of its property and casualty insurance segment (excluding realized gains and losses) totaled $46 million in the second quarter of 2024 compared to $41 million in the second quarter of 2023, an increase of $5 million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The following table details AFG’s GAAP and core loss before income taxes from operations outside of its property and casualty insurance segment for the three months ended June 30, 2024 and 2023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color w:val="auto"/>
              </w:rPr>
              <w:t>Three months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0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1000" w:type="dxa"/>
            <w:vAlign w:val="bottom"/>
          </w:tcPr>
          <w:p>
            <w:pPr>
              <w:jc w:val="right"/>
              <w:ind w:right="80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 P&amp;C fees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6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Property and casualty insurance — loss adjustment and underwriting expenses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1260" w:type="dxa"/>
            <w:vAlign w:val="bottom"/>
            <w:gridSpan w:val="2"/>
          </w:tcPr>
          <w:p>
            <w:pPr>
              <w:jc w:val="right"/>
              <w:ind w:right="2"/>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 expenses associated with P&amp;C fees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6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expenses (*)</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60" w:type="dxa"/>
            <w:vAlign w:val="bottom"/>
            <w:tcBorders>
              <w:bottom w:val="single" w:sz="8" w:color="CCEEFF"/>
            </w:tcBorders>
            <w:gridSpan w:val="2"/>
          </w:tcPr>
          <w:p>
            <w:pPr>
              <w:jc w:val="right"/>
              <w:ind w:right="2"/>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Costs and expenses, excluding interest charges on borrowed money</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6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142"/>
        </w:trPr>
        <w:tc>
          <w:tcPr>
            <w:tcW w:w="7020" w:type="dxa"/>
            <w:vAlign w:val="bottom"/>
          </w:tcPr>
          <w:p>
            <w:pPr>
              <w:ind w:left="20"/>
              <w:spacing w:after="0" w:line="142" w:lineRule="exact"/>
              <w:rPr>
                <w:sz w:val="20"/>
                <w:szCs w:val="20"/>
                <w:color w:val="auto"/>
              </w:rPr>
            </w:pPr>
            <w:r>
              <w:rPr>
                <w:rFonts w:ascii="Arial" w:cs="Arial" w:eastAsia="Arial" w:hAnsi="Arial"/>
                <w:sz w:val="16"/>
                <w:szCs w:val="16"/>
                <w:color w:val="auto"/>
              </w:rPr>
              <w:t>Loss before income taxes, excluding realized gains and losses and interest charges on borrowed</w:t>
            </w:r>
          </w:p>
        </w:tc>
        <w:tc>
          <w:tcPr>
            <w:tcW w:w="10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1260" w:type="dxa"/>
            <w:vAlign w:val="bottom"/>
            <w:gridSpan w:val="2"/>
            <w:vMerge w:val="restart"/>
          </w:tcPr>
          <w:p>
            <w:pPr>
              <w:jc w:val="right"/>
              <w:ind w:right="2"/>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money</w:t>
            </w:r>
          </w:p>
        </w:tc>
        <w:tc>
          <w:tcPr>
            <w:tcW w:w="10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charges on borrowed money</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Core loss before income taxes, excluding realized gains and losses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(41)</w:t>
            </w:r>
          </w:p>
        </w:tc>
        <w:tc>
          <w:tcPr>
            <w:tcW w:w="1260" w:type="dxa"/>
            <w:vAlign w:val="bottom"/>
            <w:gridSpan w:val="2"/>
          </w:tcPr>
          <w:p>
            <w:pPr>
              <w:jc w:val="right"/>
              <w:ind w:right="2"/>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5"/>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non-core loss on retirement of debt</w:t>
            </w: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GAAP loss before income taxes, excluding realized gains and losses</w:t>
            </w:r>
          </w:p>
        </w:tc>
        <w:tc>
          <w:tcPr>
            <w:tcW w:w="1000" w:type="dxa"/>
            <w:vAlign w:val="bottom"/>
            <w:tcBorders>
              <w:top w:val="single" w:sz="8" w:color="auto"/>
              <w:bottom w:val="single" w:sz="8" w:color="auto"/>
            </w:tcBorders>
          </w:tcPr>
          <w:p>
            <w:pPr>
              <w:jc w:val="right"/>
              <w:ind w:right="804"/>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60" w:type="dxa"/>
            <w:vAlign w:val="bottom"/>
            <w:gridSpan w:val="2"/>
          </w:tcPr>
          <w:p>
            <w:pPr>
              <w:jc w:val="right"/>
              <w:ind w:right="2"/>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Excludes a pretax non-core loss on retirement of debt of $1 million in the second quarter of 2023.</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Net Investment Income</w:t>
      </w:r>
    </w:p>
    <w:p>
      <w:pPr>
        <w:spacing w:after="0" w:line="30"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AFG recorded net investment income on investments held outside of its property and casualty insurance segment of $8 million in the second quarter of 2024 compared to $12 million in the second quarter of 2023, a decrease of $4 million (33%) reflecting the impact of lower average investment balances.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P&amp;C Fees and Related Expenses</w:t>
      </w:r>
    </w:p>
    <w:p>
      <w:pPr>
        <w:spacing w:after="0" w:line="3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the second quarter of 2024, AFG collected $24 million in fees for these services compared to $22 million in the second quarter of 2023. Management views this fee income, net of the $16 million in the second quarter of 2024 and $15 million in the second quarter of 2023 in expenses incurred to generate such fees, as a reduction in the cost of underwriting its property and casualty insurance policies. The expenses related to providing such services are embedded in property and casualty underwriting expenses. Consistent with internal management reporting, these fees and the related expenses are netted and recorded as a reduction of commissions and other underwriting expenses in AFG’s segmented results.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Income</w:t>
      </w:r>
    </w:p>
    <w:p>
      <w:pPr>
        <w:spacing w:after="0" w:line="30"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 xml:space="preserve">Other income in the table above includes $3 million in the second quarter of 2024 and $4 million in the second quarter of 2023 in management fees paid to AFG by the AFG-managed CLOs (AFG’s consolidated managed investment entities). The management fees are eliminated in consolidation — see the other income line in the Consolidate MIEs column under </w:t>
      </w:r>
      <w:r>
        <w:rPr>
          <w:rFonts w:ascii="Arial" w:cs="Arial" w:eastAsia="Arial" w:hAnsi="Arial"/>
          <w:sz w:val="17"/>
          <w:szCs w:val="17"/>
          <w:i w:val="1"/>
          <w:iCs w:val="1"/>
          <w:color w:val="auto"/>
        </w:rPr>
        <w:t>“Results of Operations — Segmented Statement of Earnings.”</w:t>
      </w:r>
      <w:r>
        <w:rPr>
          <w:rFonts w:ascii="Arial" w:cs="Arial" w:eastAsia="Arial" w:hAnsi="Arial"/>
          <w:sz w:val="17"/>
          <w:szCs w:val="17"/>
          <w:color w:val="auto"/>
        </w:rPr>
        <w:t xml:space="preserve"> Excluding amounts eliminated in consolidation, AFG recorded other income outside of its property and casualty insurance segment of $1 million in the second quarter of 2024 and less than $1 million in the second quarter of 2023.</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Expenses</w:t>
      </w:r>
    </w:p>
    <w:p>
      <w:pPr>
        <w:spacing w:after="0" w:line="30" w:lineRule="exact"/>
        <w:rPr>
          <w:sz w:val="20"/>
          <w:szCs w:val="20"/>
          <w:color w:val="auto"/>
        </w:rPr>
      </w:pPr>
    </w:p>
    <w:p>
      <w:pPr>
        <w:ind w:right="300"/>
        <w:spacing w:after="0" w:line="256" w:lineRule="auto"/>
        <w:rPr>
          <w:sz w:val="20"/>
          <w:szCs w:val="20"/>
          <w:color w:val="auto"/>
        </w:rPr>
      </w:pPr>
      <w:r>
        <w:rPr>
          <w:rFonts w:ascii="Arial" w:cs="Arial" w:eastAsia="Arial" w:hAnsi="Arial"/>
          <w:sz w:val="17"/>
          <w:szCs w:val="17"/>
          <w:color w:val="auto"/>
        </w:rPr>
        <w:t>Excluding the non-core loss on retirement of debt in the second quarter of 2023 discussed below, AFG’s holding companies and other operations outside of its property and casualty insurance segment recorded other expenses of $39 million in the second quarter of 2024 compared to $38 million in the second quarter of 2023, an increase of $1 million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Interest Charges on Borrowed Money</w:t>
      </w:r>
    </w:p>
    <w:p>
      <w:pPr>
        <w:spacing w:after="0" w:line="30"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interest expense of $19 million in both the second quarter of 2024 and the second quarter of 2023.</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Loss on Retirement of Debt</w:t>
      </w:r>
    </w:p>
    <w:p>
      <w:pPr>
        <w:spacing w:after="0" w:line="30" w:lineRule="exact"/>
        <w:rPr>
          <w:sz w:val="20"/>
          <w:szCs w:val="20"/>
          <w:color w:val="auto"/>
        </w:rPr>
      </w:pPr>
    </w:p>
    <w:p>
      <w:pPr>
        <w:ind w:right="380"/>
        <w:spacing w:after="0" w:line="264" w:lineRule="auto"/>
        <w:rPr>
          <w:sz w:val="20"/>
          <w:szCs w:val="20"/>
          <w:color w:val="auto"/>
        </w:rPr>
      </w:pPr>
      <w:r>
        <w:rPr>
          <w:rFonts w:ascii="Arial" w:cs="Arial" w:eastAsia="Arial" w:hAnsi="Arial"/>
          <w:sz w:val="17"/>
          <w:szCs w:val="17"/>
          <w:color w:val="auto"/>
        </w:rPr>
        <w:t>During the second quarter of 2023, AFG recorded a $1 million pretax non-core loss related to the write-off of debt issue costs associated with its previous revolving credit facility, which was replaced in June 2023.</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Gains (Losses) on Securities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AFG’s realized gains (losses) on securities were net losses of $2 million in both the second quarter of 2024 and the second quarter of 2023.</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Realized gains (losses) on securities consisted of the following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color w:val="auto"/>
              </w:rPr>
              <w:t>Three months ended June 30,</w:t>
            </w:r>
          </w:p>
        </w:tc>
      </w:tr>
      <w:tr>
        <w:trPr>
          <w:trHeight w:val="199"/>
        </w:trPr>
        <w:tc>
          <w:tcPr>
            <w:tcW w:w="8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5"/>
                <w:szCs w:val="15"/>
                <w:color w:val="auto"/>
              </w:rPr>
              <w:t>2023</w:t>
            </w: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before impairment allowances: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Disposals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ind w:left="9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the fair value of equity securities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Change in the fair value of derivatives</w:t>
            </w:r>
          </w:p>
        </w:tc>
        <w:tc>
          <w:tcPr>
            <w:tcW w:w="34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8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197"/>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allowance for impairments on securities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220" w:type="dxa"/>
            <w:vAlign w:val="bottom"/>
          </w:tcPr>
          <w:p>
            <w:pPr>
              <w:ind w:left="480"/>
              <w:spacing w:after="0"/>
              <w:rPr>
                <w:sz w:val="20"/>
                <w:szCs w:val="20"/>
                <w:color w:val="auto"/>
              </w:rPr>
            </w:pPr>
            <w:r>
              <w:rPr>
                <w:rFonts w:ascii="Arial" w:cs="Arial" w:eastAsia="Arial" w:hAnsi="Arial"/>
                <w:sz w:val="16"/>
                <w:szCs w:val="16"/>
                <w:color w:val="auto"/>
              </w:rPr>
              <w:t>Realized gains (losses) on securities</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$1 million net realized loss from the change in the fair value of equity securities in the second quarter of 2024 includes losses of $4 million on investments in media companies, partially offset by gains of $3 million on investments in healthcare companies. The $3 million net realized gain from the change in the fair value of equity securities in the second quarter of 2023 includes gains of $3 million on investments in capital goods companies, $2 million on investments in banks and financing companies, $2 million on investments in healthcare companies and $2 million on investments in real estate investment trusts, partially offset by losses of $5 million on investments in media companies and $3 million on investments in retail companies.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Consolidated Income Taxes</w:t>
      </w:r>
    </w:p>
    <w:p>
      <w:pPr>
        <w:spacing w:after="0" w:line="41"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 xml:space="preserve">AFG’s consolidated provision for income taxes was $62 million for the second quarter of 2024 compared to $55 million for the second quarter of 2023, an increase of $7 million (13%). See </w:t>
      </w:r>
      <w:r>
        <w:rPr>
          <w:rFonts w:ascii="Arial" w:cs="Arial" w:eastAsia="Arial" w:hAnsi="Arial"/>
          <w:sz w:val="17"/>
          <w:szCs w:val="17"/>
          <w:i w:val="1"/>
          <w:iCs w:val="1"/>
          <w:color w:val="auto"/>
        </w:rPr>
        <w:t>Note K — “Income Taxes”</w:t>
      </w:r>
      <w:r>
        <w:rPr>
          <w:rFonts w:ascii="Arial" w:cs="Arial" w:eastAsia="Arial" w:hAnsi="Arial"/>
          <w:sz w:val="17"/>
          <w:szCs w:val="17"/>
          <w:color w:val="auto"/>
        </w:rPr>
        <w:t xml:space="preserve"> to the financial statements for an analysis of items affecting AFG’s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RESULTS OF OPERATIONS — SIX MONTHS ENDED JUNE 30, 2024 AND 2023</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Segmented Statement of Earnings</w:t>
      </w:r>
    </w:p>
    <w:p>
      <w:pPr>
        <w:spacing w:after="0" w:line="28"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AFG reports its operations as two segments: (i) Property and casualty insurance (“P&amp;C”) and (ii) Other, which includes holding company costs and income and expenses related to the managed investment entities (“MIEs”).</w:t>
      </w:r>
    </w:p>
    <w:p>
      <w:pPr>
        <w:spacing w:after="0" w:line="202"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The following tables for the six months ended June 30, 2024 and 2023 identify such items by segment and reconcile net earnings to core net operating earnings, a non-GAAP financial measure that AFG believes is a useful tool for investors and analysts in analyzing ongoing operating trends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6"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2"/>
                <w:szCs w:val="12"/>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Six months ended June 30, 2024</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7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3,529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3,794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3,806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1,849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Six months ended June 30, 2023</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7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3,350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198</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3,628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3,580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1,725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Gain on retirement of debt, net of tax</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20" w:right="180" w:hanging="412"/>
        <w:spacing w:after="0" w:line="284" w:lineRule="auto"/>
        <w:tabs>
          <w:tab w:leader="none" w:pos="411"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See the reconciliation of core earnings to GAAP net earnings under </w:t>
      </w:r>
      <w:r>
        <w:rPr>
          <w:rFonts w:ascii="Arial" w:cs="Arial" w:eastAsia="Arial" w:hAnsi="Arial"/>
          <w:sz w:val="17"/>
          <w:szCs w:val="17"/>
          <w:i w:val="1"/>
          <w:iCs w:val="1"/>
          <w:color w:val="auto"/>
        </w:rPr>
        <w:t>“Results of Operations — General”</w:t>
      </w:r>
      <w:r>
        <w:rPr>
          <w:rFonts w:ascii="Arial" w:cs="Arial" w:eastAsia="Arial" w:hAnsi="Arial"/>
          <w:sz w:val="17"/>
          <w:szCs w:val="17"/>
          <w:color w:val="auto"/>
        </w:rPr>
        <w:t xml:space="preserve"> for details on the tax impacts of these reconciling items.</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Property and Casualty Insurance Segment — Results of Operations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AFG’s property and casualty insurance operations contributed $659 million in pretax earnings in the first six months of 2024 compared to</w:t>
      </w:r>
    </w:p>
    <w:p>
      <w:pPr>
        <w:spacing w:after="0" w:line="7"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$649 million in the first six months of 2023, an increase of $10 million (2%). The increase in pretax earnings reflects higher underwriting profit and higher investment income outside of alternative investments, partially offset by lower investment income from AFG’s alternative investment portfolio (partnerships and similar investments and AFG-managed CLOs), lower other income and higher other expenses, in the first six months of 2024 compared to the first six months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AFG’s earnings before income taxes from its property and casualty insurance operations for the six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June 30, 2024 and 2023 (dollars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color w:val="auto"/>
              </w:rPr>
              <w:t>Six months ended June 30,</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1"/>
        </w:trPr>
        <w:tc>
          <w:tcPr>
            <w:tcW w:w="67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5"/>
                <w:szCs w:val="15"/>
                <w:color w:val="auto"/>
              </w:rPr>
              <w:t>2023</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color w:val="auto"/>
              </w:rPr>
              <w:t>% Change</w:t>
            </w:r>
          </w:p>
        </w:tc>
      </w:tr>
      <w:tr>
        <w:trPr>
          <w:trHeight w:val="21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written premiums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4,742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4,524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5 %</w:t>
            </w:r>
          </w:p>
        </w:tc>
      </w:tr>
      <w:tr>
        <w:trPr>
          <w:trHeight w:val="21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premiums ceded</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(1,338)</w:t>
            </w:r>
          </w:p>
        </w:tc>
        <w:tc>
          <w:tcPr>
            <w:tcW w:w="13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6 %</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written premiums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3,326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3,186</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4 %</w:t>
            </w:r>
          </w:p>
        </w:tc>
      </w:tr>
      <w:tr>
        <w:trPr>
          <w:trHeight w:val="21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unearned premiums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(242)</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(19 %)</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earned premiums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2,944</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6 %</w:t>
            </w: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Loss and loss adjustment expenses</w:t>
            </w:r>
          </w:p>
        </w:tc>
        <w:tc>
          <w:tcPr>
            <w:tcW w:w="34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1,844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1,725</w:t>
            </w: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7 %</w:t>
            </w: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Commissions and other underwriting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941</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5 %</w:t>
            </w:r>
          </w:p>
        </w:tc>
      </w:tr>
      <w:tr>
        <w:trPr>
          <w:trHeight w:val="209"/>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Underwriting gain</w:t>
            </w:r>
          </w:p>
        </w:tc>
        <w:tc>
          <w:tcPr>
            <w:tcW w:w="34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278</w:t>
            </w: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9 %</w:t>
            </w:r>
          </w:p>
        </w:tc>
      </w:tr>
      <w:tr>
        <w:trPr>
          <w:trHeight w:val="216"/>
        </w:trPr>
        <w:tc>
          <w:tcPr>
            <w:tcW w:w="6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34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398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and expenses, net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41 %</w:t>
            </w:r>
          </w:p>
        </w:tc>
      </w:tr>
      <w:tr>
        <w:trPr>
          <w:trHeight w:val="209"/>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Earnings before income taxes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649</w:t>
            </w: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2 %</w:t>
            </w:r>
          </w:p>
        </w:tc>
      </w:tr>
      <w:tr>
        <w:trPr>
          <w:trHeight w:val="21"/>
        </w:trPr>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3" w:lineRule="exact"/>
        <w:rPr>
          <w:sz w:val="20"/>
          <w:szCs w:val="20"/>
          <w:color w:val="auto"/>
        </w:rPr>
      </w:pPr>
    </w:p>
    <w:p>
      <w:pPr>
        <w:ind w:left="7480"/>
        <w:spacing w:after="0"/>
        <w:rPr>
          <w:sz w:val="20"/>
          <w:szCs w:val="20"/>
          <w:color w:val="auto"/>
        </w:rPr>
      </w:pPr>
      <w:r>
        <w:rPr>
          <w:rFonts w:ascii="Arial" w:cs="Arial" w:eastAsia="Arial" w:hAnsi="Arial"/>
          <w:sz w:val="14"/>
          <w:szCs w:val="14"/>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19970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Combined Ratios: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Specialty lines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Aggregate — including exited lines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580"/>
        <w:spacing w:after="0"/>
        <w:tabs>
          <w:tab w:leader="none" w:pos="2180" w:val="left"/>
          <w:tab w:leader="none" w:pos="3560" w:val="left"/>
        </w:tabs>
        <w:rPr>
          <w:sz w:val="20"/>
          <w:szCs w:val="20"/>
          <w:color w:val="auto"/>
        </w:rPr>
      </w:pPr>
      <w:r>
        <w:rPr>
          <w:rFonts w:ascii="Arial" w:cs="Arial" w:eastAsia="Arial" w:hAnsi="Arial"/>
          <w:sz w:val="15"/>
          <w:szCs w:val="15"/>
          <w:color w:val="auto"/>
        </w:rPr>
        <w:t>2024</w:t>
      </w:r>
      <w:r>
        <w:rPr>
          <w:sz w:val="20"/>
          <w:szCs w:val="20"/>
          <w:color w:val="auto"/>
        </w:rPr>
        <w:tab/>
      </w:r>
      <w:r>
        <w:rPr>
          <w:rFonts w:ascii="Arial" w:cs="Arial" w:eastAsia="Arial" w:hAnsi="Arial"/>
          <w:sz w:val="15"/>
          <w:szCs w:val="15"/>
          <w:color w:val="auto"/>
        </w:rPr>
        <w:t>2023</w:t>
      </w:r>
      <w:r>
        <w:rPr>
          <w:sz w:val="20"/>
          <w:szCs w:val="20"/>
          <w:color w:val="auto"/>
        </w:rPr>
        <w:tab/>
      </w:r>
      <w:r>
        <w:rPr>
          <w:rFonts w:ascii="Arial" w:cs="Arial" w:eastAsia="Arial" w:hAnsi="Arial"/>
          <w:sz w:val="15"/>
          <w:szCs w:val="15"/>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21590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Pr>
          <w:p>
            <w:pPr>
              <w:jc w:val="right"/>
              <w:spacing w:after="0"/>
              <w:rPr>
                <w:sz w:val="20"/>
                <w:szCs w:val="20"/>
                <w:color w:val="auto"/>
              </w:rPr>
            </w:pPr>
            <w:r>
              <w:rPr>
                <w:rFonts w:ascii="Arial" w:cs="Arial" w:eastAsia="Arial" w:hAnsi="Arial"/>
                <w:sz w:val="16"/>
                <w:szCs w:val="16"/>
                <w:color w:val="auto"/>
              </w:rPr>
              <w:t>58.8 %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58.6 %</w:t>
            </w:r>
          </w:p>
        </w:tc>
        <w:tc>
          <w:tcPr>
            <w:tcW w:w="130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217"/>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31.4 %</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32.0 %</w:t>
            </w:r>
          </w:p>
        </w:tc>
        <w:tc>
          <w:tcPr>
            <w:tcW w:w="130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10"/>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90.2 %</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90.6 %</w:t>
            </w:r>
          </w:p>
        </w:tc>
        <w:tc>
          <w:tcPr>
            <w:tcW w:w="1300" w:type="dxa"/>
            <w:vAlign w:val="bottom"/>
          </w:tcPr>
          <w:p>
            <w:pPr>
              <w:jc w:val="right"/>
              <w:spacing w:after="0"/>
              <w:rPr>
                <w:sz w:val="20"/>
                <w:szCs w:val="20"/>
                <w:color w:val="auto"/>
              </w:rPr>
            </w:pPr>
            <w:r>
              <w:rPr>
                <w:rFonts w:ascii="Arial" w:cs="Arial" w:eastAsia="Arial" w:hAnsi="Arial"/>
                <w:sz w:val="16"/>
                <w:szCs w:val="16"/>
                <w:color w:val="auto"/>
              </w:rPr>
              <w:t>(0.4 %)</w:t>
            </w:r>
          </w:p>
        </w:tc>
      </w:tr>
      <w:tr>
        <w:trPr>
          <w:trHeight w:val="21"/>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613"/>
        </w:trPr>
        <w:tc>
          <w:tcPr>
            <w:tcW w:w="1520" w:type="dxa"/>
            <w:vAlign w:val="bottom"/>
          </w:tcPr>
          <w:p>
            <w:pPr>
              <w:jc w:val="right"/>
              <w:spacing w:after="0"/>
              <w:rPr>
                <w:sz w:val="20"/>
                <w:szCs w:val="20"/>
                <w:color w:val="auto"/>
              </w:rPr>
            </w:pPr>
            <w:r>
              <w:rPr>
                <w:rFonts w:ascii="Arial" w:cs="Arial" w:eastAsia="Arial" w:hAnsi="Arial"/>
                <w:sz w:val="16"/>
                <w:szCs w:val="16"/>
                <w:color w:val="auto"/>
              </w:rPr>
              <w:t>58.9 %</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58.5 %</w:t>
            </w:r>
          </w:p>
        </w:tc>
        <w:tc>
          <w:tcPr>
            <w:tcW w:w="1300" w:type="dxa"/>
            <w:vAlign w:val="bottom"/>
          </w:tcPr>
          <w:p>
            <w:pPr>
              <w:jc w:val="right"/>
              <w:spacing w:after="0"/>
              <w:rPr>
                <w:sz w:val="20"/>
                <w:szCs w:val="20"/>
                <w:color w:val="auto"/>
              </w:rPr>
            </w:pPr>
            <w:r>
              <w:rPr>
                <w:rFonts w:ascii="Arial" w:cs="Arial" w:eastAsia="Arial" w:hAnsi="Arial"/>
                <w:sz w:val="16"/>
                <w:szCs w:val="16"/>
                <w:color w:val="auto"/>
              </w:rPr>
              <w:t>0.4 %</w:t>
            </w:r>
          </w:p>
        </w:tc>
      </w:tr>
      <w:tr>
        <w:trPr>
          <w:trHeight w:val="217"/>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31.4 %</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32.0 %</w:t>
            </w:r>
          </w:p>
        </w:tc>
        <w:tc>
          <w:tcPr>
            <w:tcW w:w="130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10"/>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90.3 %</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90.5 %</w:t>
            </w:r>
          </w:p>
        </w:tc>
        <w:tc>
          <w:tcPr>
            <w:tcW w:w="130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21"/>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-1165225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-890905</wp:posOffset>
            </wp:positionV>
            <wp:extent cx="7132320"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-590550</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-316865</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60" w:space="720"/>
            <w:col w:w="4460"/>
          </w:cols>
          <w:pgMar w:left="320" w:top="116" w:right="339" w:bottom="1440" w:gutter="0" w:footer="0" w:header="0"/>
          <w:type w:val="continuous"/>
        </w:sectPr>
      </w:pPr>
    </w:p>
    <w:p>
      <w:pPr>
        <w:spacing w:after="0" w:line="115"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AFG reports the underwriting performance of its Specialty property and casualty insurance business in the following sub-segments: (i) Property and transportation, (ii) Specialty casualty and (iii) Specialty financial.</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Gross Written Premiums</w:t>
      </w:r>
    </w:p>
    <w:p>
      <w:pPr>
        <w:spacing w:after="0" w:line="3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Gross written premiums (“GWP”) for AFG’s property and casualty insurance segment were $4.74 billion for the first six months of 2024 compared to $4.52 billion for the first six months of 2023, an increase of $218 million (5%). Detail of AFG’s property and casualty gross written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color w:val="auto"/>
              </w:rPr>
              <w:t>Six months ended June 30,</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2023</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9"/>
        </w:trPr>
        <w:tc>
          <w:tcPr>
            <w:tcW w:w="5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4"/>
                <w:szCs w:val="14"/>
                <w:color w:val="auto"/>
              </w:rPr>
              <w:t>GWP</w:t>
            </w:r>
          </w:p>
        </w:tc>
        <w:tc>
          <w:tcPr>
            <w:tcW w:w="900" w:type="dxa"/>
            <w:vAlign w:val="bottom"/>
          </w:tcPr>
          <w:p>
            <w:pPr>
              <w:jc w:val="right"/>
              <w:ind w:right="36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40"/>
              <w:spacing w:after="0"/>
              <w:rPr>
                <w:sz w:val="20"/>
                <w:szCs w:val="20"/>
                <w:color w:val="auto"/>
              </w:rPr>
            </w:pPr>
            <w:r>
              <w:rPr>
                <w:rFonts w:ascii="Arial" w:cs="Arial" w:eastAsia="Arial" w:hAnsi="Arial"/>
                <w:sz w:val="14"/>
                <w:szCs w:val="14"/>
                <w:color w:val="auto"/>
              </w:rPr>
              <w:t>GWP</w:t>
            </w:r>
          </w:p>
        </w:tc>
        <w:tc>
          <w:tcPr>
            <w:tcW w:w="760" w:type="dxa"/>
            <w:vAlign w:val="bottom"/>
          </w:tcPr>
          <w:p>
            <w:pPr>
              <w:jc w:val="right"/>
              <w:ind w:right="36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00" w:type="dxa"/>
            <w:vAlign w:val="bottom"/>
          </w:tcPr>
          <w:p>
            <w:pPr>
              <w:jc w:val="right"/>
              <w:ind w:right="144"/>
              <w:spacing w:after="0"/>
              <w:rPr>
                <w:sz w:val="20"/>
                <w:szCs w:val="20"/>
                <w:color w:val="auto"/>
              </w:rPr>
            </w:pPr>
            <w:r>
              <w:rPr>
                <w:rFonts w:ascii="Arial" w:cs="Arial" w:eastAsia="Arial" w:hAnsi="Arial"/>
                <w:sz w:val="14"/>
                <w:szCs w:val="14"/>
                <w:color w:val="auto"/>
              </w:rPr>
              <w:t>% Change</w:t>
            </w:r>
          </w:p>
        </w:tc>
      </w:tr>
      <w:tr>
        <w:trPr>
          <w:trHeight w:val="213"/>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1,931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15"/>
        </w:trPr>
        <w:tc>
          <w:tcPr>
            <w:tcW w:w="542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2,120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2,073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17"/>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10"/>
        </w:trPr>
        <w:tc>
          <w:tcPr>
            <w:tcW w:w="54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4,742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4,524</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5 %</w:t>
            </w: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Reinsurance Premiums Ceded</w:t>
      </w:r>
    </w:p>
    <w:p>
      <w:pPr>
        <w:spacing w:after="0" w:line="30"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Reinsurance premiums ceded (“Ceded”) for AFG’s property and casualty insurance segment were 30% of gross written premiums in both the first six months of 2024 and the first six months of 2023. Detail of AFG’s property and casualty reinsurance premiums ceded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color w:val="auto"/>
              </w:rPr>
              <w:t>Six months ended June 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2024</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2023</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Change in</w:t>
            </w:r>
          </w:p>
        </w:tc>
      </w:tr>
      <w:tr>
        <w:trPr>
          <w:trHeight w:val="198"/>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 of GWP</w:t>
            </w:r>
          </w:p>
        </w:tc>
        <w:tc>
          <w:tcPr>
            <w:tcW w:w="240" w:type="dxa"/>
            <w:vAlign w:val="bottom"/>
          </w:tcPr>
          <w:p>
            <w:pPr>
              <w:spacing w:after="0"/>
              <w:rPr>
                <w:sz w:val="17"/>
                <w:szCs w:val="17"/>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 of GWP</w:t>
            </w: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 of GWP</w:t>
            </w:r>
          </w:p>
        </w:tc>
      </w:tr>
      <w:tr>
        <w:trPr>
          <w:trHeight w:val="214"/>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1 %</w:t>
            </w:r>
          </w:p>
        </w:tc>
      </w:tr>
      <w:tr>
        <w:trPr>
          <w:trHeight w:val="215"/>
        </w:trPr>
        <w:tc>
          <w:tcPr>
            <w:tcW w:w="530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32 %</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1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r>
      <w:tr>
        <w:trPr>
          <w:trHeight w:val="235"/>
        </w:trPr>
        <w:tc>
          <w:tcPr>
            <w:tcW w:w="5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 %</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Written Premiums</w:t>
      </w:r>
    </w:p>
    <w:p>
      <w:pPr>
        <w:spacing w:after="0" w:line="30"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Net written premiums (“NWP”) for AFG’s property and casualty insurance segment were $3.33 billion for the first six months of 2024 compared to $3.19 billion for the first six months of 2023, an increase of $140 million (4%). Detail of AFG’s property and casualty net written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color w:val="auto"/>
              </w:rPr>
              <w:t>Six months ended June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3"/>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2023</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8"/>
        </w:trPr>
        <w:tc>
          <w:tcPr>
            <w:tcW w:w="5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color w:val="auto"/>
              </w:rPr>
              <w:t>NWP</w:t>
            </w:r>
          </w:p>
        </w:tc>
        <w:tc>
          <w:tcPr>
            <w:tcW w:w="900" w:type="dxa"/>
            <w:vAlign w:val="bottom"/>
          </w:tcPr>
          <w:p>
            <w:pPr>
              <w:jc w:val="right"/>
              <w:ind w:right="36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color w:val="auto"/>
              </w:rPr>
              <w:t>NWP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60" w:type="dxa"/>
            <w:vAlign w:val="bottom"/>
          </w:tcPr>
          <w:p>
            <w:pPr>
              <w:jc w:val="right"/>
              <w:ind w:right="164"/>
              <w:spacing w:after="0"/>
              <w:rPr>
                <w:sz w:val="20"/>
                <w:szCs w:val="20"/>
                <w:color w:val="auto"/>
              </w:rPr>
            </w:pPr>
            <w:r>
              <w:rPr>
                <w:rFonts w:ascii="Arial" w:cs="Arial" w:eastAsia="Arial" w:hAnsi="Arial"/>
                <w:sz w:val="14"/>
                <w:szCs w:val="14"/>
                <w:color w:val="auto"/>
              </w:rPr>
              <w:t>% Change</w:t>
            </w:r>
          </w:p>
        </w:tc>
      </w:tr>
      <w:tr>
        <w:trPr>
          <w:trHeight w:val="21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1,272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1,220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4 %</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1,455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45 %</w:t>
            </w:r>
          </w:p>
        </w:tc>
        <w:tc>
          <w:tcPr>
            <w:tcW w:w="1240" w:type="dxa"/>
            <w:vAlign w:val="bottom"/>
            <w:gridSpan w:val="2"/>
          </w:tcPr>
          <w:p>
            <w:pPr>
              <w:jc w:val="right"/>
              <w:ind w:right="4"/>
              <w:spacing w:after="0"/>
              <w:rPr>
                <w:sz w:val="20"/>
                <w:szCs w:val="20"/>
                <w:color w:val="auto"/>
              </w:rPr>
            </w:pPr>
            <w:r>
              <w:rPr>
                <w:rFonts w:ascii="Arial" w:cs="Arial" w:eastAsia="Arial" w:hAnsi="Arial"/>
                <w:sz w:val="16"/>
                <w:szCs w:val="16"/>
                <w:color w:val="auto"/>
              </w:rPr>
              <w:t>3 %</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2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14 %</w:t>
            </w:r>
          </w:p>
        </w:tc>
      </w:tr>
      <w:tr>
        <w:trPr>
          <w:trHeight w:val="21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(8 %)</w:t>
            </w:r>
          </w:p>
        </w:tc>
      </w:tr>
      <w:tr>
        <w:trPr>
          <w:trHeight w:val="235"/>
        </w:trPr>
        <w:tc>
          <w:tcPr>
            <w:tcW w:w="52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3,326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4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rPr>
              <w:t>4 %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Earned Premiums</w:t>
      </w:r>
    </w:p>
    <w:p>
      <w:pPr>
        <w:spacing w:after="0" w:line="30"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Net earned premiums (“NEP”) for AFG’s property and casualty insurance segment were $3.13 billion for the first six months of 2024 compared to $2.94 billion for the first six months of 2023, an increase of $187 million (6%). Detail of AFG’s property and casualty net earned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color w:val="auto"/>
              </w:rPr>
              <w:t>Six months ended June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3"/>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2023</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9"/>
        </w:trPr>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4"/>
                <w:szCs w:val="14"/>
                <w:color w:val="auto"/>
              </w:rPr>
              <w:t>NEP</w:t>
            </w:r>
          </w:p>
        </w:tc>
        <w:tc>
          <w:tcPr>
            <w:tcW w:w="900" w:type="dxa"/>
            <w:vAlign w:val="bottom"/>
          </w:tcPr>
          <w:p>
            <w:pPr>
              <w:jc w:val="right"/>
              <w:ind w:right="38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80"/>
              <w:spacing w:after="0"/>
              <w:rPr>
                <w:sz w:val="20"/>
                <w:szCs w:val="20"/>
                <w:color w:val="auto"/>
              </w:rPr>
            </w:pPr>
            <w:r>
              <w:rPr>
                <w:rFonts w:ascii="Arial" w:cs="Arial" w:eastAsia="Arial" w:hAnsi="Arial"/>
                <w:sz w:val="14"/>
                <w:szCs w:val="14"/>
                <w:color w:val="auto"/>
              </w:rPr>
              <w:t>NEP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20" w:type="dxa"/>
            <w:vAlign w:val="bottom"/>
          </w:tcPr>
          <w:p>
            <w:pPr>
              <w:jc w:val="right"/>
              <w:ind w:right="204"/>
              <w:spacing w:after="0"/>
              <w:rPr>
                <w:sz w:val="20"/>
                <w:szCs w:val="20"/>
                <w:color w:val="auto"/>
              </w:rPr>
            </w:pPr>
            <w:r>
              <w:rPr>
                <w:rFonts w:ascii="Arial" w:cs="Arial" w:eastAsia="Arial" w:hAnsi="Arial"/>
                <w:sz w:val="14"/>
                <w:szCs w:val="14"/>
                <w:color w:val="auto"/>
              </w:rPr>
              <w:t>% Change</w:t>
            </w:r>
          </w:p>
        </w:tc>
      </w:tr>
      <w:tr>
        <w:trPr>
          <w:trHeight w:val="21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1,009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5 %</w:t>
            </w: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48 %</w:t>
            </w:r>
          </w:p>
        </w:tc>
        <w:tc>
          <w:tcPr>
            <w:tcW w:w="1300" w:type="dxa"/>
            <w:vAlign w:val="bottom"/>
            <w:gridSpan w:val="2"/>
          </w:tcPr>
          <w:p>
            <w:pPr>
              <w:jc w:val="right"/>
              <w:ind w:right="4"/>
              <w:spacing w:after="0"/>
              <w:rPr>
                <w:sz w:val="20"/>
                <w:szCs w:val="20"/>
                <w:color w:val="auto"/>
              </w:rPr>
            </w:pPr>
            <w:r>
              <w:rPr>
                <w:rFonts w:ascii="Arial" w:cs="Arial" w:eastAsia="Arial" w:hAnsi="Arial"/>
                <w:sz w:val="16"/>
                <w:szCs w:val="16"/>
                <w:color w:val="auto"/>
              </w:rPr>
              <w:t>4 %</w:t>
            </w:r>
          </w:p>
        </w:tc>
      </w:tr>
      <w:tr>
        <w:trPr>
          <w:trHeight w:val="21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3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24 %</w:t>
            </w:r>
          </w:p>
        </w:tc>
      </w:tr>
      <w:tr>
        <w:trPr>
          <w:trHeight w:val="215"/>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(5 %)</w:t>
            </w:r>
          </w:p>
        </w:tc>
      </w:tr>
      <w:tr>
        <w:trPr>
          <w:trHeight w:val="235"/>
        </w:trPr>
        <w:tc>
          <w:tcPr>
            <w:tcW w:w="5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30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rPr>
              <w:t>6 %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Gross written premiums for the first six months of 2024 increased $218 million (5%) compared to the first six months of 2023. Year-over-year gross written premium growth was reported within each of the Specialty property and casualty sub-segments as a result of additional crop premiums from the CRS acquisition, new business opportunities, increased exposures and a good renewal rate environment, partially offset by the impact of later reporting of crop acreage. Overall average renewal rates increased approximately 6% in the first six months of 2024. Excluding the workers’ compensation businesses, renewal pricing increased approximately 8%.</w:t>
      </w:r>
    </w:p>
    <w:p>
      <w:pPr>
        <w:spacing w:after="0" w:line="207"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Gross written premiums increased $112 million (6%) in the first six months of 2024 compared to the first six</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2023. Year-over-year premium growth resulted from additional crop premium associated with the CRS acquisition as well as new business opportunities, a favorable rate environment and increased exposures in the commercial auto businesses. Later reporting of crop acreage, which impacts the timing of crop premiums, partially offset this growth. Excluding crop, gross and net written premiums in this group grew by 6% and 4%, respectively. Average renewal rates increased approximately 8% for this group in the first six months of 2024. Reinsurance premiums ceded as a percentage of gross written premiums increased 1 percentage point in the first six months of 2024 compared to the first six months of 2023 reflecting the impact of higher premiums in the crop business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and growth in alternative risk transfer products in the transportation businesses, both of which cede a higher percentage of premiums than some of the other businesses in the Property and transportation sub-segment.</w:t>
      </w:r>
    </w:p>
    <w:p>
      <w:pPr>
        <w:spacing w:after="0" w:line="186"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Gross written premiums increased $47 million (2%) in the first six months of 2024 compared to the first six months of 2023.</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higher year-over-year premiums resulted primarily from growth in the excess and surplus and excess liability businesses as a result of rate increases, new business opportunities and strong policy retention. This growth was partially offset by non-renewal of some large accounts and other underwriting actions taken in several of the targeted markets businesses. Average renewal rates increased approximately 5% for this group in the first six months of 2024. Excluding overall rate decreases in the workers’ compensation businesses, renewal rates for this group increased approximately 8%. Reinsurance premiums ceded as a percentage of gross written premiums decreased 1 percentage point in the first six months of 2024 compared to the first six months of 2023 reflecting lower cessions in the social services business, partially offset by the impact of higher premiums in the excess and surplus and excess liability businesses, which cede a larger percentage of premiums than some of the other businesses in the Specialty casualty sub-segment.</w:t>
      </w:r>
    </w:p>
    <w:p>
      <w:pPr>
        <w:spacing w:after="0" w:line="215"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Gross written premiums increased $59 million (11%) in the first six months of 2024 compared to the first six months of 2023.</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Growth in the financial institutions business was partially offset by a decision to pause writing of new intellectual property related coverage in the innovative markets business. Average renewal rates increased approximately 7% for this group in the first six months of 2024. Reinsurance premiums ceded as a percentage of gross written premiums decreased 1 percentage point in the first six months of 2024 compared to the first six months of 2023 reflecting lower gross written premiums in the innovative markets business, which cedes a larger percentage of premiums than some of the other businesses in the Specialty financial sub-segment.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The amounts shown as reinsurance premiums ceded represent business assumed by AFG’s internal reinsurance program from</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the operations that make up AFG’s other Specialty property and casualty insurance sub-segments. Reinsurance premiums assumed decreased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$10 million (8%) in the first six months of 2024 compared to the first six months of 2023, reflecting a decrease in premiums retained, primarily from</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businesses in the Specialty casualty sub-segment.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Combined Ratio</w:t>
      </w:r>
    </w:p>
    <w:p>
      <w:pPr>
        <w:spacing w:after="0" w:line="30"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The table below (dollars in millions) details the components of the combined ratio and underwriting profit for AFG’s property and casualty insurance segment: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Property and transportation</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casualty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financial</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Specialty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Aggregate — including exited lines</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248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4"/>
                <w:szCs w:val="14"/>
                <w:color w:val="auto"/>
              </w:rPr>
              <w:t>Six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99"/>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Change</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411"/>
        </w:trPr>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61.7 %</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62.9 %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29.3 %</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91.0 %</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gridSpan w:val="4"/>
            <w:vMerge w:val="restart"/>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line="20" w:lineRule="exact"/>
              <w:rPr>
                <w:sz w:val="1"/>
                <w:szCs w:val="1"/>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gridSpan w:val="4"/>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2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60.3 %</w:t>
            </w: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59.2 %</w:t>
            </w:r>
          </w:p>
        </w:tc>
        <w:tc>
          <w:tcPr>
            <w:tcW w:w="124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9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27.4 %</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87.7 %</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87.1 %</w:t>
            </w:r>
          </w:p>
        </w:tc>
        <w:tc>
          <w:tcPr>
            <w:tcW w:w="1240" w:type="dxa"/>
            <w:vAlign w:val="bottom"/>
            <w:gridSpan w:val="2"/>
          </w:tcPr>
          <w:p>
            <w:pPr>
              <w:jc w:val="right"/>
              <w:ind w:right="4"/>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gridSpan w:val="4"/>
            <w:vMerge w:val="restart"/>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line="20" w:lineRule="exact"/>
              <w:rPr>
                <w:sz w:val="1"/>
                <w:szCs w:val="1"/>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gridSpan w:val="4"/>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2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41.2 %</w:t>
            </w: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38.5 %</w:t>
            </w:r>
          </w:p>
        </w:tc>
        <w:tc>
          <w:tcPr>
            <w:tcW w:w="124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9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46.9 %</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88.1 %</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gridSpan w:val="4"/>
            <w:vMerge w:val="restart"/>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line="20" w:lineRule="exact"/>
              <w:rPr>
                <w:sz w:val="1"/>
                <w:szCs w:val="1"/>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gridSpan w:val="4"/>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2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58.8 %</w:t>
            </w: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58.6 %</w:t>
            </w:r>
          </w:p>
        </w:tc>
        <w:tc>
          <w:tcPr>
            <w:tcW w:w="124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2"/>
        </w:trPr>
        <w:tc>
          <w:tcPr>
            <w:tcW w:w="9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31.4 %</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90.2 %</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gridSpan w:val="4"/>
            <w:vMerge w:val="restart"/>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line="20" w:lineRule="exact"/>
              <w:rPr>
                <w:sz w:val="1"/>
                <w:szCs w:val="1"/>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gridSpan w:val="4"/>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2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58.9 %</w:t>
            </w: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58.5 %</w:t>
            </w:r>
          </w:p>
        </w:tc>
        <w:tc>
          <w:tcPr>
            <w:tcW w:w="124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9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31.4 %</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90.3 %</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gridSpan w:val="4"/>
            <w:vMerge w:val="restart"/>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line="20" w:lineRule="exact"/>
              <w:rPr>
                <w:sz w:val="1"/>
                <w:szCs w:val="1"/>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gridSpan w:val="4"/>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-4208145</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-3933825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-3634105</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-3342640</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-3068320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-2767965</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-2477135</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-2202180</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-1902460</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-1610995</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-1336675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-1036320</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-745490</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-471170</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-170815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120"/>
          </w:cols>
          <w:pgMar w:left="320" w:top="116" w:right="339" w:bottom="1440" w:gutter="0" w:footer="0" w:header="0"/>
          <w:type w:val="continuous"/>
        </w:sectPr>
      </w:pPr>
    </w:p>
    <w:p>
      <w:pPr>
        <w:spacing w:after="0" w:line="10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Specialty property and casualty insurance operations generated an underwriting profit of $305 million for the first six months of 2024 compared to $278 million for the first six months of 2023, an increase of $27 million (10%). Higher underwriting profits in the Property and transportation and Specialty financial sub-segments were partially offset by lower underwriting profit in the Specialty casualty sub-segment and higher losses in the business assumed by AFG’s internal reinsurance program. Overall catastrophe losses were $71 million (2.3 points on the combined ratio), including $1 million in net reinstatement premiums in the first six months of 2024 compared to catastrophe losses of $84 million (2.7 points), including $2 million in net reinstatement premiums in the first six months of 2023.</w:t>
      </w:r>
    </w:p>
    <w:p>
      <w:pPr>
        <w:spacing w:after="0" w:line="206" w:lineRule="exact"/>
        <w:rPr>
          <w:sz w:val="20"/>
          <w:szCs w:val="20"/>
          <w:color w:val="auto"/>
        </w:rPr>
      </w:pPr>
    </w:p>
    <w:p>
      <w:pPr>
        <w:ind w:right="20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Underwriting profit for this group was $95 million for the first six months of 2024 compared to $75 million for the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first six months of 2023, an increase of $20 million (27%). Higher year-over-year underwriting profits in the property and inland marine and crop insurance businesses were partially offset by lower underwriting profitability in the transportation businesses. Catastrophe losses were $21 million (2.1 points on the combined ratio) in the first six months of 2024 compared to $34 million (3.3 points) in the first six months of 2023.</w:t>
      </w:r>
    </w:p>
    <w:p>
      <w:pPr>
        <w:spacing w:after="0" w:line="231"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Underwriting profit for this group was $182 million for the first six months of 2024 compared to $183 million for the first six</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2023, a decrease of $1 million (1%). Higher year-over-year underwriting profits in the workers’ compensation businesses were more than offset by lower levels of favorable prior year reserve development in the executive liability business and adverse development in the excess liability business. Catastrophe losses were $21 million (1.5 points on the combined ratio), including $1 million in net reinstatement premiums in the first six months of 2024 compared to catastrophe losses of $11 million (0.7 points), including $2 million in net reinstatement premiums in the first six months of 2023.</w:t>
      </w: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Underwriting profit for this group was $58 million for the first six months of 2024 compared to $36 million for the first six</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2023, an increase of $22 million (61%). This increase reflects higher underwriting profits in the financial institutions and fidelity businesses, partially offset by lower profitability in the innovative markets business. Catastrophe losses were $25 million (5.2 points on the combined ratio) in the first six months of 2024 compared to $23 million (5.8 points) in the first six months of 2023.</w:t>
      </w:r>
    </w:p>
    <w:p>
      <w:pPr>
        <w:spacing w:after="0" w:line="218"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This group reported an underwriting loss of $30 million in the first six months of 2024 compared to $16 million in the first six</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2023, an increase of $14 million (88%), reflecting higher losses in the business assumed by AFG’s internal reinsurance program from the operations that make up AFG’s other Specialty sub-segments in the first six months of 2024 compared to the first six months of 2023. Catastrophe losses were $4 million in the first six months of 2024 compared to $16 million in the first six months of 2023.</w:t>
      </w:r>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underwriting results for AFG’s property and casualty insurance segment includes adverse prior year reserve development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 million in the first six months of 2024 related to business outside of the Specialty group that AFG no longer writes.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Losses and Loss Adjustment Expenses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AFG’s overall loss and LAE ratio was 58.9% for the first six months of 2024 compared to 58.5% for the first six months of 2023, an increase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0.4 percentage points. The components of AFG’s property and casualty losses and LAE amounts and ratio are detailed below (dollars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Six months ended June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Amount</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color w:val="auto"/>
              </w:rPr>
              <w:t>Ratio</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Change in</w:t>
            </w:r>
          </w:p>
        </w:tc>
        <w:tc>
          <w:tcPr>
            <w:tcW w:w="0" w:type="dxa"/>
            <w:vAlign w:val="bottom"/>
          </w:tcPr>
          <w:p>
            <w:pPr>
              <w:spacing w:after="0"/>
              <w:rPr>
                <w:sz w:val="1"/>
                <w:szCs w:val="1"/>
                <w:color w:val="auto"/>
              </w:rPr>
            </w:pPr>
          </w:p>
        </w:tc>
      </w:tr>
      <w:tr>
        <w:trPr>
          <w:trHeight w:val="198"/>
        </w:trPr>
        <w:tc>
          <w:tcPr>
            <w:tcW w:w="58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2024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2024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Ratio</w:t>
            </w:r>
          </w:p>
        </w:tc>
        <w:tc>
          <w:tcPr>
            <w:tcW w:w="0" w:type="dxa"/>
            <w:vAlign w:val="bottom"/>
          </w:tcPr>
          <w:p>
            <w:pPr>
              <w:spacing w:after="0"/>
              <w:rPr>
                <w:sz w:val="1"/>
                <w:szCs w:val="1"/>
                <w:color w:val="auto"/>
              </w:rPr>
            </w:pPr>
          </w:p>
        </w:tc>
      </w:tr>
      <w:tr>
        <w:trPr>
          <w:trHeight w:val="200"/>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transportation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707</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66.8 %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65.3 %</w:t>
            </w:r>
          </w:p>
        </w:tc>
        <w:tc>
          <w:tcPr>
            <w:tcW w:w="1180" w:type="dxa"/>
            <w:vAlign w:val="bottom"/>
            <w:gridSpan w:val="2"/>
          </w:tcPr>
          <w:p>
            <w:pPr>
              <w:jc w:val="right"/>
              <w:ind w:right="8"/>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2.1 %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3.3 %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Property and transportation losses and LAE and ratio</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62.9 %</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casualty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907</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61.7 %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62.1 %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1.5 %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0.7 %</w:t>
            </w:r>
          </w:p>
        </w:tc>
        <w:tc>
          <w:tcPr>
            <w:tcW w:w="118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casualty losses and LAE and ratio</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59.2 %</w:t>
            </w:r>
          </w:p>
        </w:tc>
        <w:tc>
          <w:tcPr>
            <w:tcW w:w="1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financial</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168</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34.8 %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5.2 %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5.8 %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financial losses and LAE and ratio</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38.5 %</w:t>
            </w:r>
          </w:p>
        </w:tc>
        <w:tc>
          <w:tcPr>
            <w:tcW w:w="1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Specialty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1,859</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1,768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59.3 %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60.1 %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2.3 %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2.7 %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Specialty losses and LAE and ratio</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58.6 %</w:t>
            </w:r>
          </w:p>
        </w:tc>
        <w:tc>
          <w:tcPr>
            <w:tcW w:w="1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Aggregate — including exited lines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1,859</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1,768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59.3 %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60.1 %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2.3 %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2.7 %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Aggregate losses and LAE and ratio</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58.5 %</w:t>
            </w:r>
          </w:p>
        </w:tc>
        <w:tc>
          <w:tcPr>
            <w:tcW w:w="1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Current accident year losses and LAE, excluding catastrophe losses</w:t>
      </w:r>
    </w:p>
    <w:p>
      <w:pPr>
        <w:spacing w:after="0" w:line="21" w:lineRule="exact"/>
        <w:rPr>
          <w:sz w:val="20"/>
          <w:szCs w:val="20"/>
          <w:color w:val="auto"/>
        </w:rPr>
      </w:pPr>
    </w:p>
    <w:p>
      <w:pPr>
        <w:ind w:right="360"/>
        <w:spacing w:after="0" w:line="281" w:lineRule="auto"/>
        <w:rPr>
          <w:sz w:val="20"/>
          <w:szCs w:val="20"/>
          <w:color w:val="auto"/>
        </w:rPr>
      </w:pPr>
      <w:r>
        <w:rPr>
          <w:rFonts w:ascii="Arial" w:cs="Arial" w:eastAsia="Arial" w:hAnsi="Arial"/>
          <w:sz w:val="17"/>
          <w:szCs w:val="17"/>
          <w:color w:val="auto"/>
        </w:rPr>
        <w:t>The current accident year loss and LAE ratio, excluding catastrophe losses, for AFG’s Specialty property and casualty insurance operations was 59.3% for the first six months of 2024 compared to 60.1% for the first six months of 2023, a decrease of 0.8 percentage points.</w:t>
      </w:r>
    </w:p>
    <w:p>
      <w:pPr>
        <w:spacing w:after="0" w:line="188"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The 1.5 percentage points increase in the loss and LAE ratio for the current year, excluding catastrophe losses,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reflects growth in the crop business, which has a higher loss and LAE ratio than some of the other businesses in the Property and transportation sub-segment, and higher reported losses in the commercial auto businesses.</w:t>
      </w:r>
    </w:p>
    <w:p>
      <w:pPr>
        <w:spacing w:after="0" w:line="216" w:lineRule="exact"/>
        <w:rPr>
          <w:sz w:val="20"/>
          <w:szCs w:val="20"/>
          <w:color w:val="auto"/>
        </w:rPr>
      </w:pPr>
    </w:p>
    <w:p>
      <w:pPr>
        <w:ind w:right="320"/>
        <w:spacing w:after="0" w:line="236"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The 0.4 percentage points decrease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improved results in the targeted markets businesses.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6" w:lineRule="exact"/>
        <w:rPr>
          <w:sz w:val="20"/>
          <w:szCs w:val="20"/>
          <w:color w:val="auto"/>
        </w:rPr>
      </w:pPr>
    </w:p>
    <w:p>
      <w:pPr>
        <w:ind w:right="18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The 1.4 percentage points decrease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growth in the financial institutions business, which has a lower loss and LAE ratio than some of the other businesses in the Specialty financial sub-segment.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Net prior year reserve development</w:t>
      </w:r>
    </w:p>
    <w:p>
      <w:pPr>
        <w:spacing w:after="0" w:line="21" w:lineRule="exact"/>
        <w:rPr>
          <w:sz w:val="20"/>
          <w:szCs w:val="20"/>
          <w:color w:val="auto"/>
        </w:rPr>
      </w:pPr>
    </w:p>
    <w:p>
      <w:pPr>
        <w:ind w:right="800"/>
        <w:spacing w:after="0" w:line="264" w:lineRule="auto"/>
        <w:rPr>
          <w:sz w:val="20"/>
          <w:szCs w:val="20"/>
          <w:color w:val="auto"/>
        </w:rPr>
      </w:pPr>
      <w:r>
        <w:rPr>
          <w:rFonts w:ascii="Arial" w:cs="Arial" w:eastAsia="Arial" w:hAnsi="Arial"/>
          <w:sz w:val="17"/>
          <w:szCs w:val="17"/>
          <w:color w:val="auto"/>
        </w:rPr>
        <w:t>AFG’s Specialty property and casualty insurance operations recorded net favorable reserve development related to prior accident years of $87 million in the first six months of 2024 compared to $125 million in the first six months of 2023, a decrease of $38 million (30%).</w:t>
      </w:r>
    </w:p>
    <w:p>
      <w:pPr>
        <w:spacing w:after="0" w:line="216"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Net favorable reserve development of $76 million in the first six months of 2024 reflects lower than anticipated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losses in the crop business and lower than expected claim severity in the property and inland marine business. Net favorable reserve development of $58 million in the first six months of 2023 reflects lower than anticipated losses in the crop business, lower than expected claim frequency and severity in the trucking business and lower than anticipated claim frequency in the property and inland marine business.</w:t>
      </w:r>
    </w:p>
    <w:p>
      <w:pPr>
        <w:spacing w:after="0" w:line="218"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Net favorable reserve development of $42 million in the first six months of 2024 reflects lower than anticipated claim severity</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workers’ compensation businesses and lower than expected claim frequency in the executive liability business, partially offset by higher than anticipated claim severity in the excess liability business and higher than expected claim frequency and severity in the social services business. Net favorable reserve development of $51 million in the first six months of 2023 reflects lower than anticipated claim severity in the workers’ compensation businesses, lower than expected claim frequency in the executive liability and environmental businesses and favorable reserve development related to COVID-19 losses across several businesses, partially offset by higher than anticipated claim severity in the public sector and excess liability businesses.</w:t>
      </w:r>
    </w:p>
    <w:p>
      <w:pPr>
        <w:spacing w:after="0" w:line="216" w:lineRule="exact"/>
        <w:rPr>
          <w:sz w:val="20"/>
          <w:szCs w:val="20"/>
          <w:color w:val="auto"/>
        </w:rPr>
      </w:pPr>
    </w:p>
    <w:p>
      <w:pPr>
        <w:spacing w:after="0" w:line="251"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Net adverse reserve development of $6 million in the first six months of 2024 reflects higher than anticipated claim severity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innovative markets and surety businesses, partially offset by lower than anticipated claim frequency in the fidelity and trade credit businesses and lower than expected claim frequency and severity in the financial institutions business. Net favorable reserve development of $14 million in the first six months of 2023 reflects lower than anticipated claim frequency in the trade credit and financial institutions businesses and lower than expected claim frequency and severity in the surety business.</w:t>
      </w:r>
    </w:p>
    <w:p>
      <w:pPr>
        <w:spacing w:after="0" w:line="21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In addition to the development discussed above, total Specialty prior year reserve development includes net adverse reserve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development of $25 million in the first six months of 2024 and net favorable reserve development of $2 million in the first six months of 2023 associated with AFG’s internal reinsurance program and the amortization of the deferred gain on the retroactive reinsurance transaction entered into in connection with the sale of a business in 1998. The net adverse reserve development in 2024 is primarily related to social inflation exposed business assumed from the Specialty casualty sub-segment.</w:t>
      </w:r>
    </w:p>
    <w:p>
      <w:pPr>
        <w:spacing w:after="0" w:line="219" w:lineRule="exact"/>
        <w:rPr>
          <w:sz w:val="20"/>
          <w:szCs w:val="20"/>
          <w:color w:val="auto"/>
        </w:rPr>
      </w:pPr>
    </w:p>
    <w:p>
      <w:pPr>
        <w:ind w:right="380"/>
        <w:spacing w:after="0" w:line="247"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net prior accident years reserve development for AFG’s property and casualty insurance segment includes net adverse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reserve development of $2 million in the first six months of 2024 related to business outside the Specialty group that AFG no longer writes.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Catastrophe losses</w:t>
      </w:r>
    </w:p>
    <w:p>
      <w:pPr>
        <w:spacing w:after="0" w:line="21" w:lineRule="exact"/>
        <w:rPr>
          <w:sz w:val="20"/>
          <w:szCs w:val="20"/>
          <w:color w:val="auto"/>
        </w:rPr>
      </w:pPr>
    </w:p>
    <w:p>
      <w:pPr>
        <w:ind w:right="420"/>
        <w:spacing w:after="0" w:line="264" w:lineRule="auto"/>
        <w:rPr>
          <w:sz w:val="20"/>
          <w:szCs w:val="20"/>
          <w:color w:val="auto"/>
        </w:rPr>
      </w:pPr>
      <w:r>
        <w:rPr>
          <w:rFonts w:ascii="Arial" w:cs="Arial" w:eastAsia="Arial" w:hAnsi="Arial"/>
          <w:sz w:val="17"/>
          <w:szCs w:val="17"/>
          <w:color w:val="auto"/>
        </w:rPr>
        <w:t>Catastrophe losses of $70 million in the first six months of 2024 (before $1 million in net reinstatement premiums) and $82 million in the first six months of 2023 (before $2 million in net reinstatement premiums) resulted primarily from storms in multiple regions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Commissions and Other Underwriting Expenses</w:t>
      </w:r>
    </w:p>
    <w:p>
      <w:pPr>
        <w:spacing w:after="0" w:line="3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AFG’s property and casualty commissions and other underwriting expenses (“U/W Exp”) were $984 million in the first six months of 2024 compared to $941 million for the first six months of 2023, an increase of $43 million (5%). AFG’s underwriting expense ratio was 31.4% for the first six months of 2024 compared to 32.0% for the first six months of 2023, a decrease of 0.6 percentage points. Detail of AFG’s property and casualty commissions and other underwriting expenses and underwriting expense ratios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color w:val="auto"/>
              </w:rPr>
              <w:t>Six months ended June 30,</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845"/>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844"/>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7"/>
                <w:szCs w:val="17"/>
                <w:color w:val="auto"/>
              </w:rPr>
            </w:pP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Change in</w:t>
            </w:r>
          </w:p>
        </w:tc>
      </w:tr>
      <w:tr>
        <w:trPr>
          <w:trHeight w:val="198"/>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81"/>
              <w:spacing w:after="0"/>
              <w:rPr>
                <w:sz w:val="20"/>
                <w:szCs w:val="20"/>
                <w:color w:val="auto"/>
              </w:rPr>
            </w:pPr>
            <w:r>
              <w:rPr>
                <w:rFonts w:ascii="Arial" w:cs="Arial" w:eastAsia="Arial" w:hAnsi="Arial"/>
                <w:sz w:val="14"/>
                <w:szCs w:val="14"/>
                <w:color w:val="auto"/>
              </w:rPr>
              <w:t>U/W Exp</w:t>
            </w:r>
          </w:p>
        </w:tc>
        <w:tc>
          <w:tcPr>
            <w:tcW w:w="100" w:type="dxa"/>
            <w:vAlign w:val="bottom"/>
          </w:tcPr>
          <w:p>
            <w:pPr>
              <w:spacing w:after="0"/>
              <w:rPr>
                <w:sz w:val="17"/>
                <w:szCs w:val="17"/>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color w:val="auto"/>
              </w:rPr>
              <w:t>% of NEP</w:t>
            </w:r>
          </w:p>
        </w:tc>
        <w:tc>
          <w:tcPr>
            <w:tcW w:w="120" w:type="dxa"/>
            <w:vAlign w:val="bottom"/>
          </w:tcPr>
          <w:p>
            <w:pPr>
              <w:spacing w:after="0"/>
              <w:rPr>
                <w:sz w:val="17"/>
                <w:szCs w:val="17"/>
                <w:color w:val="auto"/>
              </w:rPr>
            </w:pPr>
          </w:p>
        </w:tc>
        <w:tc>
          <w:tcPr>
            <w:tcW w:w="780" w:type="dxa"/>
            <w:vAlign w:val="bottom"/>
          </w:tcPr>
          <w:p>
            <w:pPr>
              <w:jc w:val="right"/>
              <w:ind w:right="101"/>
              <w:spacing w:after="0"/>
              <w:rPr>
                <w:sz w:val="20"/>
                <w:szCs w:val="20"/>
                <w:color w:val="auto"/>
              </w:rPr>
            </w:pPr>
            <w:r>
              <w:rPr>
                <w:rFonts w:ascii="Arial" w:cs="Arial" w:eastAsia="Arial" w:hAnsi="Arial"/>
                <w:sz w:val="14"/>
                <w:szCs w:val="14"/>
                <w:color w:val="auto"/>
              </w:rPr>
              <w:t>U/W Exp</w:t>
            </w:r>
          </w:p>
        </w:tc>
        <w:tc>
          <w:tcPr>
            <w:tcW w:w="10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color w:val="auto"/>
              </w:rPr>
              <w:t>% of NEP</w:t>
            </w:r>
          </w:p>
        </w:tc>
        <w:tc>
          <w:tcPr>
            <w:tcW w:w="1140" w:type="dxa"/>
            <w:vAlign w:val="bottom"/>
          </w:tcPr>
          <w:p>
            <w:pPr>
              <w:jc w:val="right"/>
              <w:ind w:right="182"/>
              <w:spacing w:after="0"/>
              <w:rPr>
                <w:sz w:val="20"/>
                <w:szCs w:val="20"/>
                <w:color w:val="auto"/>
              </w:rPr>
            </w:pPr>
            <w:r>
              <w:rPr>
                <w:rFonts w:ascii="Arial" w:cs="Arial" w:eastAsia="Arial" w:hAnsi="Arial"/>
                <w:sz w:val="14"/>
                <w:szCs w:val="14"/>
                <w:color w:val="auto"/>
              </w:rPr>
              <w:t>% of NEP</w:t>
            </w:r>
          </w:p>
        </w:tc>
      </w:tr>
      <w:tr>
        <w:trPr>
          <w:trHeight w:val="213"/>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309</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299</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29.7 %</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15"/>
        </w:trPr>
        <w:tc>
          <w:tcPr>
            <w:tcW w:w="560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1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402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27.4 %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394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27.9 %</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(0.5 %)</w:t>
            </w:r>
          </w:p>
        </w:tc>
      </w:tr>
      <w:tr>
        <w:trPr>
          <w:trHeight w:val="217"/>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52.3 %</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15"/>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37.2 %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32.8 %</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rPr>
              <w:t>4.4 %</w:t>
            </w:r>
          </w:p>
        </w:tc>
      </w:tr>
      <w:tr>
        <w:trPr>
          <w:trHeight w:val="235"/>
        </w:trPr>
        <w:tc>
          <w:tcPr>
            <w:tcW w:w="5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31.4 %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941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32.0 %</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Commissions and other underwriting expenses as a percentage of net earned premiums decreased</w:t>
      </w:r>
    </w:p>
    <w:p>
      <w:pPr>
        <w:spacing w:after="0" w:line="15"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0.4 percentage points in the first six months of 2024 compared to the first six months of 2023 reflecting the impact of higher earned premiums on the ratio, including in the crop business that has a lower commissions and other underwriting expense ratio compared to some of the other businesses in the Property and transportation sub-segment and lower average commission rates in the trucking business.</w:t>
      </w:r>
    </w:p>
    <w:p>
      <w:pPr>
        <w:spacing w:after="0" w:line="201" w:lineRule="exact"/>
        <w:rPr>
          <w:sz w:val="20"/>
          <w:szCs w:val="20"/>
          <w:color w:val="auto"/>
        </w:rPr>
      </w:pPr>
    </w:p>
    <w:p>
      <w:pPr>
        <w:ind w:right="160"/>
        <w:spacing w:after="0" w:line="236"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Commissions and other underwriting expenses as a percentage of net earned premiums decreased 0.5 percentage points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first six months of 2024 compared to the first six months of 2023 reflecting the impact of higher earned premiums on the ratio.</w:t>
      </w:r>
    </w:p>
    <w:p>
      <w:pPr>
        <w:spacing w:after="0" w:line="236" w:lineRule="exact"/>
        <w:rPr>
          <w:sz w:val="20"/>
          <w:szCs w:val="20"/>
          <w:color w:val="auto"/>
        </w:rPr>
      </w:pPr>
    </w:p>
    <w:p>
      <w:pPr>
        <w:ind w:right="160"/>
        <w:spacing w:after="0"/>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Commissions and other underwriting expenses as a percentage of net earned premiums decreased 5.4 percentage points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first six months of 2024 compared to the first six months of 2023 due primarily to the impact of higher earned premiums in the financial institutions business on the ratio and lower average commission rates in certain businesses.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Net Investment Income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Net investment income in AFG’s property and casualty insurance operations was $394 million in the first six months of 2024 compared to</w:t>
      </w:r>
    </w:p>
    <w:p>
      <w:pPr>
        <w:spacing w:after="0" w:line="7"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$398 million in the first six months of 2023, a decrease of $4 million (1%). The average invested assets and overall yield earned on investments held by AFG’s property and casualty insurance operations are provided below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320"/>
              <w:spacing w:after="0"/>
              <w:rPr>
                <w:sz w:val="20"/>
                <w:szCs w:val="20"/>
                <w:color w:val="auto"/>
              </w:rPr>
            </w:pPr>
            <w:r>
              <w:rPr>
                <w:rFonts w:ascii="Arial" w:cs="Arial" w:eastAsia="Arial" w:hAnsi="Arial"/>
                <w:sz w:val="14"/>
                <w:szCs w:val="14"/>
                <w:color w:val="auto"/>
              </w:rPr>
              <w:t>Six months ended June 30,</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1"/>
        </w:trPr>
        <w:tc>
          <w:tcPr>
            <w:tcW w:w="56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5"/>
                <w:szCs w:val="15"/>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5"/>
                <w:szCs w:val="15"/>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5"/>
                <w:szCs w:val="15"/>
                <w:color w:val="auto"/>
              </w:rPr>
              <w:t>Change</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 Change</w:t>
            </w:r>
          </w:p>
        </w:tc>
      </w:tr>
      <w:tr>
        <w:trPr>
          <w:trHeight w:val="197"/>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5"/>
        </w:trPr>
        <w:tc>
          <w:tcPr>
            <w:tcW w:w="5600" w:type="dxa"/>
            <w:vAlign w:val="bottom"/>
          </w:tcPr>
          <w:p>
            <w:pPr>
              <w:ind w:left="260"/>
              <w:spacing w:after="0"/>
              <w:rPr>
                <w:sz w:val="20"/>
                <w:szCs w:val="20"/>
                <w:color w:val="auto"/>
              </w:rPr>
            </w:pPr>
            <w:r>
              <w:rPr>
                <w:rFonts w:ascii="Arial" w:cs="Arial" w:eastAsia="Arial" w:hAnsi="Arial"/>
                <w:sz w:val="16"/>
                <w:szCs w:val="16"/>
                <w:color w:val="auto"/>
              </w:rPr>
              <w:t>Net investment income, excluding alternative investments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40</w:t>
            </w:r>
          </w:p>
        </w:tc>
        <w:tc>
          <w:tcPr>
            <w:tcW w:w="1260" w:type="dxa"/>
            <w:vAlign w:val="bottom"/>
            <w:gridSpan w:val="2"/>
          </w:tcPr>
          <w:p>
            <w:pPr>
              <w:jc w:val="right"/>
              <w:ind w:right="4"/>
              <w:spacing w:after="0"/>
              <w:rPr>
                <w:sz w:val="20"/>
                <w:szCs w:val="20"/>
                <w:color w:val="auto"/>
              </w:rPr>
            </w:pPr>
            <w:r>
              <w:rPr>
                <w:rFonts w:ascii="Arial" w:cs="Arial" w:eastAsia="Arial" w:hAnsi="Arial"/>
                <w:sz w:val="16"/>
                <w:szCs w:val="16"/>
                <w:color w:val="auto"/>
              </w:rPr>
              <w:t>15 %</w:t>
            </w:r>
          </w:p>
        </w:tc>
      </w:tr>
      <w:tr>
        <w:trPr>
          <w:trHeight w:val="216"/>
        </w:trPr>
        <w:tc>
          <w:tcPr>
            <w:tcW w:w="5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Alternative investments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(44)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10"/>
        </w:trPr>
        <w:tc>
          <w:tcPr>
            <w:tcW w:w="5600" w:type="dxa"/>
            <w:vAlign w:val="bottom"/>
          </w:tcPr>
          <w:p>
            <w:pPr>
              <w:ind w:left="440"/>
              <w:spacing w:after="0"/>
              <w:rPr>
                <w:sz w:val="20"/>
                <w:szCs w:val="20"/>
                <w:color w:val="auto"/>
              </w:rPr>
            </w:pPr>
            <w:r>
              <w:rPr>
                <w:rFonts w:ascii="Arial" w:cs="Arial" w:eastAsia="Arial" w:hAnsi="Arial"/>
                <w:sz w:val="16"/>
                <w:szCs w:val="16"/>
                <w:color w:val="auto"/>
              </w:rPr>
              <w:t>Total net investment income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6"/>
                <w:szCs w:val="16"/>
                <w:color w:val="auto"/>
              </w:rPr>
              <w:t>Average invested assets (at amortized cost)</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15,321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14,438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883</w:t>
            </w:r>
          </w:p>
        </w:tc>
        <w:tc>
          <w:tcPr>
            <w:tcW w:w="1260" w:type="dxa"/>
            <w:vAlign w:val="bottom"/>
            <w:gridSpan w:val="2"/>
          </w:tcPr>
          <w:p>
            <w:pPr>
              <w:jc w:val="right"/>
              <w:ind w:right="4"/>
              <w:spacing w:after="0"/>
              <w:rPr>
                <w:sz w:val="20"/>
                <w:szCs w:val="20"/>
                <w:color w:val="auto"/>
              </w:rPr>
            </w:pPr>
            <w:r>
              <w:rPr>
                <w:rFonts w:ascii="Arial" w:cs="Arial" w:eastAsia="Arial" w:hAnsi="Arial"/>
                <w:sz w:val="16"/>
                <w:szCs w:val="16"/>
                <w:color w:val="auto"/>
              </w:rPr>
              <w:t>6 %</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6"/>
                <w:szCs w:val="16"/>
                <w:color w:val="auto"/>
              </w:rPr>
              <w:t>Yield (net investment income as a % of average invested assets)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5.14 %</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(0.37 %)</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6"/>
                <w:szCs w:val="16"/>
                <w:color w:val="auto"/>
              </w:rPr>
              <w:t>Tax equivalent yield (*)</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5.21 %</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(0.37 %)</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Adjusts the yield on equity securities and tax-exempt bonds to the fully taxable equivalent yield.</w:t>
      </w:r>
    </w:p>
    <w:p>
      <w:pPr>
        <w:spacing w:after="0" w:line="264"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The decrease in the property and casualty insurance segment’s net investment income for the first six months of 2024 compared to the first six months of 2023 reflects lower returns on AFG’s alternative investments portfolio (partnerships and similar investments and AFG-managed CLOs), substantially offset by the impact of higher balances of invested assets and higher returns on fixed maturity investments. The property and casualty insurance segment’s overall yield on investments (net investment income as a percentage of average invested assets) was 5.14% for the first six months of</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jc w:val="both"/>
        <w:ind w:right="200"/>
        <w:spacing w:after="0" w:line="266" w:lineRule="auto"/>
        <w:rPr>
          <w:sz w:val="20"/>
          <w:szCs w:val="20"/>
          <w:color w:val="auto"/>
        </w:rPr>
      </w:pPr>
      <w:r>
        <w:rPr>
          <w:rFonts w:ascii="Arial" w:cs="Arial" w:eastAsia="Arial" w:hAnsi="Arial"/>
          <w:sz w:val="17"/>
          <w:szCs w:val="17"/>
          <w:color w:val="auto"/>
        </w:rPr>
        <w:t>2024 compared to 5.51% for the first six months of 2023, a decrease of 0.37 percentage points reflecting lower returns on alternative investments. The annualized return earned on alternative investments (partnerships and similar investments and AFG-managed CLOs) was 7.0% in the first six months of 2024 compared to 11.8% in the prior year period.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Other Income and Expenses, Net</w:t>
      </w:r>
    </w:p>
    <w:p>
      <w:pPr>
        <w:spacing w:after="0" w:line="17" w:lineRule="exact"/>
        <w:rPr>
          <w:sz w:val="20"/>
          <w:szCs w:val="20"/>
          <w:color w:val="auto"/>
        </w:rPr>
      </w:pPr>
    </w:p>
    <w:p>
      <w:pPr>
        <w:jc w:val="both"/>
        <w:ind w:right="240"/>
        <w:spacing w:after="0" w:line="265" w:lineRule="auto"/>
        <w:rPr>
          <w:sz w:val="20"/>
          <w:szCs w:val="20"/>
          <w:color w:val="auto"/>
        </w:rPr>
      </w:pPr>
      <w:r>
        <w:rPr>
          <w:rFonts w:ascii="Arial" w:cs="Arial" w:eastAsia="Arial" w:hAnsi="Arial"/>
          <w:sz w:val="17"/>
          <w:szCs w:val="17"/>
          <w:color w:val="auto"/>
        </w:rPr>
        <w:t>Other income and expenses, net for AFG’s property and casualty insurance operations was a net expense of $38 million for the first six months of 2024 compared to $27 million for the first six months of 2023, an increase of $11 million (41%). The table below details the items included in other income and expenses, net for AFG’s property and casualty insurance operations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color w:val="auto"/>
              </w:rPr>
              <w:t>Six months ended June 30,</w:t>
            </w:r>
          </w:p>
        </w:tc>
        <w:tc>
          <w:tcPr>
            <w:tcW w:w="420" w:type="dxa"/>
            <w:vAlign w:val="bottom"/>
            <w:tcBorders>
              <w:bottom w:val="single" w:sz="8" w:color="auto"/>
            </w:tcBorders>
          </w:tcPr>
          <w:p>
            <w:pPr>
              <w:spacing w:after="0"/>
              <w:rPr>
                <w:sz w:val="16"/>
                <w:szCs w:val="16"/>
                <w:color w:val="auto"/>
              </w:rPr>
            </w:pPr>
          </w:p>
        </w:tc>
      </w:tr>
      <w:tr>
        <w:trPr>
          <w:trHeight w:val="199"/>
        </w:trPr>
        <w:tc>
          <w:tcPr>
            <w:tcW w:w="83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rPr>
              <w:t>2023</w:t>
            </w:r>
          </w:p>
        </w:tc>
        <w:tc>
          <w:tcPr>
            <w:tcW w:w="420" w:type="dxa"/>
            <w:vAlign w:val="bottom"/>
            <w:tcBorders>
              <w:bottom w:val="single" w:sz="8" w:color="auto"/>
            </w:tcBorders>
          </w:tcPr>
          <w:p>
            <w:pPr>
              <w:spacing w:after="0"/>
              <w:rPr>
                <w:sz w:val="17"/>
                <w:szCs w:val="17"/>
                <w:color w:val="auto"/>
              </w:rPr>
            </w:pPr>
          </w:p>
        </w:tc>
      </w:tr>
      <w:tr>
        <w:trPr>
          <w:trHeight w:val="211"/>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196"/>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expenses:</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16"/>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intangibles</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8320" w:type="dxa"/>
            <w:vAlign w:val="bottom"/>
          </w:tcPr>
          <w:p>
            <w:pPr>
              <w:ind w:left="260"/>
              <w:spacing w:after="0"/>
              <w:rPr>
                <w:sz w:val="20"/>
                <w:szCs w:val="20"/>
                <w:color w:val="auto"/>
              </w:rPr>
            </w:pPr>
            <w:r>
              <w:rPr>
                <w:rFonts w:ascii="Arial" w:cs="Arial" w:eastAsia="Arial" w:hAnsi="Arial"/>
                <w:sz w:val="16"/>
                <w:szCs w:val="16"/>
                <w:color w:val="auto"/>
              </w:rPr>
              <w:t>Interest expense on funds withheld</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expenses related to CRS</w:t>
            </w:r>
          </w:p>
        </w:tc>
        <w:tc>
          <w:tcPr>
            <w:tcW w:w="9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83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83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other expenses</w:t>
            </w:r>
          </w:p>
        </w:tc>
        <w:tc>
          <w:tcPr>
            <w:tcW w:w="9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income and expenses, net</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1"/>
        </w:trPr>
        <w:tc>
          <w:tcPr>
            <w:tcW w:w="8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The decrease in other income in the first six months of 2024 compared to the first six months of 2023 is due primarily to the impact of death benefits received on a company-owned life insurance policy in the first quarter of 2023. The higher amortization of intangibles in the first six months of 2024 compared to the first six months of 2023 reflects the acquisition of CRS in July 2023. The $5 million (25%) increase in interest expense on funds withheld in the first six months of 2024 compared to the first six months of 2023 reflects the impact of higher interest rates paid on funds withheld.</w:t>
      </w: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Holding Company, Other and Unallocated — Results of Operations</w:t>
      </w:r>
    </w:p>
    <w:p>
      <w:pPr>
        <w:spacing w:after="0" w:line="28" w:lineRule="exact"/>
        <w:rPr>
          <w:sz w:val="20"/>
          <w:szCs w:val="20"/>
          <w:color w:val="auto"/>
        </w:rPr>
      </w:pPr>
    </w:p>
    <w:p>
      <w:pPr>
        <w:jc w:val="both"/>
        <w:ind w:right="100"/>
        <w:spacing w:after="0" w:line="259" w:lineRule="auto"/>
        <w:rPr>
          <w:sz w:val="20"/>
          <w:szCs w:val="20"/>
          <w:color w:val="auto"/>
        </w:rPr>
      </w:pPr>
      <w:r>
        <w:rPr>
          <w:rFonts w:ascii="Arial" w:cs="Arial" w:eastAsia="Arial" w:hAnsi="Arial"/>
          <w:sz w:val="17"/>
          <w:szCs w:val="17"/>
          <w:color w:val="auto"/>
        </w:rPr>
        <w:t>AFG’s net GAAP pretax loss outside of its property and casualty insurance segment (excluding realized gains and losses) totaled $96 million in the first six months of 2024 compared to $82 million in the first six months of 2023, an increase of $14 million (17%). AFG’s net core pretax loss outside of its property and casualty insurance segment (excluding realized gains and losses) totaled $96 million in the first six months of 2024 compared to $83 million in the first six months of 2023, an increase of $13 million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The following table details AFG’s GAAP and core loss before income taxes from operations outside of its property and casualty insurance segment for the six months ended June 30, 2024 and 2023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4"/>
                <w:szCs w:val="14"/>
                <w:color w:val="auto"/>
              </w:rPr>
              <w:t>Six months ended June 30,</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color w:val="auto"/>
              </w:rPr>
              <w:t>2023</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5"/>
                <w:szCs w:val="15"/>
                <w:color w:val="auto"/>
              </w:rPr>
              <w:t>% Change</w:t>
            </w:r>
          </w:p>
        </w:tc>
        <w:tc>
          <w:tcPr>
            <w:tcW w:w="0" w:type="dxa"/>
            <w:vAlign w:val="bottom"/>
          </w:tcPr>
          <w:p>
            <w:pPr>
              <w:spacing w:after="0"/>
              <w:rPr>
                <w:sz w:val="1"/>
                <w:szCs w:val="1"/>
                <w:color w:val="auto"/>
              </w:rPr>
            </w:pPr>
          </w:p>
        </w:tc>
      </w:tr>
      <w:tr>
        <w:trPr>
          <w:trHeight w:val="19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 P&amp;C fees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15"/>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w:t>
            </w: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80"/>
              <w:spacing w:after="0"/>
              <w:rPr>
                <w:sz w:val="20"/>
                <w:szCs w:val="20"/>
                <w:color w:val="auto"/>
              </w:rPr>
            </w:pPr>
            <w:r>
              <w:rPr>
                <w:rFonts w:ascii="Arial" w:cs="Arial" w:eastAsia="Arial" w:hAnsi="Arial"/>
                <w:sz w:val="16"/>
                <w:szCs w:val="16"/>
                <w:color w:val="auto"/>
              </w:rPr>
              <w:t>Property and casualty insurance — loss adjustment and underwriting expenses</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 expenses associated with P&amp;C fees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5"/>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expenses (*)</w:t>
            </w: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26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Costs and expenses, excluding interest charges on borrowed money</w:t>
            </w:r>
          </w:p>
        </w:tc>
        <w:tc>
          <w:tcPr>
            <w:tcW w:w="9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142"/>
        </w:trPr>
        <w:tc>
          <w:tcPr>
            <w:tcW w:w="7100" w:type="dxa"/>
            <w:vAlign w:val="bottom"/>
          </w:tcPr>
          <w:p>
            <w:pPr>
              <w:ind w:left="20"/>
              <w:spacing w:after="0" w:line="142" w:lineRule="exact"/>
              <w:rPr>
                <w:sz w:val="20"/>
                <w:szCs w:val="20"/>
                <w:color w:val="auto"/>
              </w:rPr>
            </w:pPr>
            <w:r>
              <w:rPr>
                <w:rFonts w:ascii="Arial" w:cs="Arial" w:eastAsia="Arial" w:hAnsi="Arial"/>
                <w:sz w:val="16"/>
                <w:szCs w:val="16"/>
                <w:color w:val="auto"/>
              </w:rPr>
              <w:t>Loss before income taxes, excluding realized gains and losses and interest charges on borrowed</w:t>
            </w:r>
          </w:p>
        </w:tc>
        <w:tc>
          <w:tcPr>
            <w:tcW w:w="96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1260" w:type="dxa"/>
            <w:vAlign w:val="bottom"/>
            <w:gridSpan w:val="2"/>
            <w:vMerge w:val="restart"/>
          </w:tcPr>
          <w:p>
            <w:pPr>
              <w:jc w:val="right"/>
              <w:ind w:right="1"/>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5"/>
        </w:trPr>
        <w:tc>
          <w:tcPr>
            <w:tcW w:w="7100" w:type="dxa"/>
            <w:vAlign w:val="bottom"/>
          </w:tcPr>
          <w:p>
            <w:pPr>
              <w:ind w:left="180"/>
              <w:spacing w:after="0"/>
              <w:rPr>
                <w:sz w:val="20"/>
                <w:szCs w:val="20"/>
                <w:color w:val="auto"/>
              </w:rPr>
            </w:pPr>
            <w:r>
              <w:rPr>
                <w:rFonts w:ascii="Arial" w:cs="Arial" w:eastAsia="Arial" w:hAnsi="Arial"/>
                <w:sz w:val="16"/>
                <w:szCs w:val="16"/>
                <w:color w:val="auto"/>
              </w:rPr>
              <w:t>money</w:t>
            </w:r>
          </w:p>
        </w:tc>
        <w:tc>
          <w:tcPr>
            <w:tcW w:w="96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charges on borrowed money</w:t>
            </w:r>
          </w:p>
        </w:tc>
        <w:tc>
          <w:tcPr>
            <w:tcW w:w="9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Core loss before income taxes, excluding realized gains and losses</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(83)</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5"/>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non-core gain on retirement of debt</w:t>
            </w:r>
          </w:p>
        </w:tc>
        <w:tc>
          <w:tcPr>
            <w:tcW w:w="9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GAAP loss before income taxes, excluding realized gains and losses</w:t>
            </w:r>
          </w:p>
        </w:tc>
        <w:tc>
          <w:tcPr>
            <w:tcW w:w="96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Excludes a pretax non-core gain on retirement of debt of $1 million in the first six months of 2023.</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Net Investment Income</w:t>
      </w:r>
    </w:p>
    <w:p>
      <w:pPr>
        <w:spacing w:after="0" w:line="30" w:lineRule="exact"/>
        <w:rPr>
          <w:sz w:val="20"/>
          <w:szCs w:val="20"/>
          <w:color w:val="auto"/>
        </w:rPr>
      </w:pPr>
    </w:p>
    <w:p>
      <w:pPr>
        <w:jc w:val="both"/>
        <w:ind w:right="560"/>
        <w:spacing w:after="0" w:line="256" w:lineRule="auto"/>
        <w:rPr>
          <w:sz w:val="20"/>
          <w:szCs w:val="20"/>
          <w:color w:val="auto"/>
        </w:rPr>
      </w:pPr>
      <w:r>
        <w:rPr>
          <w:rFonts w:ascii="Arial" w:cs="Arial" w:eastAsia="Arial" w:hAnsi="Arial"/>
          <w:sz w:val="17"/>
          <w:szCs w:val="17"/>
          <w:color w:val="auto"/>
        </w:rPr>
        <w:t>AFG recorded net investment income on investments held outside of its property and casualty insurance segment of $15 million in the first six months of 2024 compared to $23 million in the first six months of 2023, a decrease of $8 million (35%) reflecting the impact of lower average investment balances.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P&amp;C Fees and Related Expenses</w:t>
      </w:r>
    </w:p>
    <w:p>
      <w:pPr>
        <w:spacing w:after="0" w:line="3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the first six months of 2024, AFG collected $49 million in fees for these services compared to $46 million in the first six months of 2023. Management views this fee income, net of the $30 million in the first six months of 2024 and $29 million in the first six months of 2023 in expenses incurred to generate such fees, as a reduction in the cost of underwriting its property and casualty insurance policies. In addition, AFG’s property and casualty insurance businesses earned $11 million in fees as compensation for providing services related to the administration of crop insurance business generated by CRS for its former owner prior to the acquisition date during the first six months of 2024. The expenses related to providing such services are embedded in property and casualty underwriting expenses. Consistent with internal management reporting, these fees and the related expenses are netted and recorded as a reduction of commissions and other underwriting expenses in AFG’s segmented results.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Income</w:t>
      </w:r>
    </w:p>
    <w:p>
      <w:pPr>
        <w:spacing w:after="0" w:line="17"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 xml:space="preserve">Other income in the table above includes $6 million and $8 million in the first six months of 2024 and the first six months of 2023, respectively, in management fees paid to AFG by the AFG-managed CLOs (AFG’s consolidated managed investment entities). The management fees are eliminated in consolidation — see the other income line in the Consolidate MIEs column under </w:t>
      </w:r>
      <w:r>
        <w:rPr>
          <w:rFonts w:ascii="Arial" w:cs="Arial" w:eastAsia="Arial" w:hAnsi="Arial"/>
          <w:sz w:val="17"/>
          <w:szCs w:val="17"/>
          <w:i w:val="1"/>
          <w:iCs w:val="1"/>
          <w:color w:val="auto"/>
        </w:rPr>
        <w:t>“Results of Operations — Segmented Statement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Earnings.” </w:t>
      </w:r>
      <w:r>
        <w:rPr>
          <w:rFonts w:ascii="Arial" w:cs="Arial" w:eastAsia="Arial" w:hAnsi="Arial"/>
          <w:sz w:val="17"/>
          <w:szCs w:val="17"/>
          <w:color w:val="auto"/>
        </w:rPr>
        <w:t>Excluding amounts eliminated in consolidation, AFG recorded other income outside of its property and casualty insurance segment of</w:t>
      </w:r>
      <w:r>
        <w:rPr>
          <w:rFonts w:ascii="Arial" w:cs="Arial" w:eastAsia="Arial" w:hAnsi="Arial"/>
          <w:sz w:val="17"/>
          <w:szCs w:val="17"/>
          <w:i w:val="1"/>
          <w:iCs w:val="1"/>
          <w:color w:val="auto"/>
        </w:rPr>
        <w:t xml:space="preserve"> </w:t>
      </w:r>
      <w:r>
        <w:rPr>
          <w:rFonts w:ascii="Arial" w:cs="Arial" w:eastAsia="Arial" w:hAnsi="Arial"/>
          <w:sz w:val="17"/>
          <w:szCs w:val="17"/>
          <w:color w:val="auto"/>
        </w:rPr>
        <w:t>$2 million in the first six months of 2024 compared to $3 million in the first six months of 2023, a decrease of $1 million (33%).</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Expenses</w:t>
      </w:r>
    </w:p>
    <w:p>
      <w:pPr>
        <w:spacing w:after="0" w:line="30"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Excluding the non-core gain on retirement of debt discussed below, AFG’s holding companies and other operations outside of its property and casualty insurance segment recorded other expenses of $81 million in the first six months of 2024 compared to $79 million the first six months of 2023, an increase of $2 million (3%). Other expenses for the 2024 period includes a $4 million charge to increase liabilities related to AFG’s former railroad and manufacturing operations.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Interest Charges on Borrowed Money</w:t>
      </w:r>
    </w:p>
    <w:p>
      <w:pPr>
        <w:spacing w:after="0" w:line="30"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interest expense of $38 million in both the first six months of 2024 and the first six months of 2023.</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Gain on Retirement of Debt</w:t>
      </w:r>
    </w:p>
    <w:p>
      <w:pPr>
        <w:spacing w:after="0" w:line="30"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During the first six months of 2023, AFG repurchased $23 million principal amount of its senior notes, which resulted in a $2 million pretax non-core gain and recorded a $1 million pretax non-core loss related to the write-off of debt issue costs associated with its previous revolving credit facility, which was replaced in June 2023.</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Gains (Losses) on Securities</w:t>
      </w:r>
    </w:p>
    <w:p>
      <w:pPr>
        <w:spacing w:after="0" w:line="41"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AFG’s realized gains (losses) on securities were net gains of $12 million in the first six months of 2024 compared to net losses of $48 million in the first six months of 2023, a change of $60 million (125%). Realized gains (losses) on securities consisted of the following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color w:val="auto"/>
              </w:rPr>
              <w:t>Six months ended June 30,</w:t>
            </w:r>
          </w:p>
        </w:tc>
      </w:tr>
      <w:tr>
        <w:trPr>
          <w:trHeight w:val="199"/>
        </w:trPr>
        <w:tc>
          <w:tcPr>
            <w:tcW w:w="8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5"/>
                <w:szCs w:val="15"/>
                <w:color w:val="auto"/>
              </w:rPr>
              <w:t>2023</w:t>
            </w:r>
          </w:p>
        </w:tc>
      </w:tr>
      <w:tr>
        <w:trPr>
          <w:trHeight w:val="197"/>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before impairment allowances: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8320" w:type="dxa"/>
            <w:vAlign w:val="bottom"/>
          </w:tcPr>
          <w:p>
            <w:pPr>
              <w:ind w:left="220"/>
              <w:spacing w:after="0"/>
              <w:rPr>
                <w:sz w:val="20"/>
                <w:szCs w:val="20"/>
                <w:color w:val="auto"/>
              </w:rPr>
            </w:pPr>
            <w:r>
              <w:rPr>
                <w:rFonts w:ascii="Arial" w:cs="Arial" w:eastAsia="Arial" w:hAnsi="Arial"/>
                <w:sz w:val="16"/>
                <w:szCs w:val="16"/>
                <w:color w:val="auto"/>
              </w:rPr>
              <w:t>Disposals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the fair value of equity securities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the fair value of derivatives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8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197"/>
        </w:trPr>
        <w:tc>
          <w:tcPr>
            <w:tcW w:w="8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5"/>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allowance for impairments on securities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8320" w:type="dxa"/>
            <w:vAlign w:val="bottom"/>
          </w:tcPr>
          <w:p>
            <w:pPr>
              <w:ind w:left="480"/>
              <w:spacing w:after="0"/>
              <w:rPr>
                <w:sz w:val="20"/>
                <w:szCs w:val="20"/>
                <w:color w:val="auto"/>
              </w:rPr>
            </w:pPr>
            <w:r>
              <w:rPr>
                <w:rFonts w:ascii="Arial" w:cs="Arial" w:eastAsia="Arial" w:hAnsi="Arial"/>
                <w:sz w:val="16"/>
                <w:szCs w:val="16"/>
                <w:color w:val="auto"/>
              </w:rPr>
              <w:t>Realized gains (losses) on securities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The $25 million net realized loss from disposals in the first six months of 2023 includes losses of $15 million from the sale of investments in banks and $4 million from the sale of municipal bonds.</w:t>
      </w:r>
    </w:p>
    <w:p>
      <w:pPr>
        <w:spacing w:after="0" w:line="253"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$19 million net realized gain from the change in the fair value of equity securities in the first six months of 2024 includes gains of $13 million on investments in banks and financing companies, $5 million on investments in natural gas companies and $4 million on investments in healthcare companies, partially offset by losses of $4 million on investments in media companies. The $15 million net realized loss from the change in the fair value of equity securities in the first six months of 2023 includes losses of $8 million on investments in healthcare companies, $7 million on investments in energy companies and $6 million on investments in banks and financing companies, partially offset by gains of $3 million on investments in capital goods companies and $2 million on investments in real estate investment trusts.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Consolidated Income Taxes</w:t>
      </w:r>
    </w:p>
    <w:p>
      <w:pPr>
        <w:spacing w:after="0" w:line="41" w:lineRule="exact"/>
        <w:rPr>
          <w:sz w:val="20"/>
          <w:szCs w:val="20"/>
          <w:color w:val="auto"/>
        </w:rPr>
      </w:pPr>
    </w:p>
    <w:p>
      <w:pPr>
        <w:jc w:val="both"/>
        <w:ind w:right="200"/>
        <w:spacing w:after="0" w:line="256" w:lineRule="auto"/>
        <w:rPr>
          <w:sz w:val="20"/>
          <w:szCs w:val="20"/>
          <w:color w:val="auto"/>
        </w:rPr>
      </w:pPr>
      <w:r>
        <w:rPr>
          <w:rFonts w:ascii="Arial" w:cs="Arial" w:eastAsia="Arial" w:hAnsi="Arial"/>
          <w:sz w:val="17"/>
          <w:szCs w:val="17"/>
          <w:color w:val="auto"/>
        </w:rPr>
        <w:t xml:space="preserve">AFG’s consolidated provision for income taxes was $124 million for the first six months of 2024 compared to $107 million for the first six months of 2023, an increase of $17 million (16%). See </w:t>
      </w:r>
      <w:r>
        <w:rPr>
          <w:rFonts w:ascii="Arial" w:cs="Arial" w:eastAsia="Arial" w:hAnsi="Arial"/>
          <w:sz w:val="17"/>
          <w:szCs w:val="17"/>
          <w:i w:val="1"/>
          <w:iCs w:val="1"/>
          <w:color w:val="auto"/>
        </w:rPr>
        <w:t>Note K — “Income Taxes”</w:t>
      </w:r>
      <w:r>
        <w:rPr>
          <w:rFonts w:ascii="Arial" w:cs="Arial" w:eastAsia="Arial" w:hAnsi="Arial"/>
          <w:sz w:val="17"/>
          <w:szCs w:val="17"/>
          <w:color w:val="auto"/>
        </w:rPr>
        <w:t xml:space="preserve"> to the financial statements for an analysis of items affecting AFG’s effective tax rate.</w:t>
      </w:r>
    </w:p>
    <w:p>
      <w:pPr>
        <w:spacing w:after="0" w:line="197"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ACCOUNTING STANDARDS TO BE ADOPTED</w:t>
      </w:r>
    </w:p>
    <w:p>
      <w:pPr>
        <w:spacing w:after="0" w:line="27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 xml:space="preserve">In November 2023, the Financial Accounting Standards Board (“FASB”) issued Accounting Standards Update No. 2023-07 (“ASU 2023-07”), </w:t>
      </w:r>
      <w:r>
        <w:rPr>
          <w:rFonts w:ascii="Arial" w:cs="Arial" w:eastAsia="Arial" w:hAnsi="Arial"/>
          <w:sz w:val="17"/>
          <w:szCs w:val="17"/>
          <w:i w:val="1"/>
          <w:iCs w:val="1"/>
          <w:color w:val="auto"/>
        </w:rPr>
        <w:t>Improvements to Reportable Segment Disclosures</w:t>
      </w:r>
      <w:r>
        <w:rPr>
          <w:rFonts w:ascii="Arial" w:cs="Arial" w:eastAsia="Arial" w:hAnsi="Arial"/>
          <w:sz w:val="17"/>
          <w:szCs w:val="17"/>
          <w:color w:val="auto"/>
        </w:rPr>
        <w:t>. ASU 2023-07 will require enhanced disclosures about significant segment expenses and a</w:t>
      </w:r>
      <w:r>
        <w:rPr>
          <w:rFonts w:ascii="Arial" w:cs="Arial" w:eastAsia="Arial" w:hAnsi="Arial"/>
          <w:sz w:val="17"/>
          <w:szCs w:val="17"/>
          <w:i w:val="1"/>
          <w:iCs w:val="1"/>
          <w:color w:val="auto"/>
        </w:rPr>
        <w:t xml:space="preserve"> </w:t>
      </w:r>
      <w:r>
        <w:rPr>
          <w:rFonts w:ascii="Arial" w:cs="Arial" w:eastAsia="Arial" w:hAnsi="Arial"/>
          <w:sz w:val="17"/>
          <w:szCs w:val="17"/>
          <w:color w:val="auto"/>
        </w:rPr>
        <w:t>description of the composition of other segment expenses by business segment. ASU 2023-07 also requires disclosure of the title and position of the chief operating decision maker (“CODM”) and an explanation of how the CODM uses the reported measures of segment profit or loss in assessing segment performance and deciding how to allocate resources. ASU 2023-07 is effective for fiscal years beginning after December 15, 2023, and interim periods within fiscal years beginning after December 15, 2024, with early adoption permitted, and is to be applied on a retrospective basis. As of June 30, 2024, AFG has not adopted ASU 2023-07. Management is evaluating the impact of the standard to the segment reporting disclosures. Since ASU 2023-07 only requires additional disclosure, the adoption of this guidance will not have an impact on AFG’s results of operations or financial condition.</w:t>
      </w:r>
    </w:p>
    <w:p>
      <w:pPr>
        <w:spacing w:after="0" w:line="223"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 xml:space="preserve">In December 2023, the FASB issued ASU No. 2023-09 (“ASU 2023-09”), </w:t>
      </w:r>
      <w:r>
        <w:rPr>
          <w:rFonts w:ascii="Arial" w:cs="Arial" w:eastAsia="Arial" w:hAnsi="Arial"/>
          <w:sz w:val="17"/>
          <w:szCs w:val="17"/>
          <w:i w:val="1"/>
          <w:iCs w:val="1"/>
          <w:color w:val="auto"/>
        </w:rPr>
        <w:t>Improvements to Income Tax Disclosures</w:t>
      </w:r>
      <w:r>
        <w:rPr>
          <w:rFonts w:ascii="Arial" w:cs="Arial" w:eastAsia="Arial" w:hAnsi="Arial"/>
          <w:sz w:val="17"/>
          <w:szCs w:val="17"/>
          <w:color w:val="auto"/>
        </w:rPr>
        <w:t>. ASU 2023-09 is intended to improve income tax disclosures by requiring (i) consistent categories and greater disaggregation of</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information in the rate reconciliation presented in both dollar and percentage terms; (ii) the disaggregation of income taxes paid (net of refunds received), income (loss) before income taxes and income taxes by jurisdiction (federal, state and foreign taxes); and (iii) further disaggregation of income taxes paid by any individual jurisdiction equal to or exceeding five percent of total income taxes paid. ASU 2023-09 is effective for fiscal years beginning after December 15, 2024, with early adoption permitted, and is required to be applied prospectively with the option of retrospective application. As of June 30, 2024, AFG has not adopted ASU 2023-09. Management is evaluating the impact of the standard to the income tax disclosures. Since ASU 2023-09 only requires additional disclosure, the adoption of this guidance will not have an impact on AFG’s results of operations or financial condition.</w:t>
      </w:r>
    </w:p>
    <w:p>
      <w:pPr>
        <w:spacing w:after="0" w:line="207" w:lineRule="exact"/>
        <w:rPr>
          <w:sz w:val="20"/>
          <w:szCs w:val="20"/>
          <w:color w:val="auto"/>
        </w:rPr>
      </w:pPr>
    </w:p>
    <w:p>
      <w:pPr>
        <w:ind w:right="840"/>
        <w:spacing w:after="0" w:line="297" w:lineRule="auto"/>
        <w:rPr>
          <w:sz w:val="20"/>
          <w:szCs w:val="20"/>
          <w:color w:val="auto"/>
        </w:rPr>
      </w:pPr>
      <w:r>
        <w:rPr>
          <w:rFonts w:ascii="Arial" w:cs="Arial" w:eastAsia="Arial" w:hAnsi="Arial"/>
          <w:sz w:val="36"/>
          <w:szCs w:val="36"/>
          <w:b w:val="1"/>
          <w:bCs w:val="1"/>
          <w:color w:val="003366"/>
        </w:rPr>
        <w:t>ITEM 3. Quantitative and Qualitative Disclosure about Market Risk</w:t>
      </w:r>
    </w:p>
    <w:p>
      <w:pPr>
        <w:spacing w:after="0" w:line="84" w:lineRule="exact"/>
        <w:rPr>
          <w:sz w:val="20"/>
          <w:szCs w:val="20"/>
          <w:color w:val="auto"/>
        </w:rPr>
      </w:pPr>
    </w:p>
    <w:p>
      <w:pPr>
        <w:ind w:right="560"/>
        <w:spacing w:after="0" w:line="301" w:lineRule="auto"/>
        <w:rPr>
          <w:sz w:val="20"/>
          <w:szCs w:val="20"/>
          <w:color w:val="auto"/>
        </w:rPr>
      </w:pPr>
      <w:r>
        <w:rPr>
          <w:rFonts w:ascii="Arial" w:cs="Arial" w:eastAsia="Arial" w:hAnsi="Arial"/>
          <w:sz w:val="17"/>
          <w:szCs w:val="17"/>
          <w:color w:val="auto"/>
        </w:rPr>
        <w:t xml:space="preserve">As of June 30, 2024, there were no material changes to the information provided in </w:t>
      </w:r>
      <w:r>
        <w:rPr>
          <w:rFonts w:ascii="Arial" w:cs="Arial" w:eastAsia="Arial" w:hAnsi="Arial"/>
          <w:sz w:val="17"/>
          <w:szCs w:val="17"/>
          <w:i w:val="1"/>
          <w:iCs w:val="1"/>
          <w:color w:val="auto"/>
        </w:rPr>
        <w:t>Item 7A — Quantitative and Qualitative Disclosures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Market Risk </w:t>
      </w:r>
      <w:r>
        <w:rPr>
          <w:rFonts w:ascii="Arial" w:cs="Arial" w:eastAsia="Arial" w:hAnsi="Arial"/>
          <w:sz w:val="17"/>
          <w:szCs w:val="17"/>
          <w:color w:val="auto"/>
        </w:rPr>
        <w:t>of AFG’s 2023 Form 10-K.</w:t>
      </w:r>
    </w:p>
    <w:p>
      <w:pPr>
        <w:spacing w:after="0" w:line="17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 xml:space="preserve">Consistent with the discussion in </w:t>
      </w:r>
      <w:r>
        <w:rPr>
          <w:rFonts w:ascii="Arial" w:cs="Arial" w:eastAsia="Arial" w:hAnsi="Arial"/>
          <w:sz w:val="17"/>
          <w:szCs w:val="17"/>
          <w:i w:val="1"/>
          <w:iCs w:val="1"/>
          <w:color w:val="auto"/>
        </w:rPr>
        <w:t>Item 2 — Management’s Discussion and Analysis — “Investments,”</w:t>
      </w:r>
      <w:r>
        <w:rPr>
          <w:rFonts w:ascii="Arial" w:cs="Arial" w:eastAsia="Arial" w:hAnsi="Arial"/>
          <w:sz w:val="17"/>
          <w:szCs w:val="17"/>
          <w:color w:val="auto"/>
        </w:rPr>
        <w:t xml:space="preserve"> the following table demonstrates the sensitivity of the fair value of AFG’s fixed maturity portfolio to reasonably likely changes in interest rates by illustrating the estimated effect on AFG’s fixed maturity portfolio that an immediate increase of 100 basis points in the interest rate yield curve would have at June 30, 2024 (based on the duration of the portfolio, dollars in millions). Effects of increases or decreases from the 100 basis points illustrated would be approximately proportional.</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10,261</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Percentage impact on fair value of 100 bps increase in interest rates</w:t>
            </w:r>
          </w:p>
        </w:tc>
        <w:tc>
          <w:tcPr>
            <w:tcW w:w="2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impact on 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(308)</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4. Controls and Procedures</w:t>
      </w:r>
    </w:p>
    <w:p>
      <w:pPr>
        <w:spacing w:after="0" w:line="26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AFG’s management, with participation of its Co-Chief Executive Officers and its Chief Financial Officer, has evaluated AFG’s disclosure controls and procedures (as defined in Exchange Act Rule 13a-15) as of the end of the period covered by this report. Based on that evaluation, AFG’s Co-CEOs and CFO concluded that the controls and procedures are effective. There have been no changes in AFG’s internal control over financial reporting during the second fiscal quarter of 2024 that materially affected, or are reasonably likely to materially affect, AFG’s internal control over financial reporting.</w:t>
      </w:r>
    </w:p>
    <w:p>
      <w:pPr>
        <w:spacing w:after="0" w:line="206" w:lineRule="exact"/>
        <w:rPr>
          <w:sz w:val="20"/>
          <w:szCs w:val="20"/>
          <w:color w:val="auto"/>
        </w:rPr>
      </w:pPr>
    </w:p>
    <w:p>
      <w:pPr>
        <w:jc w:val="both"/>
        <w:ind w:right="340"/>
        <w:spacing w:after="0" w:line="249" w:lineRule="auto"/>
        <w:rPr>
          <w:sz w:val="20"/>
          <w:szCs w:val="20"/>
          <w:color w:val="auto"/>
        </w:rPr>
      </w:pPr>
      <w:r>
        <w:rPr>
          <w:rFonts w:ascii="Arial" w:cs="Arial" w:eastAsia="Arial" w:hAnsi="Arial"/>
          <w:sz w:val="17"/>
          <w:szCs w:val="17"/>
          <w:color w:val="auto"/>
        </w:rPr>
        <w:t>In the ordinary course of business, AFG and its subsidiaries routinely enhance their information systems by either upgrading current systems or implementing new systems. There have been no changes in AFG’s business processes and procedures during the second fiscal quarter of 2024 that have materially affected, or are reasonably likely to materially affect, AFG’s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PART II</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OTHER INFORMATION</w:t>
      </w:r>
    </w:p>
    <w:p>
      <w:pPr>
        <w:spacing w:after="0" w:line="15" w:lineRule="exact"/>
        <w:rPr>
          <w:sz w:val="20"/>
          <w:szCs w:val="20"/>
          <w:color w:val="auto"/>
        </w:rPr>
      </w:pPr>
    </w:p>
    <w:p>
      <w:pPr>
        <w:ind w:right="1200"/>
        <w:spacing w:after="0" w:line="276" w:lineRule="auto"/>
        <w:rPr>
          <w:sz w:val="20"/>
          <w:szCs w:val="20"/>
          <w:color w:val="auto"/>
        </w:rPr>
      </w:pPr>
      <w:r>
        <w:rPr>
          <w:rFonts w:ascii="Arial" w:cs="Arial" w:eastAsia="Arial" w:hAnsi="Arial"/>
          <w:sz w:val="36"/>
          <w:szCs w:val="36"/>
          <w:b w:val="1"/>
          <w:bCs w:val="1"/>
          <w:color w:val="003366"/>
        </w:rPr>
        <w:t>ITEM 2. Unregistered Sales of Equity Securities and Use of Proceeds</w:t>
      </w:r>
    </w:p>
    <w:p>
      <w:pPr>
        <w:spacing w:after="0" w:line="12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color w:val="003366"/>
        </w:rPr>
        <w:t xml:space="preserve">Issuer Purchases of Equity Securities </w:t>
      </w:r>
      <w:r>
        <w:rPr>
          <w:rFonts w:ascii="Arial" w:cs="Arial" w:eastAsia="Arial" w:hAnsi="Arial"/>
          <w:sz w:val="17"/>
          <w:szCs w:val="17"/>
          <w:color w:val="000000"/>
        </w:rPr>
        <w:t>AFG did not repurchase any shares of its Common Stock during the first six months of 2024. As of</w:t>
      </w:r>
      <w:r>
        <w:rPr>
          <w:rFonts w:ascii="Arial" w:cs="Arial" w:eastAsia="Arial" w:hAnsi="Arial"/>
          <w:sz w:val="20"/>
          <w:szCs w:val="20"/>
          <w:b w:val="1"/>
          <w:bCs w:val="1"/>
          <w:color w:val="003366"/>
        </w:rPr>
        <w:t xml:space="preserve"> </w:t>
      </w:r>
      <w:r>
        <w:rPr>
          <w:rFonts w:ascii="Arial" w:cs="Arial" w:eastAsia="Arial" w:hAnsi="Arial"/>
          <w:sz w:val="17"/>
          <w:szCs w:val="17"/>
          <w:color w:val="000000"/>
        </w:rPr>
        <w:t>June 30, 2024, there are 5,729,010 remaining shares that may be repurchased until December 31, 2025 under the Plans authorized by AFG’s Board of Directors in October 2020 and May 2021.</w:t>
      </w:r>
    </w:p>
    <w:p>
      <w:pPr>
        <w:spacing w:after="0" w:line="212"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AFG acquired 47,870 shares of its Common Stock (at an average of $126.38 per share) in the first quarter of 2024 and 21 shares (at $129.03 per share) in June 2024 in connection with its stock incentive plans.</w:t>
      </w:r>
    </w:p>
    <w:p>
      <w:pPr>
        <w:spacing w:after="0" w:line="197"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5. Other Information</w:t>
      </w:r>
    </w:p>
    <w:p>
      <w:pPr>
        <w:spacing w:after="0" w:line="36"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During the three months ended June 30, 2024, none of the Company’s directors or officers adopted, terminated or modified a “Rule 10b5-1 trading arrangement” or “non-Rule 10b5-1 trading arrangement,” as those terms are defined in Regulation S-K, Item 408.</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316"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6. Exhibits</w:t>
      </w: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80" w:type="dxa"/>
            <w:vAlign w:val="bottom"/>
            <w:gridSpan w:val="2"/>
          </w:tcPr>
          <w:p>
            <w:pPr>
              <w:spacing w:after="0"/>
              <w:rPr>
                <w:sz w:val="20"/>
                <w:szCs w:val="20"/>
                <w:color w:val="auto"/>
              </w:rPr>
            </w:pPr>
            <w:r>
              <w:rPr>
                <w:rFonts w:ascii="Arial" w:cs="Arial" w:eastAsia="Arial" w:hAnsi="Arial"/>
                <w:sz w:val="16"/>
                <w:szCs w:val="16"/>
                <w:color w:val="auto"/>
              </w:rPr>
              <w:t>Number</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Exhibit Description</w:t>
            </w:r>
          </w:p>
        </w:tc>
      </w:tr>
      <w:tr>
        <w:trPr>
          <w:trHeight w:val="20"/>
        </w:trPr>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34"/>
        </w:trPr>
        <w:tc>
          <w:tcPr>
            <w:tcW w:w="580" w:type="dxa"/>
            <w:vAlign w:val="bottom"/>
          </w:tcPr>
          <w:p>
            <w:pPr>
              <w:spacing w:after="0"/>
              <w:rPr>
                <w:sz w:val="20"/>
                <w:szCs w:val="20"/>
                <w:color w:val="auto"/>
              </w:rPr>
            </w:pPr>
            <w:r>
              <w:rPr>
                <w:rFonts w:ascii="Arial" w:cs="Arial" w:eastAsia="Arial" w:hAnsi="Arial"/>
                <w:sz w:val="16"/>
                <w:szCs w:val="16"/>
                <w:color w:val="0000FF"/>
              </w:rPr>
              <w:t>31(a)</w:t>
            </w:r>
          </w:p>
        </w:tc>
        <w:tc>
          <w:tcPr>
            <w:tcW w:w="300" w:type="dxa"/>
            <w:vAlign w:val="bottom"/>
          </w:tcPr>
          <w:p>
            <w:pPr>
              <w:spacing w:after="0"/>
              <w:rPr>
                <w:sz w:val="20"/>
                <w:szCs w:val="20"/>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 pursuant to section 302(a) of the Sarbanes-Oxley Act of 2002.</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0000FF"/>
              </w:rPr>
              <w:t>31(b)</w:t>
            </w: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 pursuant to section 302(a) of the Sarbanes-Oxley Act of 2002.</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0000FF"/>
              </w:rPr>
              <w:t>31(c)</w:t>
            </w: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Chief Financial Officer pursuant to section 302(a) of the Sarbanes-Oxley Act of 2002.</w:t>
            </w:r>
          </w:p>
        </w:tc>
      </w:tr>
      <w:tr>
        <w:trPr>
          <w:trHeight w:val="216"/>
        </w:trPr>
        <w:tc>
          <w:tcPr>
            <w:tcW w:w="580" w:type="dxa"/>
            <w:vAlign w:val="bottom"/>
          </w:tcPr>
          <w:p>
            <w:pPr>
              <w:spacing w:after="0"/>
              <w:rPr>
                <w:sz w:val="20"/>
                <w:szCs w:val="20"/>
                <w:color w:val="auto"/>
              </w:rPr>
            </w:pPr>
            <w:r>
              <w:rPr>
                <w:rFonts w:ascii="Arial" w:cs="Arial" w:eastAsia="Arial" w:hAnsi="Arial"/>
                <w:sz w:val="16"/>
                <w:szCs w:val="16"/>
                <w:color w:val="0000FF"/>
              </w:rPr>
              <w:t>32</w:t>
            </w: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Officers and Chief Financial Officer pursuant to section 906 of the Sarbanes-Oxley Act of 2002.</w:t>
            </w:r>
          </w:p>
        </w:tc>
      </w:tr>
      <w:tr>
        <w:trPr>
          <w:trHeight w:val="164"/>
        </w:trPr>
        <w:tc>
          <w:tcPr>
            <w:tcW w:w="880" w:type="dxa"/>
            <w:vAlign w:val="bottom"/>
            <w:gridSpan w:val="2"/>
          </w:tcPr>
          <w:p>
            <w:pPr>
              <w:spacing w:after="0" w:line="164" w:lineRule="exact"/>
              <w:rPr>
                <w:sz w:val="20"/>
                <w:szCs w:val="20"/>
                <w:color w:val="auto"/>
              </w:rPr>
            </w:pPr>
            <w:r>
              <w:rPr>
                <w:rFonts w:ascii="Arial" w:cs="Arial" w:eastAsia="Arial" w:hAnsi="Arial"/>
                <w:sz w:val="16"/>
                <w:szCs w:val="16"/>
                <w:color w:val="auto"/>
              </w:rPr>
              <w:t>101.INS</w:t>
            </w:r>
          </w:p>
        </w:tc>
        <w:tc>
          <w:tcPr>
            <w:tcW w:w="10240" w:type="dxa"/>
            <w:vAlign w:val="bottom"/>
            <w:gridSpan w:val="3"/>
          </w:tcPr>
          <w:p>
            <w:pPr>
              <w:ind w:left="220"/>
              <w:spacing w:after="0" w:line="164"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w:t>
            </w:r>
          </w:p>
        </w:tc>
      </w:tr>
      <w:tr>
        <w:trPr>
          <w:trHeight w:val="215"/>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the Inline XBRL document.</w:t>
            </w:r>
          </w:p>
        </w:tc>
      </w:tr>
      <w:tr>
        <w:trPr>
          <w:trHeight w:val="215"/>
        </w:trPr>
        <w:tc>
          <w:tcPr>
            <w:tcW w:w="880" w:type="dxa"/>
            <w:vAlign w:val="bottom"/>
            <w:gridSpan w:val="2"/>
          </w:tcPr>
          <w:p>
            <w:pPr>
              <w:spacing w:after="0"/>
              <w:rPr>
                <w:sz w:val="20"/>
                <w:szCs w:val="20"/>
                <w:color w:val="auto"/>
              </w:rPr>
            </w:pPr>
            <w:r>
              <w:rPr>
                <w:rFonts w:ascii="Arial" w:cs="Arial" w:eastAsia="Arial" w:hAnsi="Arial"/>
                <w:sz w:val="16"/>
                <w:szCs w:val="16"/>
                <w:color w:val="auto"/>
              </w:rPr>
              <w:t>101.SCH</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Schema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101.CAL</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101.DEF</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101.LAB</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101.PRE</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216"/>
        </w:trPr>
        <w:tc>
          <w:tcPr>
            <w:tcW w:w="580" w:type="dxa"/>
            <w:vAlign w:val="bottom"/>
          </w:tcPr>
          <w:p>
            <w:pPr>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Signature</w:t>
      </w:r>
    </w:p>
    <w:p>
      <w:pPr>
        <w:spacing w:after="0" w:line="169"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8180" w:type="dxa"/>
            <w:vAlign w:val="bottom"/>
            <w:gridSpan w:val="2"/>
          </w:tcPr>
          <w:p>
            <w:pPr>
              <w:ind w:left="1900"/>
              <w:spacing w:after="0"/>
              <w:rPr>
                <w:sz w:val="20"/>
                <w:szCs w:val="20"/>
                <w:color w:val="auto"/>
              </w:rPr>
            </w:pPr>
            <w:r>
              <w:rPr>
                <w:rFonts w:ascii="Arial" w:cs="Arial" w:eastAsia="Arial" w:hAnsi="Arial"/>
                <w:sz w:val="16"/>
                <w:szCs w:val="16"/>
                <w:color w:val="auto"/>
              </w:rPr>
              <w:t>American Financial Group, Inc.</w:t>
            </w:r>
          </w:p>
        </w:tc>
      </w:tr>
      <w:tr>
        <w:trPr>
          <w:trHeight w:val="487"/>
        </w:trPr>
        <w:tc>
          <w:tcPr>
            <w:tcW w:w="3000" w:type="dxa"/>
            <w:vAlign w:val="bottom"/>
          </w:tcPr>
          <w:p>
            <w:pPr>
              <w:spacing w:after="0"/>
              <w:rPr>
                <w:sz w:val="20"/>
                <w:szCs w:val="20"/>
                <w:color w:val="auto"/>
              </w:rPr>
            </w:pPr>
            <w:r>
              <w:rPr>
                <w:rFonts w:ascii="Arial" w:cs="Arial" w:eastAsia="Arial" w:hAnsi="Arial"/>
                <w:sz w:val="16"/>
                <w:szCs w:val="16"/>
                <w:color w:val="auto"/>
              </w:rPr>
              <w:t>August 8, 2024</w:t>
            </w:r>
          </w:p>
        </w:tc>
        <w:tc>
          <w:tcPr>
            <w:tcW w:w="2660" w:type="dxa"/>
            <w:vAlign w:val="bottom"/>
          </w:tcPr>
          <w:p>
            <w:pPr>
              <w:ind w:left="1900"/>
              <w:spacing w:after="0"/>
              <w:rPr>
                <w:sz w:val="20"/>
                <w:szCs w:val="20"/>
                <w:color w:val="auto"/>
              </w:rPr>
            </w:pPr>
            <w:r>
              <w:rPr>
                <w:rFonts w:ascii="Arial" w:cs="Arial" w:eastAsia="Arial" w:hAnsi="Arial"/>
                <w:sz w:val="16"/>
                <w:szCs w:val="16"/>
                <w:color w:val="auto"/>
              </w:rPr>
              <w:t>By:</w:t>
            </w: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Brian S. Hertzman</w:t>
            </w:r>
          </w:p>
        </w:tc>
      </w:tr>
      <w:tr>
        <w:trPr>
          <w:trHeight w:val="209"/>
        </w:trPr>
        <w:tc>
          <w:tcPr>
            <w:tcW w:w="30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Brian S. Hertzman</w:t>
            </w:r>
          </w:p>
        </w:tc>
      </w:tr>
      <w:tr>
        <w:trPr>
          <w:trHeight w:val="215"/>
        </w:trPr>
        <w:tc>
          <w:tcPr>
            <w:tcW w:w="30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200"/>
          </w:cols>
          <w:pgMar w:left="320" w:top="116" w:right="37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color w:val="003366"/>
        </w:rPr>
        <w:t>Exhibit 31(a)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Carl H. Lindner III, certify that:</w:t>
      </w:r>
    </w:p>
    <w:p>
      <w:pPr>
        <w:spacing w:after="0" w:line="248"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15"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15"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15"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820" w:right="300" w:hanging="488"/>
        <w:spacing w:after="0" w:line="304" w:lineRule="auto"/>
        <w:tabs>
          <w:tab w:leader="none" w:pos="815"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August 8, 2024</w:t>
      </w:r>
      <w:r>
        <w:rPr>
          <w:sz w:val="20"/>
          <w:szCs w:val="20"/>
          <w:color w:val="auto"/>
        </w:rPr>
        <w:tab/>
      </w:r>
      <w:r>
        <w:rPr>
          <w:rFonts w:ascii="Arial" w:cs="Arial" w:eastAsia="Arial" w:hAnsi="Arial"/>
          <w:sz w:val="16"/>
          <w:szCs w:val="16"/>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Carl H. Lindner III</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E-1</w:t>
      </w:r>
    </w:p>
    <w:p>
      <w:pPr>
        <w:sectPr>
          <w:pgSz w:w="11900" w:h="16838" w:orient="portrait"/>
          <w:cols w:equalWidth="0" w:num="1">
            <w:col w:w="11240"/>
          </w:cols>
          <w:pgMar w:left="320" w:top="895"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003366"/>
        </w:rPr>
        <w:t>Exhibit 31(b)</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S. Craig Lindner, certify that:</w:t>
      </w:r>
    </w:p>
    <w:p>
      <w:pPr>
        <w:spacing w:after="0" w:line="248"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15"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15"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15"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820" w:right="300" w:hanging="488"/>
        <w:spacing w:after="0" w:line="304" w:lineRule="auto"/>
        <w:tabs>
          <w:tab w:leader="none" w:pos="815"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August 8, 2024</w:t>
      </w:r>
      <w:r>
        <w:rPr>
          <w:sz w:val="20"/>
          <w:szCs w:val="20"/>
          <w:color w:val="auto"/>
        </w:rPr>
        <w:tab/>
      </w:r>
      <w:r>
        <w:rPr>
          <w:rFonts w:ascii="Arial" w:cs="Arial" w:eastAsia="Arial" w:hAnsi="Arial"/>
          <w:sz w:val="16"/>
          <w:szCs w:val="16"/>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 Craig Lindner</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E-2</w:t>
      </w:r>
    </w:p>
    <w:p>
      <w:pPr>
        <w:sectPr>
          <w:pgSz w:w="11900" w:h="16838" w:orient="portrait"/>
          <w:cols w:equalWidth="0" w:num="1">
            <w:col w:w="11240"/>
          </w:cols>
          <w:pgMar w:left="320" w:top="895"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6"/>
          <w:szCs w:val="16"/>
          <w:b w:val="1"/>
          <w:bCs w:val="1"/>
          <w:color w:val="003366"/>
        </w:rPr>
        <w:t>Exhibit 31(c)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Brian S. Hertzman, certify that:</w:t>
      </w:r>
    </w:p>
    <w:p>
      <w:pPr>
        <w:spacing w:after="0" w:line="248"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15"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15"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15"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820" w:right="300" w:hanging="488"/>
        <w:spacing w:after="0" w:line="304" w:lineRule="auto"/>
        <w:tabs>
          <w:tab w:leader="none" w:pos="815"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August 8, 2024</w:t>
      </w:r>
      <w:r>
        <w:rPr>
          <w:sz w:val="20"/>
          <w:szCs w:val="20"/>
          <w:color w:val="auto"/>
        </w:rPr>
        <w:tab/>
      </w:r>
      <w:r>
        <w:rPr>
          <w:rFonts w:ascii="Arial" w:cs="Arial" w:eastAsia="Arial" w:hAnsi="Arial"/>
          <w:sz w:val="16"/>
          <w:szCs w:val="16"/>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Brian S. Hertzman</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E-3</w:t>
      </w:r>
    </w:p>
    <w:p>
      <w:pPr>
        <w:sectPr>
          <w:pgSz w:w="11900" w:h="16838" w:orient="portrait"/>
          <w:cols w:equalWidth="0" w:num="1">
            <w:col w:w="11240"/>
          </w:cols>
          <w:pgMar w:left="320" w:top="895"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6"/>
          <w:szCs w:val="16"/>
          <w:b w:val="1"/>
          <w:bCs w:val="1"/>
          <w:color w:val="003366"/>
        </w:rPr>
        <w:t>Exhibit 32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CERTIFICATION OF CHIEF EXECUTIVE OFFICERS AND CHIEF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PURSUANT TO SECTION 906 OF THE SARBANES-OXLEY ACT OF 2002</w:t>
      </w:r>
    </w:p>
    <w:p>
      <w:pPr>
        <w:spacing w:after="0" w:line="200" w:lineRule="exact"/>
        <w:rPr>
          <w:sz w:val="20"/>
          <w:szCs w:val="20"/>
          <w:color w:val="auto"/>
        </w:rPr>
      </w:pPr>
    </w:p>
    <w:p>
      <w:pPr>
        <w:spacing w:after="0" w:line="275"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color w:val="auto"/>
        </w:rPr>
        <w:t>In connection with the filing with the Securities and Exchange Commission of the Quarterly Report of American Financial Group, Inc. (the “Company”) on Form 10-Q for the period ended June 30, 2024 (the “Report”), the undersigned officers of the Company, certify, pursuant to section 906 of the Sarbanes-Oxley Act of 2002, that to the best of their knowledge:</w:t>
      </w:r>
    </w:p>
    <w:p>
      <w:pPr>
        <w:spacing w:after="0" w:line="19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Act of 1934; and</w:t>
      </w:r>
    </w:p>
    <w:p>
      <w:pPr>
        <w:spacing w:after="0" w:line="261"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895" w:right="339" w:bottom="1440" w:gutter="0" w:footer="0" w:header="0"/>
        </w:sect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August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August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August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 Craig Lindner</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Co-Chief Executive Officer</w:t>
      </w: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Carl H. Lindner III</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Co-Chief Executive Officer</w:t>
      </w: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Brian S. Hertzman</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ectPr>
          <w:pgSz w:w="11900" w:h="16838" w:orient="portrait"/>
          <w:cols w:equalWidth="0" w:num="2">
            <w:col w:w="4500" w:space="720"/>
            <w:col w:w="602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2560" w:right="2540"/>
        <w:spacing w:after="0" w:line="296" w:lineRule="auto"/>
        <w:rPr>
          <w:sz w:val="20"/>
          <w:szCs w:val="20"/>
          <w:color w:val="auto"/>
        </w:rPr>
      </w:pPr>
      <w:r>
        <w:rPr>
          <w:rFonts w:ascii="Arial" w:cs="Arial" w:eastAsia="Arial" w:hAnsi="Arial"/>
          <w:sz w:val="16"/>
          <w:szCs w:val="16"/>
          <w:b w:val="1"/>
          <w:bCs w:val="1"/>
          <w:color w:val="auto"/>
        </w:rPr>
        <w:t>A signed original of this written statement will be retained by the Registrant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E-4</w:t>
      </w:r>
    </w:p>
    <w:sectPr>
      <w:pgSz w:w="11900" w:h="16838" w:orient="portrait"/>
      <w:cols w:equalWidth="0" w:num="1">
        <w:col w:w="11240"/>
      </w:cols>
      <w:pgMar w:left="320" w:top="89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upperLetter"/>
      <w:start w:val="7"/>
    </w:lvl>
  </w:abstractNum>
  <w:abstractNum w:abstractNumId="3">
    <w:nsid w:val="2D1D5AE9"/>
    <w:multiLevelType w:val="hybridMultilevel"/>
    <w:lvl w:ilvl="0">
      <w:lvlJc w:val="left"/>
      <w:lvlText w:val="%1."/>
      <w:numFmt w:val="upperLetter"/>
      <w:start w:val="1"/>
    </w:lvl>
  </w:abstractNum>
  <w:abstractNum w:abstractNumId="4">
    <w:nsid w:val="6763845E"/>
    <w:multiLevelType w:val="hybridMultilevel"/>
    <w:lvl w:ilvl="0">
      <w:lvlJc w:val="left"/>
      <w:lvlText w:val="(%1)"/>
      <w:numFmt w:val="lowerRoman"/>
      <w:start w:val="3"/>
    </w:lvl>
  </w:abstractNum>
  <w:abstractNum w:abstractNumId="5">
    <w:nsid w:val="75A2A8D4"/>
    <w:multiLevelType w:val="hybridMultilevel"/>
    <w:lvl w:ilvl="0">
      <w:lvlJc w:val="left"/>
      <w:lvlText w:val="%1."/>
      <w:numFmt w:val="upperLetter"/>
      <w:start w:val="2"/>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upperLetter"/>
      <w:start w:val="3"/>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upperLetter"/>
      <w:start w:val="4"/>
    </w:lvl>
  </w:abstractNum>
  <w:abstractNum w:abstractNumId="10">
    <w:nsid w:val="189A769B"/>
    <w:multiLevelType w:val="hybridMultilevel"/>
    <w:lvl w:ilvl="0">
      <w:lvlJc w:val="left"/>
      <w:lvlText w:val="%1."/>
      <w:numFmt w:val="upperLetter"/>
      <w:start w:val="5"/>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upperLetter"/>
      <w:start w:val="6"/>
    </w:lvl>
  </w:abstractNum>
  <w:abstractNum w:abstractNumId="16">
    <w:nsid w:val="3A95F874"/>
    <w:multiLevelType w:val="hybridMultilevel"/>
    <w:lvl w:ilvl="0">
      <w:lvlJc w:val="left"/>
      <w:lvlText w:val="%1."/>
      <w:numFmt w:val="upperLetter"/>
      <w:start w:val="7"/>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upperLetter"/>
      <w:start w:val="8"/>
    </w:lvl>
  </w:abstractNum>
  <w:abstractNum w:abstractNumId="20">
    <w:nsid w:val="737B8DDC"/>
    <w:multiLevelType w:val="hybridMultilevel"/>
    <w:lvl w:ilvl="0">
      <w:lvlJc w:val="left"/>
      <w:lvlText w:val="%1."/>
      <w:numFmt w:val="upperLetter"/>
      <w:start w:val="10"/>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upperLetter"/>
      <w:start w:val="11"/>
    </w:lvl>
  </w:abstractNum>
  <w:abstractNum w:abstractNumId="23">
    <w:nsid w:val="4516DDE9"/>
    <w:multiLevelType w:val="hybridMultilevel"/>
    <w:lvl w:ilvl="0">
      <w:lvlJc w:val="left"/>
      <w:lvlText w:val="%1."/>
      <w:numFmt w:val="upperLetter"/>
      <w:start w:val="12"/>
    </w:lvl>
  </w:abstractNum>
  <w:abstractNum w:abstractNumId="24">
    <w:nsid w:val="3006C83E"/>
    <w:multiLevelType w:val="hybridMultilevel"/>
    <w:lvl w:ilvl="0">
      <w:lvlJc w:val="left"/>
      <w:lvlText w:val="%1."/>
      <w:numFmt w:val="upperLetter"/>
      <w:start w:val="13"/>
    </w:lvl>
  </w:abstractNum>
  <w:abstractNum w:abstractNumId="25">
    <w:nsid w:val="614FD4A1"/>
    <w:multiLevelType w:val="hybridMultilevel"/>
    <w:lvl w:ilvl="0">
      <w:lvlJc w:val="left"/>
      <w:lvlText w:val="(%1)"/>
      <w:numFmt w:val="lowerRoman"/>
      <w:start w:val="2"/>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1)"/>
      <w:numFmt w:val="lowerLetter"/>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2024-08-08T13:56:41Z</dcterms:created>
  <dcterms:modified xsi:type="dcterms:W3CDTF">2024-08-08T13:56:41Z</dcterms:modified>
</cp:coreProperties>
</file>