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ind w:left="1980" w:hanging="210"/>
        <w:spacing w:after="0"/>
        <w:tabs>
          <w:tab w:leader="none" w:pos="1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 the Quarterly Period Ended September 30, 2024</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or</w:t>
      </w:r>
    </w:p>
    <w:p>
      <w:pPr>
        <w:spacing w:after="0" w:line="12" w:lineRule="exact"/>
        <w:rPr>
          <w:sz w:val="24"/>
          <w:szCs w:val="24"/>
          <w:color w:val="auto"/>
        </w:rPr>
      </w:pPr>
    </w:p>
    <w:p>
      <w:pPr>
        <w:jc w:val="center"/>
        <w:ind w:left="3920" w:right="1680" w:hanging="2181"/>
        <w:spacing w:after="0" w:line="271" w:lineRule="auto"/>
        <w:tabs>
          <w:tab w:leader="none" w:pos="19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 to ____</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172720</wp:posOffset>
            </wp:positionV>
            <wp:extent cx="2228850" cy="1140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003366"/>
        </w:rPr>
        <w:t>AMERICAN FINANCIAL GROUP, INC.</w:t>
      </w:r>
    </w:p>
    <w:p>
      <w:pPr>
        <w:spacing w:after="0" w:line="137" w:lineRule="exact"/>
        <w:rPr>
          <w:sz w:val="24"/>
          <w:szCs w:val="24"/>
          <w:color w:val="auto"/>
        </w:rPr>
      </w:pPr>
    </w:p>
    <w:p>
      <w:pPr>
        <w:ind w:left="1020"/>
        <w:spacing w:after="0"/>
        <w:tabs>
          <w:tab w:leader="none" w:pos="7360" w:val="left"/>
        </w:tabs>
        <w:rPr>
          <w:sz w:val="20"/>
          <w:szCs w:val="20"/>
          <w:color w:val="auto"/>
        </w:rPr>
      </w:pPr>
      <w:r>
        <w:rPr>
          <w:rFonts w:ascii="Arial" w:cs="Arial" w:eastAsia="Arial" w:hAnsi="Arial"/>
          <w:sz w:val="18"/>
          <w:szCs w:val="18"/>
          <w:b w:val="1"/>
          <w:bCs w:val="1"/>
          <w:color w:val="auto"/>
        </w:rPr>
        <w:t>Incorporated under the Laws of Ohio</w:t>
      </w:r>
      <w:r>
        <w:rPr>
          <w:sz w:val="20"/>
          <w:szCs w:val="20"/>
          <w:color w:val="auto"/>
        </w:rPr>
        <w:tab/>
      </w:r>
      <w:r>
        <w:rPr>
          <w:rFonts w:ascii="Arial" w:cs="Arial" w:eastAsia="Arial" w:hAnsi="Arial"/>
          <w:sz w:val="17"/>
          <w:szCs w:val="17"/>
          <w:b w:val="1"/>
          <w:bCs w:val="1"/>
          <w:color w:val="auto"/>
        </w:rPr>
        <w:t>IRS Employer I.D. No. 31-1544320</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301 East Fourth Street, Cincinnati, Ohio 45202</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(513) 579-2121</w:t>
      </w:r>
    </w:p>
    <w:p>
      <w:pPr>
        <w:spacing w:after="0" w:line="12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1"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color w:val="auto"/>
              </w:rPr>
              <w:t>Title of Each Class</w:t>
            </w:r>
          </w:p>
        </w:tc>
        <w:tc>
          <w:tcPr>
            <w:tcW w:w="1440" w:type="dxa"/>
            <w:vAlign w:val="bottom"/>
            <w:gridSpan w:val="2"/>
          </w:tcPr>
          <w:p>
            <w:pPr>
              <w:spacing w:after="0"/>
              <w:rPr>
                <w:sz w:val="20"/>
                <w:szCs w:val="20"/>
                <w:color w:val="auto"/>
              </w:rPr>
            </w:pPr>
            <w:r>
              <w:rPr>
                <w:rFonts w:ascii="Arial" w:cs="Arial" w:eastAsia="Arial" w:hAnsi="Arial"/>
                <w:sz w:val="14"/>
                <w:szCs w:val="14"/>
                <w:color w:val="auto"/>
              </w:rPr>
              <w:t>Trading Symbol(s)</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42"/>
        </w:trPr>
        <w:tc>
          <w:tcPr>
            <w:tcW w:w="11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41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AFG</w:t>
            </w:r>
          </w:p>
        </w:tc>
        <w:tc>
          <w:tcPr>
            <w:tcW w:w="260" w:type="dxa"/>
            <w:vAlign w:val="bottom"/>
          </w:tcPr>
          <w:p>
            <w:pPr>
              <w:spacing w:after="0"/>
              <w:rPr>
                <w:sz w:val="21"/>
                <w:szCs w:val="21"/>
                <w:color w:val="auto"/>
              </w:rPr>
            </w:pP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29"/>
        </w:trPr>
        <w:tc>
          <w:tcPr>
            <w:tcW w:w="500" w:type="dxa"/>
            <w:vAlign w:val="bottom"/>
          </w:tcPr>
          <w:p>
            <w:pPr>
              <w:spacing w:after="0"/>
              <w:rPr>
                <w:sz w:val="20"/>
                <w:szCs w:val="20"/>
                <w:color w:val="auto"/>
              </w:rPr>
            </w:pPr>
            <w:r>
              <w:rPr>
                <w:rFonts w:ascii="Arial" w:cs="Arial" w:eastAsia="Arial" w:hAnsi="Arial"/>
                <w:sz w:val="14"/>
                <w:szCs w:val="14"/>
                <w:color w:val="auto"/>
              </w:rPr>
              <w:t>5.875%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March 30,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AFGB</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5.625%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June 1,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AFGD</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5.125%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December 15,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AFGC</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320" w:type="dxa"/>
            <w:vAlign w:val="bottom"/>
            <w:gridSpan w:val="3"/>
          </w:tcPr>
          <w:p>
            <w:pPr>
              <w:spacing w:after="0"/>
              <w:rPr>
                <w:sz w:val="20"/>
                <w:szCs w:val="20"/>
                <w:color w:val="auto"/>
              </w:rPr>
            </w:pPr>
            <w:r>
              <w:rPr>
                <w:rFonts w:ascii="Arial" w:cs="Arial" w:eastAsia="Arial" w:hAnsi="Arial"/>
                <w:sz w:val="14"/>
                <w:szCs w:val="14"/>
                <w:color w:val="auto"/>
              </w:rPr>
              <w:t>4.50% Subordinated Debentures due September 15,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AFGE</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bl>
    <w:p>
      <w:pPr>
        <w:spacing w:after="0" w:line="151" w:lineRule="exact"/>
        <w:rPr>
          <w:sz w:val="24"/>
          <w:szCs w:val="24"/>
          <w:color w:val="auto"/>
        </w:rPr>
      </w:pPr>
    </w:p>
    <w:p>
      <w:pPr>
        <w:ind w:right="100"/>
        <w:spacing w:after="0" w:line="23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ind w:right="100"/>
        <w:spacing w:after="0" w:line="23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20" w:top="1182" w:right="399" w:bottom="1440" w:gutter="0" w:footer="0" w:header="0"/>
        </w:sectPr>
      </w:pPr>
    </w:p>
    <w:p>
      <w:pPr>
        <w:spacing w:after="0" w:line="63"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6">
            <w:col w:w="3420" w:space="100"/>
            <w:col w:w="640" w:space="720"/>
            <w:col w:w="1280" w:space="100"/>
            <w:col w:w="700" w:space="720"/>
            <w:col w:w="1660" w:space="100"/>
            <w:col w:w="1740"/>
          </w:cols>
          <w:pgMar w:left="320" w:top="1182" w:right="399" w:bottom="1440" w:gutter="0" w:footer="0" w:header="0"/>
          <w:type w:val="continuous"/>
        </w:sectPr>
      </w:pPr>
    </w:p>
    <w:p>
      <w:pPr>
        <w:spacing w:after="0" w:line="21"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8" w:lineRule="exact"/>
        <w:rPr>
          <w:sz w:val="24"/>
          <w:szCs w:val="24"/>
          <w:color w:val="auto"/>
        </w:rPr>
      </w:pPr>
    </w:p>
    <w:p>
      <w:pPr>
        <w:sectPr>
          <w:pgSz w:w="11900" w:h="16838" w:orient="portrait"/>
          <w:cols w:equalWidth="0" w:num="4">
            <w:col w:w="4940" w:space="100"/>
            <w:col w:w="300" w:space="720"/>
            <w:col w:w="2140" w:space="80"/>
            <w:col w:w="2900"/>
          </w:cols>
          <w:pgMar w:left="320" w:top="1182" w:right="399" w:bottom="1440" w:gutter="0" w:footer="0" w:header="0"/>
          <w:type w:val="continuous"/>
        </w:sectPr>
      </w:pPr>
    </w:p>
    <w:p>
      <w:pPr>
        <w:ind w:right="14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As of November 1, 2024, there were 83,931,257 shares of the Registrant’s Common Stock outstanding, excluding 14.9 million shares owned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1182"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9980" w:type="dxa"/>
            <w:vAlign w:val="bottom"/>
          </w:tcPr>
          <w:p>
            <w:pPr>
              <w:ind w:left="2840"/>
              <w:spacing w:after="0"/>
              <w:rPr>
                <w:sz w:val="20"/>
                <w:szCs w:val="20"/>
                <w:color w:val="auto"/>
              </w:rPr>
            </w:pPr>
            <w:r>
              <w:rPr>
                <w:rFonts w:ascii="Arial" w:cs="Arial" w:eastAsia="Arial" w:hAnsi="Arial"/>
                <w:sz w:val="20"/>
                <w:szCs w:val="20"/>
                <w:b w:val="1"/>
                <w:bCs w:val="1"/>
                <w:color w:val="003366"/>
              </w:rPr>
              <w:t>AMERICAN FINANCIAL GROUP, INC. 10-Q</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7"/>
        </w:trPr>
        <w:tc>
          <w:tcPr>
            <w:tcW w:w="820" w:type="dxa"/>
            <w:vAlign w:val="bottom"/>
          </w:tcPr>
          <w:p>
            <w:pPr>
              <w:spacing w:after="0"/>
              <w:rPr>
                <w:sz w:val="24"/>
                <w:szCs w:val="24"/>
                <w:color w:val="auto"/>
              </w:rPr>
            </w:pPr>
          </w:p>
        </w:tc>
        <w:tc>
          <w:tcPr>
            <w:tcW w:w="9980" w:type="dxa"/>
            <w:vAlign w:val="bottom"/>
          </w:tcPr>
          <w:p>
            <w:pPr>
              <w:ind w:left="3740"/>
              <w:spacing w:after="0"/>
              <w:rPr>
                <w:sz w:val="20"/>
                <w:szCs w:val="20"/>
                <w:color w:val="auto"/>
              </w:rPr>
            </w:pPr>
            <w:r>
              <w:rPr>
                <w:rFonts w:ascii="Arial" w:cs="Arial" w:eastAsia="Arial" w:hAnsi="Arial"/>
                <w:sz w:val="20"/>
                <w:szCs w:val="20"/>
                <w:b w:val="1"/>
                <w:bCs w:val="1"/>
                <w:color w:val="003366"/>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0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00FF"/>
              </w:rPr>
              <w:t>Part I — Financial Information</w:t>
            </w: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10800" w:type="dxa"/>
            <w:vAlign w:val="bottom"/>
            <w:gridSpan w:val="2"/>
            <w:vMerge w:val="continue"/>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1 —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Balance Sheet</w:t>
            </w:r>
          </w:p>
        </w:tc>
        <w:tc>
          <w:tcPr>
            <w:tcW w:w="400" w:type="dxa"/>
            <w:vAlign w:val="bottom"/>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Earnings</w:t>
            </w:r>
          </w:p>
        </w:tc>
        <w:tc>
          <w:tcPr>
            <w:tcW w:w="400" w:type="dxa"/>
            <w:vAlign w:val="bottom"/>
          </w:tcPr>
          <w:p>
            <w:pPr>
              <w:jc w:val="right"/>
              <w:spacing w:after="0"/>
              <w:rPr>
                <w:sz w:val="20"/>
                <w:szCs w:val="20"/>
                <w:color w:val="auto"/>
              </w:rPr>
            </w:pPr>
            <w:r>
              <w:rPr>
                <w:rFonts w:ascii="Arial" w:cs="Arial" w:eastAsia="Arial" w:hAnsi="Arial"/>
                <w:sz w:val="16"/>
                <w:szCs w:val="16"/>
                <w:color w:val="0000FF"/>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Comprehensive Income</w:t>
            </w:r>
          </w:p>
        </w:tc>
        <w:tc>
          <w:tcPr>
            <w:tcW w:w="400" w:type="dxa"/>
            <w:vAlign w:val="bottom"/>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Changes in Equity</w:t>
            </w:r>
          </w:p>
        </w:tc>
        <w:tc>
          <w:tcPr>
            <w:tcW w:w="400" w:type="dxa"/>
            <w:vAlign w:val="bottom"/>
          </w:tcPr>
          <w:p>
            <w:pPr>
              <w:jc w:val="right"/>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Cash Flows</w:t>
            </w:r>
          </w:p>
        </w:tc>
        <w:tc>
          <w:tcPr>
            <w:tcW w:w="400" w:type="dxa"/>
            <w:vAlign w:val="bottom"/>
          </w:tcPr>
          <w:p>
            <w:pPr>
              <w:jc w:val="right"/>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2 — 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6"/>
                <w:szCs w:val="16"/>
                <w:color w:val="0000FF"/>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3 — Quantitative and Qualitative Disclosure about Market Risk</w:t>
            </w:r>
          </w:p>
        </w:tc>
        <w:tc>
          <w:tcPr>
            <w:tcW w:w="400" w:type="dxa"/>
            <w:vAlign w:val="bottom"/>
          </w:tcPr>
          <w:p>
            <w:pPr>
              <w:jc w:val="right"/>
              <w:spacing w:after="0"/>
              <w:rPr>
                <w:sz w:val="20"/>
                <w:szCs w:val="20"/>
                <w:color w:val="auto"/>
              </w:rPr>
            </w:pPr>
            <w:r>
              <w:rPr>
                <w:rFonts w:ascii="Arial" w:cs="Arial" w:eastAsia="Arial" w:hAnsi="Arial"/>
                <w:sz w:val="16"/>
                <w:szCs w:val="16"/>
                <w:color w:val="0000FF"/>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4</w:t>
            </w:r>
          </w:p>
        </w:tc>
        <w:tc>
          <w:tcPr>
            <w:tcW w:w="9980" w:type="dxa"/>
            <w:vAlign w:val="bottom"/>
          </w:tcPr>
          <w:p>
            <w:pPr>
              <w:ind w:left="20"/>
              <w:spacing w:after="0"/>
              <w:rPr>
                <w:sz w:val="20"/>
                <w:szCs w:val="20"/>
                <w:color w:val="auto"/>
              </w:rPr>
            </w:pPr>
            <w:r>
              <w:rPr>
                <w:rFonts w:ascii="Arial" w:cs="Arial" w:eastAsia="Arial" w:hAnsi="Arial"/>
                <w:sz w:val="16"/>
                <w:szCs w:val="16"/>
                <w:color w:val="0000FF"/>
              </w:rPr>
              <w:t>— Controls and Procedures</w:t>
            </w:r>
          </w:p>
        </w:tc>
        <w:tc>
          <w:tcPr>
            <w:tcW w:w="400" w:type="dxa"/>
            <w:vAlign w:val="bottom"/>
          </w:tcPr>
          <w:p>
            <w:pPr>
              <w:jc w:val="right"/>
              <w:spacing w:after="0"/>
              <w:rPr>
                <w:sz w:val="20"/>
                <w:szCs w:val="20"/>
                <w:color w:val="auto"/>
              </w:rPr>
            </w:pPr>
            <w:r>
              <w:rPr>
                <w:rFonts w:ascii="Arial" w:cs="Arial" w:eastAsia="Arial" w:hAnsi="Arial"/>
                <w:sz w:val="16"/>
                <w:szCs w:val="16"/>
                <w:color w:val="0000FF"/>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1080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II — Other Information</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2</w:t>
            </w:r>
          </w:p>
        </w:tc>
        <w:tc>
          <w:tcPr>
            <w:tcW w:w="9980" w:type="dxa"/>
            <w:vAlign w:val="bottom"/>
          </w:tcPr>
          <w:p>
            <w:pPr>
              <w:ind w:left="20"/>
              <w:spacing w:after="0"/>
              <w:rPr>
                <w:sz w:val="20"/>
                <w:szCs w:val="20"/>
                <w:color w:val="auto"/>
              </w:rPr>
            </w:pPr>
            <w:r>
              <w:rPr>
                <w:rFonts w:ascii="Arial" w:cs="Arial" w:eastAsia="Arial" w:hAnsi="Arial"/>
                <w:sz w:val="16"/>
                <w:szCs w:val="16"/>
                <w:color w:val="0000FF"/>
              </w:rPr>
              <w:t>— Unregistered Sales of Equity Securities and Use of Proceeds</w:t>
            </w:r>
          </w:p>
        </w:tc>
        <w:tc>
          <w:tcPr>
            <w:tcW w:w="400" w:type="dxa"/>
            <w:vAlign w:val="bottom"/>
          </w:tcPr>
          <w:p>
            <w:pPr>
              <w:jc w:val="right"/>
              <w:spacing w:after="0"/>
              <w:rPr>
                <w:sz w:val="20"/>
                <w:szCs w:val="20"/>
                <w:color w:val="auto"/>
              </w:rPr>
            </w:pPr>
            <w:r>
              <w:rPr>
                <w:rFonts w:ascii="Arial" w:cs="Arial" w:eastAsia="Arial" w:hAnsi="Arial"/>
                <w:sz w:val="16"/>
                <w:szCs w:val="16"/>
                <w:color w:val="0000FF"/>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5</w:t>
            </w:r>
          </w:p>
        </w:tc>
        <w:tc>
          <w:tcPr>
            <w:tcW w:w="9980" w:type="dxa"/>
            <w:vAlign w:val="bottom"/>
          </w:tcPr>
          <w:p>
            <w:pPr>
              <w:ind w:left="20"/>
              <w:spacing w:after="0"/>
              <w:rPr>
                <w:sz w:val="20"/>
                <w:szCs w:val="20"/>
                <w:color w:val="auto"/>
              </w:rPr>
            </w:pPr>
            <w:r>
              <w:rPr>
                <w:rFonts w:ascii="Arial" w:cs="Arial" w:eastAsia="Arial" w:hAnsi="Arial"/>
                <w:sz w:val="16"/>
                <w:szCs w:val="16"/>
                <w:color w:val="0000FF"/>
              </w:rPr>
              <w:t>— Other Information</w:t>
            </w:r>
          </w:p>
        </w:tc>
        <w:tc>
          <w:tcPr>
            <w:tcW w:w="400" w:type="dxa"/>
            <w:vAlign w:val="bottom"/>
          </w:tcPr>
          <w:p>
            <w:pPr>
              <w:jc w:val="right"/>
              <w:spacing w:after="0"/>
              <w:rPr>
                <w:sz w:val="20"/>
                <w:szCs w:val="20"/>
                <w:color w:val="auto"/>
              </w:rPr>
            </w:pPr>
            <w:r>
              <w:rPr>
                <w:rFonts w:ascii="Arial" w:cs="Arial" w:eastAsia="Arial" w:hAnsi="Arial"/>
                <w:sz w:val="16"/>
                <w:szCs w:val="16"/>
                <w:color w:val="0000FF"/>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6</w:t>
            </w:r>
          </w:p>
        </w:tc>
        <w:tc>
          <w:tcPr>
            <w:tcW w:w="9980" w:type="dxa"/>
            <w:vAlign w:val="bottom"/>
          </w:tcPr>
          <w:p>
            <w:pPr>
              <w:ind w:left="20"/>
              <w:spacing w:after="0"/>
              <w:rPr>
                <w:sz w:val="20"/>
                <w:szCs w:val="20"/>
                <w:color w:val="auto"/>
              </w:rPr>
            </w:pPr>
            <w:r>
              <w:rPr>
                <w:rFonts w:ascii="Arial" w:cs="Arial" w:eastAsia="Arial" w:hAnsi="Arial"/>
                <w:sz w:val="16"/>
                <w:szCs w:val="16"/>
                <w:color w:val="0000FF"/>
              </w:rPr>
              <w:t>— Exhibits</w:t>
            </w:r>
          </w:p>
        </w:tc>
        <w:tc>
          <w:tcPr>
            <w:tcW w:w="400" w:type="dxa"/>
            <w:vAlign w:val="bottom"/>
          </w:tcPr>
          <w:p>
            <w:pPr>
              <w:jc w:val="right"/>
              <w:spacing w:after="0"/>
              <w:rPr>
                <w:sz w:val="20"/>
                <w:szCs w:val="20"/>
                <w:color w:val="auto"/>
              </w:rPr>
            </w:pPr>
            <w:r>
              <w:rPr>
                <w:rFonts w:ascii="Arial" w:cs="Arial" w:eastAsia="Arial" w:hAnsi="Arial"/>
                <w:sz w:val="16"/>
                <w:szCs w:val="16"/>
                <w:color w:val="0000FF"/>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Signature</w:t>
            </w:r>
          </w:p>
        </w:tc>
        <w:tc>
          <w:tcPr>
            <w:tcW w:w="400" w:type="dxa"/>
            <w:vAlign w:val="bottom"/>
          </w:tcPr>
          <w:p>
            <w:pPr>
              <w:jc w:val="right"/>
              <w:spacing w:after="0"/>
              <w:rPr>
                <w:sz w:val="20"/>
                <w:szCs w:val="20"/>
                <w:color w:val="auto"/>
              </w:rPr>
            </w:pPr>
            <w:r>
              <w:rPr>
                <w:rFonts w:ascii="Arial" w:cs="Arial" w:eastAsia="Arial" w:hAnsi="Arial"/>
                <w:sz w:val="16"/>
                <w:szCs w:val="16"/>
                <w:color w:val="0000FF"/>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1"/>
        </w:trPr>
        <w:tc>
          <w:tcPr>
            <w:tcW w:w="8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3366"/>
        </w:rPr>
        <w:t>PART I</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3366"/>
        </w:rPr>
        <w:t>ITEM 1. — FINANCIAL STATEMENTS</w:t>
      </w: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003366"/>
        </w:rPr>
        <w:t>CONSOLIDATED BALANCE SHEET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color w:val="auto"/>
              </w:rPr>
              <w:t>September 30,</w:t>
            </w:r>
          </w:p>
        </w:tc>
        <w:tc>
          <w:tcPr>
            <w:tcW w:w="160" w:type="dxa"/>
            <w:vAlign w:val="bottom"/>
          </w:tcPr>
          <w:p>
            <w:pPr>
              <w:spacing w:after="0"/>
              <w:rPr>
                <w:sz w:val="14"/>
                <w:szCs w:val="14"/>
                <w:color w:val="auto"/>
              </w:rPr>
            </w:pPr>
          </w:p>
        </w:tc>
        <w:tc>
          <w:tcPr>
            <w:tcW w:w="1220" w:type="dxa"/>
            <w:vAlign w:val="bottom"/>
          </w:tcPr>
          <w:p>
            <w:pPr>
              <w:jc w:val="right"/>
              <w:ind w:right="119"/>
              <w:spacing w:after="0"/>
              <w:rPr>
                <w:sz w:val="20"/>
                <w:szCs w:val="20"/>
                <w:color w:val="auto"/>
              </w:rPr>
            </w:pPr>
            <w:r>
              <w:rPr>
                <w:rFonts w:ascii="Arial" w:cs="Arial" w:eastAsia="Arial" w:hAnsi="Arial"/>
                <w:sz w:val="15"/>
                <w:szCs w:val="15"/>
                <w:color w:val="auto"/>
              </w:rPr>
              <w:t>December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Fixed maturities, available for sale at fair value (amortized cost — $10,586 and $10,752; allowance for</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10,435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15"/>
        </w:trPr>
        <w:tc>
          <w:tcPr>
            <w:tcW w:w="8400" w:type="dxa"/>
            <w:vAlign w:val="bottom"/>
          </w:tcPr>
          <w:p>
            <w:pPr>
              <w:ind w:left="1000"/>
              <w:spacing w:after="0"/>
              <w:rPr>
                <w:sz w:val="20"/>
                <w:szCs w:val="20"/>
                <w:color w:val="auto"/>
              </w:rPr>
            </w:pPr>
            <w:r>
              <w:rPr>
                <w:rFonts w:ascii="Arial" w:cs="Arial" w:eastAsia="Arial" w:hAnsi="Arial"/>
                <w:sz w:val="16"/>
                <w:szCs w:val="16"/>
                <w:color w:val="auto"/>
              </w:rPr>
              <w:t>expected credit losses of $25 and $12)</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 trading at fair value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Equity securities, at fair value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Investments accounted for using the equity method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Mortgage loans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and other investments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8400" w:type="dxa"/>
            <w:vAlign w:val="bottom"/>
          </w:tcPr>
          <w:p>
            <w:pPr>
              <w:ind w:left="1440"/>
              <w:spacing w:after="0"/>
              <w:rPr>
                <w:sz w:val="20"/>
                <w:szCs w:val="20"/>
                <w:color w:val="auto"/>
              </w:rPr>
            </w:pPr>
            <w:r>
              <w:rPr>
                <w:rFonts w:ascii="Arial" w:cs="Arial" w:eastAsia="Arial" w:hAnsi="Arial"/>
                <w:sz w:val="16"/>
                <w:szCs w:val="16"/>
                <w:color w:val="auto"/>
              </w:rPr>
              <w:t>Total cash and investments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15,263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Recoverables from reinsurers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reinsurance premiums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Agents’ balances and premiums receivable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policy acquisition costs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Assets of managed investment entities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0"/>
        </w:trPr>
        <w:tc>
          <w:tcPr>
            <w:tcW w:w="8400" w:type="dxa"/>
            <w:vAlign w:val="bottom"/>
          </w:tcPr>
          <w:p>
            <w:pPr>
              <w:ind w:left="14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32,591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losses and loss adjustment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Unearned premiums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3,451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 to reinsurers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Liabilities of managed investment entities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25,529</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Common Stock, no par value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980"/>
              <w:spacing w:after="0" w:line="162" w:lineRule="exact"/>
              <w:rPr>
                <w:sz w:val="20"/>
                <w:szCs w:val="20"/>
                <w:color w:val="auto"/>
              </w:rPr>
            </w:pPr>
            <w:r>
              <w:rPr>
                <w:rFonts w:ascii="Arial" w:cs="Arial" w:eastAsia="Arial" w:hAnsi="Arial"/>
                <w:sz w:val="16"/>
                <w:szCs w:val="16"/>
                <w:color w:val="auto"/>
              </w:rPr>
              <w:t>— 200,000,000 shares authorized</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8400" w:type="dxa"/>
            <w:vAlign w:val="bottom"/>
          </w:tcPr>
          <w:p>
            <w:pPr>
              <w:ind w:left="980"/>
              <w:spacing w:after="0"/>
              <w:rPr>
                <w:sz w:val="20"/>
                <w:szCs w:val="20"/>
                <w:color w:val="auto"/>
              </w:rPr>
            </w:pPr>
            <w:r>
              <w:rPr>
                <w:rFonts w:ascii="Arial" w:cs="Arial" w:eastAsia="Arial" w:hAnsi="Arial"/>
                <w:sz w:val="16"/>
                <w:szCs w:val="16"/>
                <w:color w:val="auto"/>
              </w:rPr>
              <w:t>— 83,923,446 and 83,635,807 shares outstanding</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surplus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income (loss), net of tax</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29,787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CONSOLIDATED STATEMENT OF EARNINGS (UNAUDITED)</w:t>
      </w:r>
    </w:p>
    <w:p>
      <w:pPr>
        <w:jc w:val="center"/>
        <w:spacing w:after="0"/>
        <w:rPr>
          <w:sz w:val="20"/>
          <w:szCs w:val="20"/>
          <w:color w:val="auto"/>
        </w:rPr>
      </w:pPr>
      <w:r>
        <w:rPr>
          <w:rFonts w:ascii="Arial" w:cs="Arial" w:eastAsia="Arial" w:hAnsi="Arial"/>
          <w:sz w:val="20"/>
          <w:szCs w:val="20"/>
          <w:b w:val="1"/>
          <w:bCs w:val="1"/>
          <w:color w:val="003366"/>
        </w:rPr>
        <w:t>(In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3040" w:type="dxa"/>
            <w:vAlign w:val="bottom"/>
            <w:gridSpan w:val="6"/>
          </w:tcPr>
          <w:p>
            <w:pPr>
              <w:ind w:left="32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720" w:type="dxa"/>
            <w:vAlign w:val="bottom"/>
            <w:gridSpan w:val="4"/>
          </w:tcPr>
          <w:p>
            <w:pPr>
              <w:jc w:val="right"/>
              <w:ind w:right="279"/>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6"/>
                <w:szCs w:val="16"/>
                <w:color w:val="auto"/>
              </w:rPr>
              <w:t>Property and casualty insurance net earned premiums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5,186</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4,799</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investment income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6"/>
                <w:szCs w:val="16"/>
                <w:color w:val="auto"/>
              </w:rPr>
              <w:t>Realized gains (losses) on:</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5240" w:type="dxa"/>
            <w:vAlign w:val="bottom"/>
          </w:tcPr>
          <w:p>
            <w:pPr>
              <w:ind w:left="680"/>
              <w:spacing w:after="0"/>
              <w:rPr>
                <w:sz w:val="20"/>
                <w:szCs w:val="20"/>
                <w:color w:val="auto"/>
              </w:rPr>
            </w:pPr>
            <w:r>
              <w:rPr>
                <w:rFonts w:ascii="Arial" w:cs="Arial" w:eastAsia="Arial" w:hAnsi="Arial"/>
                <w:sz w:val="16"/>
                <w:szCs w:val="16"/>
                <w:color w:val="auto"/>
              </w:rPr>
              <w:t>Subsidiary</w:t>
            </w:r>
          </w:p>
        </w:tc>
        <w:tc>
          <w:tcPr>
            <w:tcW w:w="9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of managed investment entities: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680"/>
              <w:spacing w:after="0"/>
              <w:rPr>
                <w:sz w:val="20"/>
                <w:szCs w:val="20"/>
                <w:color w:val="auto"/>
              </w:rPr>
            </w:pPr>
            <w:r>
              <w:rPr>
                <w:rFonts w:ascii="Arial" w:cs="Arial" w:eastAsia="Arial" w:hAnsi="Arial"/>
                <w:sz w:val="16"/>
                <w:szCs w:val="16"/>
                <w:color w:val="auto"/>
              </w:rPr>
              <w:t>Investment income</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change in fair value of assets/liabilities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6"/>
                <w:szCs w:val="16"/>
                <w:color w:val="auto"/>
              </w:rPr>
              <w:t>Property and casualty insurance:</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and loss adjustment expenses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15"/>
        </w:trPr>
        <w:tc>
          <w:tcPr>
            <w:tcW w:w="5240" w:type="dxa"/>
            <w:vAlign w:val="bottom"/>
          </w:tcPr>
          <w:p>
            <w:pPr>
              <w:ind w:left="680"/>
              <w:spacing w:after="0"/>
              <w:rPr>
                <w:sz w:val="20"/>
                <w:szCs w:val="20"/>
                <w:color w:val="auto"/>
              </w:rPr>
            </w:pPr>
            <w:r>
              <w:rPr>
                <w:rFonts w:ascii="Arial" w:cs="Arial" w:eastAsia="Arial" w:hAnsi="Arial"/>
                <w:sz w:val="16"/>
                <w:szCs w:val="16"/>
                <w:color w:val="auto"/>
              </w:rPr>
              <w:t>Commissions and other underwriting expenses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charges on borrowed money</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6"/>
                <w:szCs w:val="16"/>
                <w:color w:val="auto"/>
              </w:rPr>
              <w:t>Expenses of managed investment entities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expenses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5,006</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360"/>
              <w:spacing w:after="0"/>
              <w:rPr>
                <w:sz w:val="20"/>
                <w:szCs w:val="20"/>
                <w:color w:val="auto"/>
              </w:rPr>
            </w:pPr>
            <w:r>
              <w:rPr>
                <w:rFonts w:ascii="Arial" w:cs="Arial" w:eastAsia="Arial" w:hAnsi="Arial"/>
                <w:sz w:val="16"/>
                <w:szCs w:val="16"/>
                <w:color w:val="auto"/>
              </w:rPr>
              <w:t>Total basic earnings</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diluted earnings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Average number of Common Shares: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6"/>
                <w:szCs w:val="16"/>
                <w:color w:val="auto"/>
              </w:rPr>
              <w:t>Diluted</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003366"/>
        </w:rPr>
        <w:t>CONSOLIDATED STATEMENT OF COMPREHENSIVE INCOME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color w:val="auto"/>
              </w:rPr>
              <w:t>2023</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0"/>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securities: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Unrealized holding gains (losses) on securities arising during</w:t>
            </w:r>
          </w:p>
        </w:tc>
        <w:tc>
          <w:tcPr>
            <w:tcW w:w="10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the period</w:t>
            </w:r>
          </w:p>
        </w:tc>
        <w:tc>
          <w:tcPr>
            <w:tcW w:w="10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Reclassification adjustment for realized (gains) losses</w:t>
            </w:r>
          </w:p>
        </w:tc>
        <w:tc>
          <w:tcPr>
            <w:tcW w:w="10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included in net earnings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securities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cash flow hedges: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Unrealized holding gains (losses) on cash flow hedges arising</w:t>
            </w:r>
          </w:p>
        </w:tc>
        <w:tc>
          <w:tcPr>
            <w:tcW w:w="10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during the period</w:t>
            </w:r>
          </w:p>
        </w:tc>
        <w:tc>
          <w:tcPr>
            <w:tcW w:w="10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Reclassification adjustment for investment income included in</w:t>
            </w:r>
          </w:p>
        </w:tc>
        <w:tc>
          <w:tcPr>
            <w:tcW w:w="10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earnings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cash flow hedges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1"/>
        </w:trPr>
        <w:tc>
          <w:tcPr>
            <w:tcW w:w="4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118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003366"/>
        </w:rPr>
        <w:t>CONSOLIDATED STATEMENT OF CHANGES IN EQUITY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83,897,267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($0.71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14,497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20,913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(5,471)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83,923,446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280" w:type="dxa"/>
            <w:vAlign w:val="bottom"/>
          </w:tcPr>
          <w:p>
            <w:pPr>
              <w:jc w:val="right"/>
              <w:spacing w:after="0"/>
              <w:rPr>
                <w:sz w:val="20"/>
                <w:szCs w:val="20"/>
                <w:color w:val="auto"/>
              </w:rPr>
            </w:pPr>
            <w:r>
              <w:rPr>
                <w:rFonts w:ascii="Arial" w:cs="Arial" w:eastAsia="Arial" w:hAnsi="Arial"/>
                <w:sz w:val="16"/>
                <w:szCs w:val="16"/>
                <w:color w:val="auto"/>
              </w:rPr>
              <w:t>84,858,528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3,993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($0.63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1,696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(755,111)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84,135,710</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003366"/>
        </w:rPr>
        <w:t>CONSOLIDATED STATEMENT OF CHANGES IN EQUITY (UNAUDITED) — CONTINUED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83,635,807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($4.63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110,631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157,681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72,074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(53,362)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83,923,446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280" w:type="dxa"/>
            <w:vAlign w:val="bottom"/>
          </w:tcPr>
          <w:p>
            <w:pPr>
              <w:jc w:val="right"/>
              <w:spacing w:after="0"/>
              <w:rPr>
                <w:sz w:val="20"/>
                <w:szCs w:val="20"/>
                <w:color w:val="auto"/>
              </w:rPr>
            </w:pPr>
            <w:r>
              <w:rPr>
                <w:rFonts w:ascii="Arial" w:cs="Arial" w:eastAsia="Arial" w:hAnsi="Arial"/>
                <w:sz w:val="16"/>
                <w:szCs w:val="16"/>
                <w:color w:val="auto"/>
              </w:rPr>
              <w:t>85,204,006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($5.89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165,513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71,499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14,159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(1,329,831)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(56,629)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(16,638)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84,135,710</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003366"/>
        </w:rPr>
        <w:t>CONSOLIDATED STATEMENT OF CASH FLOWS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83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2023</w:t>
            </w:r>
          </w:p>
        </w:tc>
      </w:tr>
      <w:tr>
        <w:trPr>
          <w:trHeight w:val="20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Net earnings</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Net purchases of trading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Reinsurance and other receivables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(2,470)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(1,799)</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Insurance claims and reserves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1,668</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Payable to reinsurers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Other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Managed investment entities’ assets/liabilities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operating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83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197"/>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Purchases of:</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Mortgage loans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Other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property and equipment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Businesses</w:t>
            </w:r>
          </w:p>
        </w:tc>
        <w:tc>
          <w:tcPr>
            <w:tcW w:w="8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Maturities and redemptions of fixed maturities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Repayments of mortgage loans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fixed maturities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equity securities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other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real estate, property and equipment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Cash and cash equivalents of businesses acquired</w:t>
            </w:r>
          </w:p>
        </w:tc>
        <w:tc>
          <w:tcPr>
            <w:tcW w:w="8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Managed investment entities: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Purchases of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(1,223)</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sales and redemptions of investments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r>
      <w:tr>
        <w:trPr>
          <w:trHeight w:val="215"/>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investing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investing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197"/>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Reductions of long-term debt</w:t>
            </w:r>
          </w:p>
        </w:tc>
        <w:tc>
          <w:tcPr>
            <w:tcW w:w="8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Issuances of Common Stock</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Repurchases of Common Stock</w:t>
            </w:r>
          </w:p>
        </w:tc>
        <w:tc>
          <w:tcPr>
            <w:tcW w:w="8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paid on Common Stock</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Issuances of managed investment entities’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Retirements of managed investment entities’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(1,898)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r>
      <w:tr>
        <w:trPr>
          <w:trHeight w:val="209"/>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financing activities</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4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320" w:type="dxa"/>
            <w:vAlign w:val="bottom"/>
            <w:gridSpan w:val="2"/>
          </w:tcPr>
          <w:p>
            <w:pPr>
              <w:ind w:left="900"/>
              <w:spacing w:after="0"/>
              <w:rPr>
                <w:sz w:val="20"/>
                <w:szCs w:val="20"/>
                <w:color w:val="auto"/>
              </w:rPr>
            </w:pPr>
            <w:r>
              <w:rPr>
                <w:rFonts w:ascii="Arial" w:cs="Arial" w:eastAsia="Arial" w:hAnsi="Arial"/>
                <w:sz w:val="20"/>
                <w:szCs w:val="20"/>
                <w:b w:val="1"/>
                <w:bCs w:val="1"/>
                <w:color w:val="003366"/>
              </w:rPr>
              <w:t>INDEX TO NOTES</w:t>
            </w:r>
          </w:p>
        </w:tc>
      </w:tr>
      <w:tr>
        <w:trPr>
          <w:trHeight w:val="392"/>
        </w:trPr>
        <w:tc>
          <w:tcPr>
            <w:tcW w:w="400" w:type="dxa"/>
            <w:vAlign w:val="bottom"/>
          </w:tcPr>
          <w:p>
            <w:pPr>
              <w:spacing w:after="0"/>
              <w:rPr>
                <w:sz w:val="20"/>
                <w:szCs w:val="20"/>
                <w:color w:val="auto"/>
              </w:rPr>
            </w:pPr>
            <w:r>
              <w:rPr>
                <w:rFonts w:ascii="Arial" w:cs="Arial" w:eastAsia="Arial" w:hAnsi="Arial"/>
                <w:sz w:val="20"/>
                <w:szCs w:val="20"/>
                <w:b w:val="1"/>
                <w:bCs w:val="1"/>
                <w:color w:val="003366"/>
              </w:rPr>
              <w:t>A.</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Accounting Policies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H.</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w w:val="98"/>
              </w:rPr>
              <w:t>Goodwill and Other Intangibles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B.</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Acquisition of Business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I.</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Long-Term Debt</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C.</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Segments of Operations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J.</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Shareholders’ Equity</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D.</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Fair Value Measurements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K.</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Income Taxes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E.</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Investments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L.</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Contingencies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F.</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Derivatives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M.</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Insurance</w:t>
            </w:r>
          </w:p>
        </w:tc>
      </w:tr>
    </w:tbl>
    <w:p>
      <w:pPr>
        <w:spacing w:after="0" w:line="24" w:lineRule="exact"/>
        <w:rPr>
          <w:sz w:val="20"/>
          <w:szCs w:val="20"/>
          <w:color w:val="auto"/>
        </w:rPr>
      </w:pPr>
    </w:p>
    <w:p>
      <w:pPr>
        <w:ind w:left="620" w:hanging="594"/>
        <w:spacing w:after="0"/>
        <w:tabs>
          <w:tab w:leader="none" w:pos="620" w:val="left"/>
        </w:tabs>
        <w:numPr>
          <w:ilvl w:val="0"/>
          <w:numId w:val="3"/>
        </w:numPr>
        <w:rPr>
          <w:rFonts w:ascii="Arial" w:cs="Arial" w:eastAsia="Arial" w:hAnsi="Arial"/>
          <w:sz w:val="20"/>
          <w:szCs w:val="20"/>
          <w:b w:val="1"/>
          <w:bCs w:val="1"/>
          <w:color w:val="003366"/>
        </w:rPr>
      </w:pPr>
      <w:r>
        <w:rPr>
          <w:rFonts w:ascii="Arial" w:cs="Arial" w:eastAsia="Arial" w:hAnsi="Arial"/>
          <w:sz w:val="20"/>
          <w:szCs w:val="20"/>
          <w:b w:val="1"/>
          <w:bCs w:val="1"/>
          <w:color w:val="003366"/>
        </w:rPr>
        <w:t>Managed Investment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00" w:hanging="592"/>
        <w:spacing w:after="0"/>
        <w:tabs>
          <w:tab w:leader="none" w:pos="600" w:val="left"/>
        </w:tabs>
        <w:numPr>
          <w:ilvl w:val="0"/>
          <w:numId w:val="4"/>
        </w:numPr>
        <w:rPr>
          <w:rFonts w:ascii="Arial" w:cs="Arial" w:eastAsia="Arial" w:hAnsi="Arial"/>
          <w:sz w:val="29"/>
          <w:szCs w:val="29"/>
          <w:b w:val="1"/>
          <w:bCs w:val="1"/>
          <w:color w:val="003366"/>
        </w:rPr>
      </w:pPr>
      <w:r>
        <w:rPr>
          <w:rFonts w:ascii="Arial" w:cs="Arial" w:eastAsia="Arial" w:hAnsi="Arial"/>
          <w:sz w:val="29"/>
          <w:szCs w:val="29"/>
          <w:b w:val="1"/>
          <w:bCs w:val="1"/>
          <w:color w:val="003366"/>
        </w:rPr>
        <w:t>Accounting Policies</w:t>
      </w:r>
    </w:p>
    <w:p>
      <w:pPr>
        <w:spacing w:after="0" w:line="258"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003366"/>
        </w:rPr>
        <w:t xml:space="preserve">Basis of Presentation </w:t>
      </w:r>
      <w:r>
        <w:rPr>
          <w:rFonts w:ascii="Arial" w:cs="Arial" w:eastAsia="Arial" w:hAnsi="Arial"/>
          <w:sz w:val="17"/>
          <w:szCs w:val="17"/>
          <w:color w:val="000000"/>
        </w:rPr>
        <w:t>The accompanying consolidated financial statements for American Financial Group, Inc. and its subsidiaries (“AFG”)</w:t>
      </w:r>
      <w:r>
        <w:rPr>
          <w:rFonts w:ascii="Arial" w:cs="Arial" w:eastAsia="Arial" w:hAnsi="Arial"/>
          <w:sz w:val="20"/>
          <w:szCs w:val="20"/>
          <w:b w:val="1"/>
          <w:bCs w:val="1"/>
          <w:color w:val="003366"/>
        </w:rPr>
        <w:t xml:space="preserve"> </w:t>
      </w:r>
      <w:r>
        <w:rPr>
          <w:rFonts w:ascii="Arial" w:cs="Arial" w:eastAsia="Arial" w:hAnsi="Arial"/>
          <w:sz w:val="17"/>
          <w:szCs w:val="17"/>
          <w:color w:val="000000"/>
        </w:rPr>
        <w:t>are 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U.S. generally accepted accounting principles (“GAAP”).</w:t>
      </w:r>
    </w:p>
    <w:p>
      <w:pPr>
        <w:spacing w:after="0" w:line="219"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Certain reclassifications have been made to prior periods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September 30, 2024, and prior to the filing of this Form 10-Q, have been evaluated for potential recognition or disclosure herein.</w:t>
      </w:r>
    </w:p>
    <w:p>
      <w:pPr>
        <w:spacing w:after="0" w:line="206" w:lineRule="exact"/>
        <w:rPr>
          <w:sz w:val="20"/>
          <w:szCs w:val="20"/>
          <w:color w:val="auto"/>
        </w:rPr>
      </w:pPr>
    </w:p>
    <w:p>
      <w:pPr>
        <w:jc w:val="both"/>
        <w:ind w:right="500"/>
        <w:spacing w:after="0" w:line="301" w:lineRule="auto"/>
        <w:rPr>
          <w:sz w:val="20"/>
          <w:szCs w:val="20"/>
          <w:color w:val="auto"/>
        </w:rPr>
      </w:pPr>
      <w:r>
        <w:rPr>
          <w:rFonts w:ascii="Arial" w:cs="Arial" w:eastAsia="Arial" w:hAnsi="Arial"/>
          <w:sz w:val="17"/>
          <w:szCs w:val="17"/>
          <w:color w:val="auto"/>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spacing w:after="0" w:line="17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3366"/>
        </w:rPr>
        <w:t xml:space="preserve">Fair Value Measurements </w:t>
      </w:r>
      <w:r>
        <w:rPr>
          <w:rFonts w:ascii="Arial" w:cs="Arial" w:eastAsia="Arial" w:hAnsi="Arial"/>
          <w:sz w:val="17"/>
          <w:szCs w:val="17"/>
          <w:color w:val="000000"/>
        </w:rPr>
        <w:t>Accounting standards define fair value as the price that would be received to sell an asset or paid to transfer a</w:t>
      </w:r>
      <w:r>
        <w:rPr>
          <w:rFonts w:ascii="Arial" w:cs="Arial" w:eastAsia="Arial" w:hAnsi="Arial"/>
          <w:sz w:val="20"/>
          <w:szCs w:val="20"/>
          <w:b w:val="1"/>
          <w:bCs w:val="1"/>
          <w:color w:val="003366"/>
        </w:rPr>
        <w:t xml:space="preserve"> </w:t>
      </w:r>
      <w:r>
        <w:rPr>
          <w:rFonts w:ascii="Arial" w:cs="Arial" w:eastAsia="Arial" w:hAnsi="Arial"/>
          <w:sz w:val="17"/>
          <w:szCs w:val="17"/>
          <w:color w:val="000000"/>
        </w:rPr>
        <w:t>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 AFG did not have any material nonrecurring fair value measurements in the first nine months of 2024.</w:t>
      </w:r>
    </w:p>
    <w:p>
      <w:pPr>
        <w:spacing w:after="0" w:line="215"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color w:val="003366"/>
        </w:rPr>
        <w:t xml:space="preserve">Investments </w:t>
      </w:r>
      <w:r>
        <w:rPr>
          <w:rFonts w:ascii="Arial" w:cs="Arial" w:eastAsia="Arial" w:hAnsi="Arial"/>
          <w:sz w:val="17"/>
          <w:szCs w:val="17"/>
          <w:color w:val="000000"/>
        </w:rPr>
        <w:t>Equity securities other than those accounted for under the equity method are reported at fair value with holding gains and losses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generally recorded in realized gains (losses) on securities. However, AFG records holding gains and losses on limited partnerships and similar investments that do not qualify for equity method accounting (and are therefore carried at fair value), and certain other securities classified at purchase as “fair value through net investment income” in net investment income.</w:t>
      </w:r>
    </w:p>
    <w:p>
      <w:pPr>
        <w:spacing w:after="0" w:line="216"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Fixed maturity securities classified as “available for sale” are reported at fair value with unrealized gains and losses included in 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20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Realized gains or losses on the disposal of fixed maturity securities are determined on the specific identification basis. Premiums and discounts on fixed maturity securities are amortized using the effective interest method. Structured securities subject to prepayment risk are amortized over a period based on estimated future principal payments, including prepayments. Prepayment assumptions are reviewed periodically and adjusted to reflect actual prepayments and changes in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 of the investee’s financial statements. AFG’s equity in the earnings (losses) of limited partnerships and similar investments is included in net investment income.</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003366"/>
        </w:rPr>
        <w:t xml:space="preserve">Credit Losses on Fixed Maturity Investments </w:t>
      </w:r>
      <w:r>
        <w:rPr>
          <w:rFonts w:ascii="Arial" w:cs="Arial" w:eastAsia="Arial" w:hAnsi="Arial"/>
          <w:sz w:val="17"/>
          <w:szCs w:val="17"/>
          <w:color w:val="000000"/>
        </w:rPr>
        <w:t>When a decline in the value of an available for sale fixed maturity is considered to be</w:t>
      </w:r>
      <w:r>
        <w:rPr>
          <w:rFonts w:ascii="Arial" w:cs="Arial" w:eastAsia="Arial" w:hAnsi="Arial"/>
          <w:sz w:val="20"/>
          <w:szCs w:val="20"/>
          <w:b w:val="1"/>
          <w:bCs w:val="1"/>
          <w:color w:val="003366"/>
        </w:rPr>
        <w:t xml:space="preserve"> </w:t>
      </w:r>
      <w:r>
        <w:rPr>
          <w:rFonts w:ascii="Arial" w:cs="Arial" w:eastAsia="Arial" w:hAnsi="Arial"/>
          <w:sz w:val="17"/>
          <w:szCs w:val="17"/>
          <w:color w:val="000000"/>
        </w:rPr>
        <w:t>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(net of allowance),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(net of allowance) of that security to fair value.</w:t>
      </w:r>
    </w:p>
    <w:p>
      <w:pPr>
        <w:spacing w:after="0" w:line="208"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b w:val="1"/>
          <w:bCs w:val="1"/>
          <w:color w:val="003366"/>
        </w:rPr>
        <w:t xml:space="preserve">Credit Losses on Financial Instruments Measured at Amortized Cost </w:t>
      </w:r>
      <w:r>
        <w:rPr>
          <w:rFonts w:ascii="Arial" w:cs="Arial" w:eastAsia="Arial" w:hAnsi="Arial"/>
          <w:sz w:val="17"/>
          <w:szCs w:val="17"/>
          <w:color w:val="000000"/>
        </w:rPr>
        <w:t>Credit-related impairments for financial instruments</w:t>
      </w:r>
      <w:r>
        <w:rPr>
          <w:rFonts w:ascii="Arial" w:cs="Arial" w:eastAsia="Arial" w:hAnsi="Arial"/>
          <w:sz w:val="20"/>
          <w:szCs w:val="20"/>
          <w:b w:val="1"/>
          <w:bCs w:val="1"/>
          <w:color w:val="003366"/>
        </w:rPr>
        <w:t xml:space="preserve"> </w:t>
      </w:r>
      <w:r>
        <w:rPr>
          <w:rFonts w:ascii="Arial" w:cs="Arial" w:eastAsia="Arial" w:hAnsi="Arial"/>
          <w:sz w:val="17"/>
          <w:szCs w:val="17"/>
          <w:color w:val="000000"/>
        </w:rPr>
        <w:t>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213"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Derivatives </w:t>
      </w:r>
      <w:r>
        <w:rPr>
          <w:rFonts w:ascii="Arial" w:cs="Arial" w:eastAsia="Arial" w:hAnsi="Arial"/>
          <w:sz w:val="17"/>
          <w:szCs w:val="17"/>
          <w:color w:val="000000"/>
        </w:rPr>
        <w:t>Derivatives included in AFG’s Balance Sheet are recorded at fair value. Changes in fair value of derivatives are included in earnings</w:t>
      </w:r>
      <w:r>
        <w:rPr>
          <w:rFonts w:ascii="Arial" w:cs="Arial" w:eastAsia="Arial" w:hAnsi="Arial"/>
          <w:sz w:val="20"/>
          <w:szCs w:val="20"/>
          <w:b w:val="1"/>
          <w:bCs w:val="1"/>
          <w:color w:val="003366"/>
        </w:rPr>
        <w:t xml:space="preserve"> </w:t>
      </w:r>
      <w:r>
        <w:rPr>
          <w:rFonts w:ascii="Arial" w:cs="Arial" w:eastAsia="Arial" w:hAnsi="Arial"/>
          <w:sz w:val="17"/>
          <w:szCs w:val="17"/>
          <w:color w:val="000000"/>
        </w:rPr>
        <w:t>unless the derivatives are designated and qualify as highly effective cash flow hedges. AFG’s derivatives that do not qualify for hedge accounting under GAAP consist primarily of components of certain fixed maturity securities (convertible fixed maturities and interest-only and principal-only mortgage-backed securities) and a total return swap related to its deferred compensation obligations to employees.</w:t>
      </w:r>
    </w:p>
    <w:p>
      <w:pPr>
        <w:spacing w:after="0" w:line="216"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Goodwill </w:t>
      </w:r>
      <w:r>
        <w:rPr>
          <w:rFonts w:ascii="Arial" w:cs="Arial" w:eastAsia="Arial" w:hAnsi="Arial"/>
          <w:sz w:val="17"/>
          <w:szCs w:val="17"/>
          <w:color w:val="000000"/>
        </w:rPr>
        <w:t>Goodwill represents the excess of cost of subsidiaries over AFG’s equity in their underlying net assets at the date of acquisition.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Goodwill is not amortized, but is subject to an 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228"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003366"/>
        </w:rPr>
        <w:t xml:space="preserve">Reinsurance </w:t>
      </w:r>
      <w:r>
        <w:rPr>
          <w:rFonts w:ascii="Arial" w:cs="Arial" w:eastAsia="Arial" w:hAnsi="Arial"/>
          <w:sz w:val="17"/>
          <w:szCs w:val="17"/>
          <w:color w:val="000000"/>
        </w:rPr>
        <w:t>Amounts recoverable from reinsurers are estimated in a manner consistent with the claim liability associated with the reinsured</w:t>
      </w:r>
      <w:r>
        <w:rPr>
          <w:rFonts w:ascii="Arial" w:cs="Arial" w:eastAsia="Arial" w:hAnsi="Arial"/>
          <w:sz w:val="20"/>
          <w:szCs w:val="20"/>
          <w:b w:val="1"/>
          <w:bCs w:val="1"/>
          <w:color w:val="003366"/>
        </w:rPr>
        <w:t xml:space="preserve"> </w:t>
      </w:r>
      <w:r>
        <w:rPr>
          <w:rFonts w:ascii="Arial" w:cs="Arial" w:eastAsia="Arial" w:hAnsi="Arial"/>
          <w:sz w:val="17"/>
          <w:szCs w:val="17"/>
          <w:color w:val="000000"/>
        </w:rPr>
        <w:t>policies. AFG reports as assets (i) the estimated reinsurance recoverable on paid and unpaid losses, including an estimate for losses incurred but not reported, and (ii) amounts paid or due to reinsurers 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color w:val="003366"/>
        </w:rPr>
        <w:t xml:space="preserve">Deferred Policy Acquisition Costs (“DPAC”) </w:t>
      </w:r>
      <w:r>
        <w:rPr>
          <w:rFonts w:ascii="Arial" w:cs="Arial" w:eastAsia="Arial" w:hAnsi="Arial"/>
          <w:sz w:val="17"/>
          <w:szCs w:val="17"/>
          <w:color w:val="000000"/>
        </w:rPr>
        <w:t>Policy acquisition costs (principally commissions, premium taxes and certain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and policy issuance costs) directly related to the successful acquisition or renewal of an insurance contract are deferred. DPAC is limited based upon recoverability without any consideration for anticipated 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211"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003366"/>
        </w:rPr>
        <w:t xml:space="preserve">Managed Investment Entities </w:t>
      </w:r>
      <w:r>
        <w:rPr>
          <w:rFonts w:ascii="Arial" w:cs="Arial" w:eastAsia="Arial" w:hAnsi="Arial"/>
          <w:sz w:val="17"/>
          <w:szCs w:val="17"/>
          <w:color w:val="000000"/>
        </w:rPr>
        <w:t>A company is considered the primary beneficiary of, and therefore must consolidate, a variable interest entity</w:t>
      </w:r>
      <w:r>
        <w:rPr>
          <w:rFonts w:ascii="Arial" w:cs="Arial" w:eastAsia="Arial" w:hAnsi="Arial"/>
          <w:sz w:val="20"/>
          <w:szCs w:val="20"/>
          <w:b w:val="1"/>
          <w:bCs w:val="1"/>
          <w:color w:val="003366"/>
        </w:rPr>
        <w:t xml:space="preserve"> </w:t>
      </w:r>
      <w:r>
        <w:rPr>
          <w:rFonts w:ascii="Arial" w:cs="Arial" w:eastAsia="Arial" w:hAnsi="Arial"/>
          <w:sz w:val="17"/>
          <w:szCs w:val="17"/>
          <w:color w:val="000000"/>
        </w:rPr>
        <w:t>(“VIE”) based primarily on its ability to direct the activities of the VIE that most significantly impact that entity’s economic performance and the obligation to absorb losses of, or receive benefits from, the entity that could potentially be significant to the VIE.</w:t>
      </w:r>
    </w:p>
    <w:p>
      <w:pPr>
        <w:spacing w:after="0" w:line="212"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 xml:space="preserve">AFG manages, and has investments in, collateralized loan obligations (“CLOs”) that are VIEs (see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20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200"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200" w:lineRule="exact"/>
        <w:rPr>
          <w:sz w:val="20"/>
          <w:szCs w:val="20"/>
          <w:color w:val="auto"/>
        </w:rPr>
      </w:pPr>
    </w:p>
    <w:p>
      <w:pPr>
        <w:jc w:val="both"/>
        <w:ind w:right="780"/>
        <w:spacing w:after="0" w:line="266" w:lineRule="auto"/>
        <w:rPr>
          <w:sz w:val="20"/>
          <w:szCs w:val="20"/>
          <w:color w:val="auto"/>
        </w:rPr>
      </w:pPr>
      <w:r>
        <w:rPr>
          <w:rFonts w:ascii="Arial" w:cs="Arial" w:eastAsia="Arial" w:hAnsi="Arial"/>
          <w:sz w:val="17"/>
          <w:szCs w:val="17"/>
          <w:color w:val="auto"/>
        </w:rPr>
        <w:t>At September 30, 2024, assets and liabilities of managed investment entities included $35 million in assets and $25 million in liabilities of a temporary warehousing entity that was established to provide AFG the ability to form a new CLO. At closing, all warehoused assets will be transferred to the new CLO and the liabilities will be repaid.</w:t>
      </w:r>
    </w:p>
    <w:p>
      <w:pPr>
        <w:spacing w:after="0" w:line="213"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003366"/>
        </w:rPr>
        <w:t xml:space="preserve">Unpaid Losses and Loss Adjustment Expenses </w:t>
      </w:r>
      <w:r>
        <w:rPr>
          <w:rFonts w:ascii="Arial" w:cs="Arial" w:eastAsia="Arial" w:hAnsi="Arial"/>
          <w:sz w:val="17"/>
          <w:szCs w:val="17"/>
          <w:color w:val="000000"/>
        </w:rPr>
        <w:t>The liabilities stated for unpaid claims and for expenses of investigation and adjustment</w:t>
      </w:r>
      <w:r>
        <w:rPr>
          <w:rFonts w:ascii="Arial" w:cs="Arial" w:eastAsia="Arial" w:hAnsi="Arial"/>
          <w:sz w:val="20"/>
          <w:szCs w:val="20"/>
          <w:b w:val="1"/>
          <w:bCs w:val="1"/>
          <w:color w:val="003366"/>
        </w:rPr>
        <w:t xml:space="preserve"> </w:t>
      </w:r>
      <w:r>
        <w:rPr>
          <w:rFonts w:ascii="Arial" w:cs="Arial" w:eastAsia="Arial" w:hAnsi="Arial"/>
          <w:sz w:val="17"/>
          <w:szCs w:val="17"/>
          <w:color w:val="000000"/>
        </w:rPr>
        <w:t>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w:t>
      </w:r>
    </w:p>
    <w:p>
      <w:pPr>
        <w:spacing w:after="0" w:line="2" w:lineRule="exact"/>
        <w:rPr>
          <w:sz w:val="20"/>
          <w:szCs w:val="20"/>
          <w:color w:val="auto"/>
        </w:rPr>
      </w:pPr>
    </w:p>
    <w:p>
      <w:pPr>
        <w:ind w:right="20" w:firstLine="8"/>
        <w:spacing w:after="0" w:line="256" w:lineRule="auto"/>
        <w:tabs>
          <w:tab w:leader="none" w:pos="275"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210"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193" w:lineRule="exact"/>
        <w:rPr>
          <w:sz w:val="20"/>
          <w:szCs w:val="20"/>
          <w:color w:val="auto"/>
        </w:rPr>
      </w:pPr>
    </w:p>
    <w:p>
      <w:pPr>
        <w:jc w:val="both"/>
        <w:ind w:right="320"/>
        <w:spacing w:after="0" w:line="249" w:lineRule="auto"/>
        <w:rPr>
          <w:sz w:val="20"/>
          <w:szCs w:val="20"/>
          <w:color w:val="auto"/>
        </w:rPr>
      </w:pPr>
      <w:r>
        <w:rPr>
          <w:rFonts w:ascii="Arial" w:cs="Arial" w:eastAsia="Arial" w:hAnsi="Arial"/>
          <w:sz w:val="20"/>
          <w:szCs w:val="20"/>
          <w:b w:val="1"/>
          <w:bCs w:val="1"/>
          <w:color w:val="003366"/>
        </w:rPr>
        <w:t xml:space="preserve">Debt Issuance Costs </w:t>
      </w:r>
      <w:r>
        <w:rPr>
          <w:rFonts w:ascii="Arial" w:cs="Arial" w:eastAsia="Arial" w:hAnsi="Arial"/>
          <w:sz w:val="17"/>
          <w:szCs w:val="17"/>
          <w:color w:val="000000"/>
        </w:rPr>
        <w:t>Debt issuance costs related to AFG’s outstanding debt are presented in its Balance Sheet as a direct reduction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carrying value of long-term debt and are amortized over the life of the related debt using the effective interest method as a component of interest expense. Debt issuance costs related to AFG’s revolving credit facilities are included in other assets in AFG’s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color w:val="003366"/>
        </w:rPr>
        <w:t xml:space="preserve">Leases </w:t>
      </w:r>
      <w:r>
        <w:rPr>
          <w:rFonts w:ascii="Arial" w:cs="Arial" w:eastAsia="Arial" w:hAnsi="Arial"/>
          <w:sz w:val="17"/>
          <w:szCs w:val="17"/>
          <w:color w:val="000000"/>
        </w:rPr>
        <w:t>Leases for terms of longer than one year are recognized as assets and liabilities for the rights and obligations created by those leases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the balance sheet based on the present value of contractual cash flows.</w:t>
      </w:r>
    </w:p>
    <w:p>
      <w:pPr>
        <w:spacing w:after="0" w:line="213"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At September 30, 2024 AFG has a $235 million lease liability included in other liabilities and a lease right-of-use asset of $214 million included in other assets compared to $198 million and $176 million, respectively, at December 31, 2023.</w:t>
      </w:r>
    </w:p>
    <w:p>
      <w:pPr>
        <w:spacing w:after="0" w:line="184"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3366"/>
        </w:rPr>
        <w:t xml:space="preserve">Premium Recognition </w:t>
      </w:r>
      <w:r>
        <w:rPr>
          <w:rFonts w:ascii="Arial" w:cs="Arial" w:eastAsia="Arial" w:hAnsi="Arial"/>
          <w:sz w:val="17"/>
          <w:szCs w:val="17"/>
          <w:color w:val="000000"/>
        </w:rPr>
        <w:t>Property and casualty premiums are earned generally over the terms of the policies on a pro rata basis. Unearned</w:t>
      </w:r>
      <w:r>
        <w:rPr>
          <w:rFonts w:ascii="Arial" w:cs="Arial" w:eastAsia="Arial" w:hAnsi="Arial"/>
          <w:sz w:val="20"/>
          <w:szCs w:val="20"/>
          <w:b w:val="1"/>
          <w:bCs w:val="1"/>
          <w:color w:val="003366"/>
        </w:rPr>
        <w:t xml:space="preserve"> </w:t>
      </w:r>
      <w:r>
        <w:rPr>
          <w:rFonts w:ascii="Arial" w:cs="Arial" w:eastAsia="Arial" w:hAnsi="Arial"/>
          <w:sz w:val="17"/>
          <w:szCs w:val="17"/>
          <w:color w:val="000000"/>
        </w:rPr>
        <w:t>premiums represent that portion of premiums 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Income Taxes </w:t>
      </w:r>
      <w:r>
        <w:rPr>
          <w:rFonts w:ascii="Arial" w:cs="Arial" w:eastAsia="Arial" w:hAnsi="Arial"/>
          <w:sz w:val="17"/>
          <w:szCs w:val="17"/>
          <w:color w:val="000000"/>
        </w:rPr>
        <w:t>Deferred income taxes are calculated using the liability method. Under this method, deferred income tax assets and liabilities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216"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70"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b w:val="1"/>
          <w:bCs w:val="1"/>
          <w:color w:val="003366"/>
        </w:rPr>
        <w:t xml:space="preserve">Stock-Based Compensation </w:t>
      </w:r>
      <w:r>
        <w:rPr>
          <w:rFonts w:ascii="Arial" w:cs="Arial" w:eastAsia="Arial" w:hAnsi="Arial"/>
          <w:sz w:val="17"/>
          <w:szCs w:val="17"/>
          <w:color w:val="000000"/>
        </w:rPr>
        <w:t>All share-based grants are recognized as compensation expense on a straight-line basis over their vesting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periods based on their calculated fair value at the date of grant.</w:t>
      </w:r>
    </w:p>
    <w:p>
      <w:pPr>
        <w:spacing w:after="0" w:line="236"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AFG records excess tax benefits or deficiencies for share-based payments through income tax expense in the statement of earnings. In addition, AFG accounts for forfeitures of awards when they occur.</w:t>
      </w:r>
    </w:p>
    <w:p>
      <w:pPr>
        <w:spacing w:after="0" w:line="184" w:lineRule="exact"/>
        <w:rPr>
          <w:sz w:val="20"/>
          <w:szCs w:val="20"/>
          <w:color w:val="auto"/>
        </w:rPr>
      </w:pPr>
    </w:p>
    <w:p>
      <w:pPr>
        <w:jc w:val="both"/>
        <w:ind w:right="400"/>
        <w:spacing w:after="0" w:line="248" w:lineRule="auto"/>
        <w:rPr>
          <w:sz w:val="20"/>
          <w:szCs w:val="20"/>
          <w:color w:val="auto"/>
        </w:rPr>
      </w:pPr>
      <w:r>
        <w:rPr>
          <w:rFonts w:ascii="Arial" w:cs="Arial" w:eastAsia="Arial" w:hAnsi="Arial"/>
          <w:sz w:val="20"/>
          <w:szCs w:val="20"/>
          <w:b w:val="1"/>
          <w:bCs w:val="1"/>
          <w:color w:val="003366"/>
        </w:rPr>
        <w:t xml:space="preserve">Benefit Plans </w:t>
      </w:r>
      <w:r>
        <w:rPr>
          <w:rFonts w:ascii="Arial" w:cs="Arial" w:eastAsia="Arial" w:hAnsi="Arial"/>
          <w:sz w:val="17"/>
          <w:szCs w:val="17"/>
          <w:color w:val="000000"/>
        </w:rPr>
        <w:t>AFG provides retirement benefits to qualified employees of participating companies through the AFG 401(k) Retirement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003366"/>
        </w:rPr>
        <w:t xml:space="preserve">Earnings Per Share </w:t>
      </w:r>
      <w:r>
        <w:rPr>
          <w:rFonts w:ascii="Arial" w:cs="Arial" w:eastAsia="Arial" w:hAnsi="Arial"/>
          <w:sz w:val="17"/>
          <w:szCs w:val="17"/>
          <w:color w:val="000000"/>
        </w:rPr>
        <w:t>Although basic earnings per share only considers shares of common stock outstanding during the period, the calculation of</w:t>
      </w:r>
      <w:r>
        <w:rPr>
          <w:rFonts w:ascii="Arial" w:cs="Arial" w:eastAsia="Arial" w:hAnsi="Arial"/>
          <w:sz w:val="20"/>
          <w:szCs w:val="20"/>
          <w:b w:val="1"/>
          <w:bCs w:val="1"/>
          <w:color w:val="003366"/>
        </w:rPr>
        <w:t xml:space="preserve"> </w:t>
      </w:r>
      <w:r>
        <w:rPr>
          <w:rFonts w:ascii="Arial" w:cs="Arial" w:eastAsia="Arial" w:hAnsi="Arial"/>
          <w:sz w:val="17"/>
          <w:szCs w:val="17"/>
          <w:color w:val="000000"/>
        </w:rPr>
        <w:t>diluted earnings per share includes the following adjustments to weighted average common shares related to stock-based compensation plans: third quarter of 2024 and 2023 — none and 0.1 million; first nine months of both 2024 and 2023 — 0.1 million.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anti-dilutive potential common shares for the third quarter or the first nine months of 2024 or 2023.</w:t>
      </w:r>
    </w:p>
    <w:p>
      <w:pPr>
        <w:spacing w:after="0" w:line="249"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Statement of Cash Flows </w:t>
      </w:r>
      <w:r>
        <w:rPr>
          <w:rFonts w:ascii="Arial" w:cs="Arial" w:eastAsia="Arial" w:hAnsi="Arial"/>
          <w:sz w:val="17"/>
          <w:szCs w:val="17"/>
          <w:color w:val="000000"/>
        </w:rPr>
        <w:t>For cash flow purposes, “investing activities” are defined as making and collecting loans and acquiring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4" w:lineRule="exact"/>
        <w:rPr>
          <w:sz w:val="20"/>
          <w:szCs w:val="20"/>
          <w:color w:val="auto"/>
        </w:rPr>
      </w:pPr>
    </w:p>
    <w:p>
      <w:pPr>
        <w:ind w:left="600" w:hanging="592"/>
        <w:spacing w:after="0"/>
        <w:tabs>
          <w:tab w:leader="none" w:pos="600" w:val="left"/>
        </w:tabs>
        <w:numPr>
          <w:ilvl w:val="0"/>
          <w:numId w:val="6"/>
        </w:numPr>
        <w:rPr>
          <w:rFonts w:ascii="Arial" w:cs="Arial" w:eastAsia="Arial" w:hAnsi="Arial"/>
          <w:sz w:val="29"/>
          <w:szCs w:val="29"/>
          <w:b w:val="1"/>
          <w:bCs w:val="1"/>
          <w:color w:val="003366"/>
        </w:rPr>
      </w:pPr>
      <w:r>
        <w:rPr>
          <w:rFonts w:ascii="Arial" w:cs="Arial" w:eastAsia="Arial" w:hAnsi="Arial"/>
          <w:sz w:val="29"/>
          <w:szCs w:val="29"/>
          <w:b w:val="1"/>
          <w:bCs w:val="1"/>
          <w:color w:val="003366"/>
        </w:rPr>
        <w:t>Acquisition of Business</w:t>
      </w:r>
    </w:p>
    <w:p>
      <w:pPr>
        <w:spacing w:after="0" w:line="271"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Crop Risk Services </w:t>
      </w:r>
      <w:r>
        <w:rPr>
          <w:rFonts w:ascii="Arial" w:cs="Arial" w:eastAsia="Arial" w:hAnsi="Arial"/>
          <w:sz w:val="17"/>
          <w:szCs w:val="17"/>
          <w:color w:val="000000"/>
        </w:rPr>
        <w:t>On July 3, 2023, AFG completed the acquisition of Crop Risk Services (“CRS”) from American International Group (“AIG”).</w:t>
      </w:r>
      <w:r>
        <w:rPr>
          <w:rFonts w:ascii="Arial" w:cs="Arial" w:eastAsia="Arial" w:hAnsi="Arial"/>
          <w:sz w:val="20"/>
          <w:szCs w:val="20"/>
          <w:b w:val="1"/>
          <w:bCs w:val="1"/>
          <w:color w:val="003366"/>
        </w:rPr>
        <w:t xml:space="preserve"> </w:t>
      </w:r>
      <w:r>
        <w:rPr>
          <w:rFonts w:ascii="Arial" w:cs="Arial" w:eastAsia="Arial" w:hAnsi="Arial"/>
          <w:sz w:val="17"/>
          <w:szCs w:val="17"/>
          <w:color w:val="000000"/>
        </w:rPr>
        <w:t>CRS is a primary crop insurance general agent based in Decatur, Illinois, that generated crop year 2022 gross written premiums of approximately $1.2 billion and was the seventh largest provider of multi-peril crop insurance in the United States based on 2022 premiums. At closing, AFG paid AIG $234 million (based on $24 million in net tangible assets) using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Expenses related to the acquisition were $3 million and were expensed as incurred. The purchase price was allocated to the acquired assets and liabilities of CRS based on management’s best estimate of fair value as of the acquisition date. The purchase price allocation is shown below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July 3, 2023</w:t>
            </w:r>
          </w:p>
        </w:tc>
      </w:tr>
      <w:tr>
        <w:trPr>
          <w:trHeight w:val="21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at purchase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6"/>
        </w:trPr>
        <w:tc>
          <w:tcPr>
            <w:tcW w:w="9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assets acquired: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9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Agents’ balances and premiums receivable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5"/>
        </w:trPr>
        <w:tc>
          <w:tcPr>
            <w:tcW w:w="9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tangible assets acquired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6"/>
        </w:trPr>
        <w:tc>
          <w:tcPr>
            <w:tcW w:w="9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acquired: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10"/>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liabilities acquired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tangible assets acquired, at fair value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Excess purchase price over net tangible assets acquired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Allocation of excess purchase price: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Pr>
          <w:p>
            <w:pPr>
              <w:ind w:left="240"/>
              <w:spacing w:after="0"/>
              <w:rPr>
                <w:sz w:val="20"/>
                <w:szCs w:val="20"/>
                <w:color w:val="auto"/>
              </w:rPr>
            </w:pPr>
            <w:r>
              <w:rPr>
                <w:rFonts w:ascii="Arial" w:cs="Arial" w:eastAsia="Arial" w:hAnsi="Arial"/>
                <w:sz w:val="16"/>
                <w:szCs w:val="16"/>
                <w:color w:val="auto"/>
              </w:rPr>
              <w:t>Intangible assets acquired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asset (*)</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5"/>
        </w:trPr>
        <w:tc>
          <w:tcPr>
            <w:tcW w:w="9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Included in Other assets in AFG’s Balance Sheet.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 the purchase price allocation, $124 million of the purchase price was recognized as finite lived intangible assets primarily related to existing</w:t>
      </w:r>
    </w:p>
    <w:p>
      <w:pPr>
        <w:spacing w:after="0" w:line="10"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agency relationships, which will be amortized over an average estimated life of approximately 14 years. The acquisition resulted in the recognition of $85 million in GAAP basis goodwill based on the excess of the purchase price over the fair value of the net assets acquired. The acquisition resulted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$79 million of tax basis goodwill which is deductible for tax purposes.</w:t>
      </w:r>
    </w:p>
    <w:p>
      <w:pPr>
        <w:spacing w:after="0" w:line="209"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9"/>
          <w:szCs w:val="29"/>
          <w:b w:val="1"/>
          <w:bCs w:val="1"/>
          <w:color w:val="003366"/>
        </w:rPr>
      </w:pPr>
      <w:r>
        <w:rPr>
          <w:rFonts w:ascii="Arial" w:cs="Arial" w:eastAsia="Arial" w:hAnsi="Arial"/>
          <w:sz w:val="29"/>
          <w:szCs w:val="29"/>
          <w:b w:val="1"/>
          <w:bCs w:val="1"/>
          <w:color w:val="003366"/>
        </w:rPr>
        <w:t>Segments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AFG manages its business as two segments: Property and casualty insurance and Other, which includes holding company costs.</w:t>
      </w:r>
    </w:p>
    <w:p>
      <w:pPr>
        <w:spacing w:after="0" w:line="250"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Premiums and underwriting profit included under Other specialty represent business assumed by AFG’s internal reinsurance program from the operations that make up AFG’s other Specialty sub-segments and amortization of a deferred gain on a retroactive reinsurance transaction related to the sale of a business. AFG’s reportable segments and their components were determined based primarily upon similar economic characteristics,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(in millions) show AFG’s revenues and earnings before income taxes by segment and sub-segment.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220" w:type="dxa"/>
            <w:vAlign w:val="bottom"/>
            <w:gridSpan w:val="6"/>
          </w:tcPr>
          <w:p>
            <w:pPr>
              <w:ind w:left="340"/>
              <w:spacing w:after="0"/>
              <w:rPr>
                <w:sz w:val="20"/>
                <w:szCs w:val="20"/>
                <w:color w:val="auto"/>
              </w:rPr>
            </w:pPr>
            <w:r>
              <w:rPr>
                <w:rFonts w:ascii="Arial" w:cs="Arial" w:eastAsia="Arial" w:hAnsi="Arial"/>
                <w:sz w:val="15"/>
                <w:szCs w:val="15"/>
                <w:color w:val="auto"/>
              </w:rPr>
              <w:t>Three months ended September 30,</w:t>
            </w:r>
          </w:p>
        </w:tc>
        <w:tc>
          <w:tcPr>
            <w:tcW w:w="260" w:type="dxa"/>
            <w:vAlign w:val="bottom"/>
          </w:tcPr>
          <w:p>
            <w:pPr>
              <w:spacing w:after="0"/>
              <w:rPr>
                <w:sz w:val="17"/>
                <w:szCs w:val="17"/>
                <w:color w:val="auto"/>
              </w:rPr>
            </w:pPr>
          </w:p>
        </w:tc>
        <w:tc>
          <w:tcPr>
            <w:tcW w:w="2900" w:type="dxa"/>
            <w:vAlign w:val="bottom"/>
            <w:gridSpan w:val="4"/>
          </w:tcPr>
          <w:p>
            <w:pPr>
              <w:jc w:val="right"/>
              <w:ind w:right="31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8"/>
        </w:trPr>
        <w:tc>
          <w:tcPr>
            <w:tcW w:w="48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Premiums earned:</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680"/>
              <w:spacing w:after="0"/>
              <w:rPr>
                <w:sz w:val="20"/>
                <w:szCs w:val="20"/>
                <w:color w:val="auto"/>
              </w:rPr>
            </w:pPr>
            <w:r>
              <w:rPr>
                <w:rFonts w:ascii="Arial" w:cs="Arial" w:eastAsia="Arial" w:hAnsi="Arial"/>
                <w:sz w:val="16"/>
                <w:szCs w:val="16"/>
                <w:color w:val="auto"/>
              </w:rPr>
              <w:t>Specialty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Property and transportation</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215"/>
        </w:trPr>
        <w:tc>
          <w:tcPr>
            <w:tcW w:w="4860" w:type="dxa"/>
            <w:vAlign w:val="bottom"/>
          </w:tcPr>
          <w:p>
            <w:pPr>
              <w:ind w:left="1120"/>
              <w:spacing w:after="0"/>
              <w:rPr>
                <w:sz w:val="20"/>
                <w:szCs w:val="20"/>
                <w:color w:val="auto"/>
              </w:rPr>
            </w:pPr>
            <w:r>
              <w:rPr>
                <w:rFonts w:ascii="Arial" w:cs="Arial" w:eastAsia="Arial" w:hAnsi="Arial"/>
                <w:sz w:val="16"/>
                <w:szCs w:val="16"/>
                <w:color w:val="auto"/>
              </w:rPr>
              <w:t>Specialty casualty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2,149</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financial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 specialty</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premiums earned</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4,799</w:t>
            </w:r>
          </w:p>
        </w:tc>
        <w:tc>
          <w:tcPr>
            <w:tcW w:w="0" w:type="dxa"/>
            <w:vAlign w:val="bottom"/>
          </w:tcPr>
          <w:p>
            <w:pPr>
              <w:spacing w:after="0"/>
              <w:rPr>
                <w:sz w:val="1"/>
                <w:szCs w:val="1"/>
                <w:color w:val="auto"/>
              </w:rPr>
            </w:pPr>
          </w:p>
        </w:tc>
      </w:tr>
      <w:tr>
        <w:trPr>
          <w:trHeight w:val="215"/>
        </w:trPr>
        <w:tc>
          <w:tcPr>
            <w:tcW w:w="4860" w:type="dxa"/>
            <w:vAlign w:val="bottom"/>
          </w:tcPr>
          <w:p>
            <w:pPr>
              <w:ind w:left="360"/>
              <w:spacing w:after="0"/>
              <w:rPr>
                <w:sz w:val="20"/>
                <w:szCs w:val="20"/>
                <w:color w:val="auto"/>
              </w:rPr>
            </w:pPr>
            <w:r>
              <w:rPr>
                <w:rFonts w:ascii="Arial" w:cs="Arial" w:eastAsia="Arial" w:hAnsi="Arial"/>
                <w:sz w:val="16"/>
                <w:szCs w:val="16"/>
                <w:color w:val="auto"/>
              </w:rPr>
              <w:t>Net investment income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4860" w:type="dxa"/>
            <w:vAlign w:val="bottom"/>
          </w:tcPr>
          <w:p>
            <w:pPr>
              <w:ind w:left="68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5,380</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9"/>
        </w:trPr>
        <w:tc>
          <w:tcPr>
            <w:tcW w:w="4860" w:type="dxa"/>
            <w:vAlign w:val="bottom"/>
          </w:tcPr>
          <w:p>
            <w:pPr>
              <w:ind w:left="680"/>
              <w:spacing w:after="0"/>
              <w:rPr>
                <w:sz w:val="20"/>
                <w:szCs w:val="20"/>
                <w:color w:val="auto"/>
              </w:rPr>
            </w:pPr>
            <w:r>
              <w:rPr>
                <w:rFonts w:ascii="Arial" w:cs="Arial" w:eastAsia="Arial" w:hAnsi="Arial"/>
                <w:sz w:val="16"/>
                <w:szCs w:val="16"/>
                <w:color w:val="auto"/>
              </w:rPr>
              <w:t>Total revenues before realized gains (losses)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5,815</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Realized loss on subsidiary</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48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98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Underwriting:</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680"/>
              <w:spacing w:after="0"/>
              <w:rPr>
                <w:sz w:val="20"/>
                <w:szCs w:val="20"/>
                <w:color w:val="auto"/>
              </w:rPr>
            </w:pPr>
            <w:r>
              <w:rPr>
                <w:rFonts w:ascii="Arial" w:cs="Arial" w:eastAsia="Arial" w:hAnsi="Arial"/>
                <w:sz w:val="16"/>
                <w:szCs w:val="16"/>
                <w:color w:val="auto"/>
              </w:rPr>
              <w:t>Specialty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Property and transportation</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5"/>
        </w:trPr>
        <w:tc>
          <w:tcPr>
            <w:tcW w:w="4860" w:type="dxa"/>
            <w:vAlign w:val="bottom"/>
          </w:tcPr>
          <w:p>
            <w:pPr>
              <w:ind w:left="1120"/>
              <w:spacing w:after="0"/>
              <w:rPr>
                <w:sz w:val="20"/>
                <w:szCs w:val="20"/>
                <w:color w:val="auto"/>
              </w:rPr>
            </w:pPr>
            <w:r>
              <w:rPr>
                <w:rFonts w:ascii="Arial" w:cs="Arial" w:eastAsia="Arial" w:hAnsi="Arial"/>
                <w:sz w:val="16"/>
                <w:szCs w:val="16"/>
                <w:color w:val="auto"/>
              </w:rPr>
              <w:t>Specialty casualty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financial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5"/>
        </w:trPr>
        <w:tc>
          <w:tcPr>
            <w:tcW w:w="4860" w:type="dxa"/>
            <w:vAlign w:val="bottom"/>
          </w:tcPr>
          <w:p>
            <w:pPr>
              <w:ind w:left="1120"/>
              <w:spacing w:after="0"/>
              <w:rPr>
                <w:sz w:val="20"/>
                <w:szCs w:val="20"/>
                <w:color w:val="auto"/>
              </w:rPr>
            </w:pPr>
            <w:r>
              <w:rPr>
                <w:rFonts w:ascii="Arial" w:cs="Arial" w:eastAsia="Arial" w:hAnsi="Arial"/>
                <w:sz w:val="16"/>
                <w:szCs w:val="16"/>
                <w:color w:val="auto"/>
              </w:rPr>
              <w:t>Other specialty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lines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4860" w:type="dxa"/>
            <w:vAlign w:val="bottom"/>
          </w:tcPr>
          <w:p>
            <w:pPr>
              <w:ind w:left="1220"/>
              <w:spacing w:after="0"/>
              <w:rPr>
                <w:sz w:val="20"/>
                <w:szCs w:val="20"/>
                <w:color w:val="auto"/>
              </w:rPr>
            </w:pPr>
            <w:r>
              <w:rPr>
                <w:rFonts w:ascii="Arial" w:cs="Arial" w:eastAsia="Arial" w:hAnsi="Arial"/>
                <w:sz w:val="16"/>
                <w:szCs w:val="16"/>
                <w:color w:val="auto"/>
              </w:rPr>
              <w:t>Total underwriting</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 net</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9"/>
        </w:trPr>
        <w:tc>
          <w:tcPr>
            <w:tcW w:w="4860" w:type="dxa"/>
            <w:vAlign w:val="bottom"/>
          </w:tcPr>
          <w:p>
            <w:pPr>
              <w:ind w:left="46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42"/>
        </w:trPr>
        <w:tc>
          <w:tcPr>
            <w:tcW w:w="4860" w:type="dxa"/>
            <w:vAlign w:val="bottom"/>
          </w:tcPr>
          <w:p>
            <w:pPr>
              <w:ind w:left="460"/>
              <w:spacing w:after="0" w:line="142" w:lineRule="exact"/>
              <w:rPr>
                <w:sz w:val="20"/>
                <w:szCs w:val="20"/>
                <w:color w:val="auto"/>
              </w:rPr>
            </w:pPr>
            <w:r>
              <w:rPr>
                <w:rFonts w:ascii="Arial" w:cs="Arial" w:eastAsia="Arial" w:hAnsi="Arial"/>
                <w:sz w:val="16"/>
                <w:szCs w:val="16"/>
                <w:color w:val="auto"/>
              </w:rPr>
              <w:t>Total earnings (loss) before realized gains (losses) and</w:t>
            </w:r>
          </w:p>
        </w:tc>
        <w:tc>
          <w:tcPr>
            <w:tcW w:w="9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15"/>
        </w:trPr>
        <w:tc>
          <w:tcPr>
            <w:tcW w:w="4860" w:type="dxa"/>
            <w:vAlign w:val="bottom"/>
          </w:tcPr>
          <w:p>
            <w:pPr>
              <w:ind w:left="620"/>
              <w:spacing w:after="0"/>
              <w:rPr>
                <w:sz w:val="20"/>
                <w:szCs w:val="20"/>
                <w:color w:val="auto"/>
              </w:rPr>
            </w:pPr>
            <w:r>
              <w:rPr>
                <w:rFonts w:ascii="Arial" w:cs="Arial" w:eastAsia="Arial" w:hAnsi="Arial"/>
                <w:sz w:val="16"/>
                <w:szCs w:val="16"/>
                <w:color w:val="auto"/>
              </w:rPr>
              <w:t>income taxes</w:t>
            </w:r>
          </w:p>
        </w:tc>
        <w:tc>
          <w:tcPr>
            <w:tcW w:w="9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Realized loss on subsidiary</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48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earnings before income taxes</w:t>
            </w:r>
          </w:p>
        </w:tc>
        <w:tc>
          <w:tcPr>
            <w:tcW w:w="98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20" w:right="120" w:hanging="412"/>
        <w:spacing w:after="0" w:line="266" w:lineRule="auto"/>
        <w:tabs>
          <w:tab w:leader="none" w:pos="411"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holding company interest and expenses, which includes a gain of $1 million on retirement of debt in the first nine months of 2023 and special charges of $14 million and $15 million in the third quarter of 2024 and 2023, respectively, to increase asbestos and environmental liabilities related to AFG’s former railroad and manufacturing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9"/>
          <w:szCs w:val="29"/>
          <w:b w:val="1"/>
          <w:bCs w:val="1"/>
          <w:color w:val="003366"/>
        </w:rPr>
      </w:pPr>
      <w:r>
        <w:rPr>
          <w:rFonts w:ascii="Arial" w:cs="Arial" w:eastAsia="Arial" w:hAnsi="Arial"/>
          <w:sz w:val="29"/>
          <w:szCs w:val="29"/>
          <w:b w:val="1"/>
          <w:bCs w:val="1"/>
          <w:color w:val="003366"/>
        </w:rPr>
        <w:t>Fair Value Measurements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for measuring fair value are based on inputs used in estimating fair value. The three levels of the hierarchy are as follows:</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consist primarily of fixed maturity securities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22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AFG’s management is responsible for the valuation process and uses data from outside sources (including nationally recognized pricing services and broker/dealers) in establishing fair value. AFG’s internal investment professionals are a group of approximately 20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1</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2</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3</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September 30, 2024</w:t>
            </w:r>
          </w:p>
        </w:tc>
        <w:tc>
          <w:tcPr>
            <w:tcW w:w="46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gridSpan w:val="3"/>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10,435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 of managed investment entities (“MIE”)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61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4,168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Available for sale fixed maturities: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Approximately 9% of the total assets carried at fair value at September 30, 2024, were Level 3 assets. Approximately 30% ($438 million) of the Level 3 assets were equity investments in limited partnerships and similar investments that do not qualify for equity method accounting whose prices were determined based on financial information provided by the limited partnerships. Approximately 7% ($112 million) of Level 3 assets were priced using non-binding broker quotes, for which there is a lack of transparency as to the inputs used to determine fair value. Details as to the quantitative inputs are neither provided by the brokers nor otherwise reasonably obtainable by AFG. Approximately 1% ($9 million) of the Level 3</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assets were priced by pricing services where either a single price was not corroborated, prices varied enough among the providers, or other market factors led management to determine these securities be classified as Level 3 assets.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62% ($912 million) of the total fair value of Level 3 assets at September 30, 2024. Approximately 70% ($642 million) of these internally developed Level 3 assets are priced using a pricing model that uses a discounted cash flow approach to estimate the fair value of fixed maturity securities. The credit spread applied by management is the significant unobservable input of the pricing model. In instances where the security is currently callable at par value and the pricing model suggests a higher price, management caps the fair value at par value. Approximately 19% ($177 million) of the internally developed Level 3 assets are equity securities which are priced primarily using internal models with some inputs that are not market observable. Management believes that any justifiable changes in unobservable inputs used to determine internally developed fair values would not have resulted in a material change in AFG’s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Changes in balances of Level 3 financial assets and liabilities carried at fair value during the third quarter and first nine months of 2024 and 2023 are presented below (in millions). The transfers into and out of Level 3 were due to changes in the availability of market observable inputs. All transfers are reflected in the table at fair value as of the end of the reporting period.</w:t>
      </w:r>
    </w:p>
    <w:p>
      <w:pPr>
        <w:spacing w:after="0" w:line="54"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0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20320</wp:posOffset>
            </wp:positionV>
            <wp:extent cx="12858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June</w:t>
            </w:r>
          </w:p>
        </w:tc>
        <w:tc>
          <w:tcPr>
            <w:tcW w:w="1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Net</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6"/>
              </w:rPr>
              <w:t>earnings</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2"/>
              </w:rPr>
              <w:t>and</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into</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out of</w:t>
            </w:r>
          </w:p>
        </w:tc>
        <w:tc>
          <w:tcPr>
            <w:tcW w:w="140" w:type="dxa"/>
            <w:vAlign w:val="bottom"/>
          </w:tcPr>
          <w:p>
            <w:pPr>
              <w:spacing w:after="0"/>
              <w:rPr>
                <w:sz w:val="10"/>
                <w:szCs w:val="10"/>
                <w:color w:val="auto"/>
              </w:rPr>
            </w:pPr>
          </w:p>
        </w:tc>
        <w:tc>
          <w:tcPr>
            <w:tcW w:w="1020" w:type="dxa"/>
            <w:vAlign w:val="bottom"/>
          </w:tcPr>
          <w:p>
            <w:pPr>
              <w:jc w:val="center"/>
              <w:ind w:right="70"/>
              <w:spacing w:after="0" w:line="122"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66"/>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09"/>
              <w:spacing w:after="0"/>
              <w:rPr>
                <w:sz w:val="20"/>
                <w:szCs w:val="20"/>
                <w:color w:val="auto"/>
              </w:rPr>
            </w:pPr>
            <w:r>
              <w:rPr>
                <w:rFonts w:ascii="Arial" w:cs="Arial" w:eastAsia="Arial" w:hAnsi="Arial"/>
                <w:sz w:val="13"/>
                <w:szCs w:val="13"/>
                <w:color w:val="auto"/>
                <w:w w:val="98"/>
              </w:rPr>
              <w:t>30, 2024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(loss)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settlements</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6"/>
              </w:rPr>
              <w:t>2024</w:t>
            </w:r>
          </w:p>
        </w:tc>
        <w:tc>
          <w:tcPr>
            <w:tcW w:w="0" w:type="dxa"/>
            <w:vAlign w:val="bottom"/>
          </w:tcPr>
          <w:p>
            <w:pPr>
              <w:spacing w:after="0"/>
              <w:rPr>
                <w:sz w:val="1"/>
                <w:szCs w:val="1"/>
                <w:color w:val="auto"/>
              </w:rPr>
            </w:pPr>
          </w:p>
        </w:tc>
      </w:tr>
      <w:tr>
        <w:trPr>
          <w:trHeight w:val="23"/>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0"/>
        </w:trPr>
        <w:tc>
          <w:tcPr>
            <w:tcW w:w="3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Trading fixed maturities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0"/>
        </w:trPr>
        <w:tc>
          <w:tcPr>
            <w:tcW w:w="3120" w:type="dxa"/>
            <w:vAlign w:val="bottom"/>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ind w:left="220"/>
              <w:spacing w:after="0"/>
              <w:rPr>
                <w:sz w:val="20"/>
                <w:szCs w:val="20"/>
                <w:color w:val="auto"/>
              </w:rPr>
            </w:pPr>
            <w:r>
              <w:rPr>
                <w:rFonts w:ascii="Arial" w:cs="Arial" w:eastAsia="Arial" w:hAnsi="Arial"/>
                <w:sz w:val="13"/>
                <w:szCs w:val="13"/>
                <w:color w:val="auto"/>
              </w:rPr>
              <w:t>Total realized/unrealized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3"/>
                <w:szCs w:val="13"/>
                <w:color w:val="auto"/>
              </w:rPr>
              <w:t>gains (losses) included 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June</w:t>
            </w:r>
          </w:p>
        </w:tc>
        <w:tc>
          <w:tcPr>
            <w:tcW w:w="1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Net</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6"/>
        </w:trPr>
        <w:tc>
          <w:tcPr>
            <w:tcW w:w="3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6" w:lineRule="exact"/>
              <w:rPr>
                <w:sz w:val="20"/>
                <w:szCs w:val="20"/>
                <w:color w:val="auto"/>
              </w:rPr>
            </w:pPr>
            <w:r>
              <w:rPr>
                <w:rFonts w:ascii="Arial" w:cs="Arial" w:eastAsia="Arial" w:hAnsi="Arial"/>
                <w:sz w:val="13"/>
                <w:szCs w:val="13"/>
                <w:color w:val="auto"/>
                <w:w w:val="96"/>
              </w:rPr>
              <w:t>earnings</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6"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6" w:lineRule="exact"/>
              <w:rPr>
                <w:sz w:val="20"/>
                <w:szCs w:val="20"/>
                <w:color w:val="auto"/>
              </w:rPr>
            </w:pPr>
            <w:r>
              <w:rPr>
                <w:rFonts w:ascii="Arial" w:cs="Arial" w:eastAsia="Arial" w:hAnsi="Arial"/>
                <w:sz w:val="13"/>
                <w:szCs w:val="13"/>
                <w:color w:val="auto"/>
                <w:w w:val="92"/>
              </w:rPr>
              <w:t>and</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6" w:lineRule="exact"/>
              <w:rPr>
                <w:sz w:val="20"/>
                <w:szCs w:val="20"/>
                <w:color w:val="auto"/>
              </w:rPr>
            </w:pPr>
            <w:r>
              <w:rPr>
                <w:rFonts w:ascii="Arial" w:cs="Arial" w:eastAsia="Arial" w:hAnsi="Arial"/>
                <w:sz w:val="13"/>
                <w:szCs w:val="13"/>
                <w:color w:val="auto"/>
                <w:w w:val="95"/>
              </w:rPr>
              <w:t>into</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6" w:lineRule="exact"/>
              <w:rPr>
                <w:sz w:val="20"/>
                <w:szCs w:val="20"/>
                <w:color w:val="auto"/>
              </w:rPr>
            </w:pPr>
            <w:r>
              <w:rPr>
                <w:rFonts w:ascii="Arial" w:cs="Arial" w:eastAsia="Arial" w:hAnsi="Arial"/>
                <w:sz w:val="13"/>
                <w:szCs w:val="13"/>
                <w:color w:val="auto"/>
                <w:w w:val="98"/>
              </w:rPr>
              <w:t>out of</w:t>
            </w:r>
          </w:p>
        </w:tc>
        <w:tc>
          <w:tcPr>
            <w:tcW w:w="140" w:type="dxa"/>
            <w:vAlign w:val="bottom"/>
          </w:tcPr>
          <w:p>
            <w:pPr>
              <w:spacing w:after="0"/>
              <w:rPr>
                <w:sz w:val="10"/>
                <w:szCs w:val="10"/>
                <w:color w:val="auto"/>
              </w:rPr>
            </w:pPr>
          </w:p>
        </w:tc>
        <w:tc>
          <w:tcPr>
            <w:tcW w:w="1020" w:type="dxa"/>
            <w:vAlign w:val="bottom"/>
          </w:tcPr>
          <w:p>
            <w:pPr>
              <w:jc w:val="center"/>
              <w:ind w:right="70"/>
              <w:spacing w:after="0" w:line="126"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09"/>
              <w:spacing w:after="0"/>
              <w:rPr>
                <w:sz w:val="20"/>
                <w:szCs w:val="20"/>
                <w:color w:val="auto"/>
              </w:rPr>
            </w:pPr>
            <w:r>
              <w:rPr>
                <w:rFonts w:ascii="Arial" w:cs="Arial" w:eastAsia="Arial" w:hAnsi="Arial"/>
                <w:sz w:val="13"/>
                <w:szCs w:val="13"/>
                <w:color w:val="auto"/>
                <w:w w:val="98"/>
              </w:rPr>
              <w:t>30, 2023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(loss)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settlements</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6"/>
              </w:rPr>
              <w:t>2023</w:t>
            </w:r>
          </w:p>
        </w:tc>
        <w:tc>
          <w:tcPr>
            <w:tcW w:w="0" w:type="dxa"/>
            <w:vAlign w:val="bottom"/>
          </w:tcPr>
          <w:p>
            <w:pPr>
              <w:spacing w:after="0"/>
              <w:rPr>
                <w:sz w:val="1"/>
                <w:szCs w:val="1"/>
                <w:color w:val="auto"/>
              </w:rPr>
            </w:pPr>
          </w:p>
        </w:tc>
      </w:tr>
      <w:tr>
        <w:trPr>
          <w:trHeight w:val="187"/>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00"/>
        </w:trPr>
        <w:tc>
          <w:tcPr>
            <w:tcW w:w="31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99"/>
        </w:trPr>
        <w:tc>
          <w:tcPr>
            <w:tcW w:w="31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0"/>
        </w:trPr>
        <w:tc>
          <w:tcPr>
            <w:tcW w:w="312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61"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3"/>
                <w:szCs w:val="13"/>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800" w:type="dxa"/>
            <w:vAlign w:val="bottom"/>
            <w:gridSpan w:val="4"/>
          </w:tcPr>
          <w:p>
            <w:pPr>
              <w:jc w:val="center"/>
              <w:ind w:right="16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20"/>
              <w:spacing w:after="0" w:line="122" w:lineRule="exact"/>
              <w:rPr>
                <w:sz w:val="20"/>
                <w:szCs w:val="20"/>
                <w:color w:val="auto"/>
              </w:rPr>
            </w:pPr>
            <w:r>
              <w:rPr>
                <w:rFonts w:ascii="Arial" w:cs="Arial" w:eastAsia="Arial" w:hAnsi="Arial"/>
                <w:sz w:val="13"/>
                <w:szCs w:val="13"/>
                <w:color w:val="auto"/>
                <w:w w:val="95"/>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8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color w:val="auto"/>
                <w:w w:val="96"/>
              </w:rPr>
              <w:t>2023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w w:val="96"/>
              </w:rPr>
              <w:t>settlements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3"/>
                <w:szCs w:val="13"/>
                <w:color w:val="auto"/>
                <w:w w:val="95"/>
              </w:rPr>
              <w:t>Level 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90"/>
              <w:spacing w:after="0"/>
              <w:rPr>
                <w:sz w:val="20"/>
                <w:szCs w:val="20"/>
                <w:color w:val="auto"/>
              </w:rPr>
            </w:pPr>
            <w:r>
              <w:rPr>
                <w:rFonts w:ascii="Arial" w:cs="Arial" w:eastAsia="Arial" w:hAnsi="Arial"/>
                <w:sz w:val="13"/>
                <w:szCs w:val="13"/>
                <w:color w:val="auto"/>
                <w:w w:val="96"/>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U.S. government agency</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State and municipal</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Residential MBS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Trading fixed maturities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Level 3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Total Level 3 liabilities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8"/>
          </w:tcPr>
          <w:p>
            <w:pPr>
              <w:jc w:val="center"/>
              <w:ind w:right="180"/>
              <w:spacing w:after="0"/>
              <w:rPr>
                <w:sz w:val="20"/>
                <w:szCs w:val="20"/>
                <w:color w:val="auto"/>
              </w:rPr>
            </w:pPr>
            <w:r>
              <w:rPr>
                <w:rFonts w:ascii="Arial" w:cs="Arial" w:eastAsia="Arial" w:hAnsi="Arial"/>
                <w:sz w:val="13"/>
                <w:szCs w:val="13"/>
                <w:color w:val="auto"/>
                <w:w w:val="96"/>
              </w:rPr>
              <w:t>Total realized/unrealized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8"/>
          </w:tcPr>
          <w:p>
            <w:pPr>
              <w:jc w:val="center"/>
              <w:ind w:right="160"/>
              <w:spacing w:after="0"/>
              <w:rPr>
                <w:sz w:val="20"/>
                <w:szCs w:val="20"/>
                <w:color w:val="auto"/>
              </w:rPr>
            </w:pPr>
            <w:r>
              <w:rPr>
                <w:rFonts w:ascii="Arial" w:cs="Arial" w:eastAsia="Arial" w:hAnsi="Arial"/>
                <w:sz w:val="13"/>
                <w:szCs w:val="13"/>
                <w:color w:val="auto"/>
                <w:w w:val="97"/>
              </w:rPr>
              <w:t>gains (losses) included 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40"/>
              <w:spacing w:after="0" w:line="142" w:lineRule="exact"/>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40"/>
              <w:spacing w:after="0" w:line="122" w:lineRule="exact"/>
              <w:rPr>
                <w:sz w:val="20"/>
                <w:szCs w:val="20"/>
                <w:color w:val="auto"/>
              </w:rPr>
            </w:pPr>
            <w:r>
              <w:rPr>
                <w:rFonts w:ascii="Arial" w:cs="Arial" w:eastAsia="Arial" w:hAnsi="Arial"/>
                <w:sz w:val="13"/>
                <w:szCs w:val="13"/>
                <w:color w:val="auto"/>
                <w:w w:val="95"/>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12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96"/>
              </w:rPr>
              <w:t>September 30,</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color w:val="auto"/>
              </w:rPr>
              <w:t>settlements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3"/>
                <w:szCs w:val="13"/>
                <w:color w:val="auto"/>
                <w:w w:val="95"/>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0"/>
              <w:spacing w:after="0"/>
              <w:rPr>
                <w:sz w:val="20"/>
                <w:szCs w:val="20"/>
                <w:color w:val="auto"/>
              </w:rPr>
            </w:pPr>
            <w:r>
              <w:rPr>
                <w:rFonts w:ascii="Arial" w:cs="Arial" w:eastAsia="Arial" w:hAnsi="Arial"/>
                <w:sz w:val="13"/>
                <w:szCs w:val="13"/>
                <w:color w:val="auto"/>
                <w:w w:val="96"/>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(25)</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1,102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(92)</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6"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3366"/>
        </w:rPr>
        <w:t xml:space="preserve">Fair Value of Financial Instruments </w:t>
      </w:r>
      <w:r>
        <w:rPr>
          <w:rFonts w:ascii="Arial" w:cs="Arial" w:eastAsia="Arial" w:hAnsi="Arial"/>
          <w:sz w:val="17"/>
          <w:szCs w:val="17"/>
          <w:color w:val="000000"/>
        </w:rPr>
        <w:t>The carrying value and fair value of financial instruments that are not carried at fair value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financial statements are summarized below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color w:val="auto"/>
              </w:rPr>
              <w:t>Fair Value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color w:val="auto"/>
              </w:rPr>
              <w:t>Carrying Value</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1</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2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5"/>
                <w:szCs w:val="15"/>
                <w:color w:val="auto"/>
              </w:rPr>
              <w:t>Level 3</w:t>
            </w: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September 30, 2024</w:t>
            </w:r>
          </w:p>
        </w:tc>
        <w:tc>
          <w:tcPr>
            <w:tcW w:w="4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Mortgage loans</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 loans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29"/>
          <w:szCs w:val="29"/>
          <w:b w:val="1"/>
          <w:bCs w:val="1"/>
          <w:color w:val="003366"/>
        </w:rPr>
      </w:pPr>
      <w:r>
        <w:rPr>
          <w:rFonts w:ascii="Arial" w:cs="Arial" w:eastAsia="Arial" w:hAnsi="Arial"/>
          <w:sz w:val="29"/>
          <w:szCs w:val="29"/>
          <w:b w:val="1"/>
          <w:bCs w:val="1"/>
          <w:color w:val="003366"/>
        </w:rPr>
        <w:t>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Available for sale fixed maturities at September 30, 2024 and December 31, 2023,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Allowance for</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color w:val="auto"/>
              </w:rPr>
              <w:t>Gross Unrealized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rPr>
              <w:t>Expected Credit</w:t>
            </w: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Net</w:t>
            </w:r>
          </w:p>
        </w:tc>
        <w:tc>
          <w:tcPr>
            <w:tcW w:w="220" w:type="dxa"/>
            <w:vAlign w:val="bottom"/>
          </w:tcPr>
          <w:p>
            <w:pPr>
              <w:spacing w:after="0"/>
              <w:rPr>
                <w:sz w:val="4"/>
                <w:szCs w:val="4"/>
                <w:color w:val="auto"/>
              </w:rPr>
            </w:pPr>
          </w:p>
        </w:tc>
        <w:tc>
          <w:tcPr>
            <w:tcW w:w="760" w:type="dxa"/>
            <w:vAlign w:val="bottom"/>
            <w:vMerge w:val="restart"/>
          </w:tcPr>
          <w:p>
            <w:pPr>
              <w:jc w:val="right"/>
              <w:ind w:right="280"/>
              <w:spacing w:after="0" w:line="122"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4"/>
                <w:szCs w:val="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Cost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September 30, 2024</w:t>
            </w: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Fixed maturities:</w:t>
            </w:r>
          </w:p>
        </w:tc>
        <w:tc>
          <w:tcPr>
            <w:tcW w:w="3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Equity securities which are reported at fair value with holding gains and losses recognized in net earnings, consisted of the following 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2024 and December 31, 2023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September 30, 2024</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December 31, 2023</w:t>
            </w:r>
          </w:p>
        </w:tc>
        <w:tc>
          <w:tcPr>
            <w:tcW w:w="820" w:type="dxa"/>
            <w:vAlign w:val="bottom"/>
            <w:tcBorders>
              <w:bottom w:val="single" w:sz="8" w:color="auto"/>
            </w:tcBorders>
          </w:tcPr>
          <w:p>
            <w:pPr>
              <w:spacing w:after="0"/>
              <w:rPr>
                <w:sz w:val="17"/>
                <w:szCs w:val="17"/>
                <w:color w:val="auto"/>
              </w:rPr>
            </w:pPr>
          </w:p>
        </w:tc>
      </w:tr>
      <w:tr>
        <w:trPr>
          <w:trHeight w:val="145"/>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5"/>
                <w:szCs w:val="15"/>
                <w:color w:val="auto"/>
              </w:rPr>
              <w:t>Fair Value Over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spacing w:after="0" w:line="145" w:lineRule="exact"/>
              <w:rPr>
                <w:sz w:val="20"/>
                <w:szCs w:val="20"/>
                <w:color w:val="auto"/>
              </w:rPr>
            </w:pPr>
            <w:r>
              <w:rPr>
                <w:rFonts w:ascii="Arial" w:cs="Arial" w:eastAsia="Arial" w:hAnsi="Arial"/>
                <w:sz w:val="15"/>
                <w:szCs w:val="15"/>
                <w:color w:val="auto"/>
              </w:rPr>
              <w:t>Fair Value Over</w:t>
            </w:r>
          </w:p>
        </w:tc>
      </w:tr>
      <w:tr>
        <w:trPr>
          <w:trHeight w:val="213"/>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5"/>
                <w:szCs w:val="15"/>
                <w:color w:val="auto"/>
                <w:w w:val="97"/>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80" w:type="dxa"/>
            <w:vAlign w:val="bottom"/>
          </w:tcPr>
          <w:p>
            <w:pPr>
              <w:spacing w:after="0"/>
              <w:rPr>
                <w:sz w:val="18"/>
                <w:szCs w:val="18"/>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5"/>
                <w:szCs w:val="15"/>
                <w:color w:val="auto"/>
                <w:w w:val="97"/>
              </w:rPr>
              <w:t>Cost</w:t>
            </w:r>
          </w:p>
        </w:tc>
        <w:tc>
          <w:tcPr>
            <w:tcW w:w="1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5"/>
                <w:szCs w:val="15"/>
                <w:color w:val="auto"/>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60" w:type="dxa"/>
            <w:vAlign w:val="bottom"/>
          </w:tcPr>
          <w:p>
            <w:pPr>
              <w:spacing w:after="0"/>
              <w:rPr>
                <w:sz w:val="18"/>
                <w:szCs w:val="18"/>
                <w:color w:val="auto"/>
              </w:rPr>
            </w:pPr>
          </w:p>
        </w:tc>
        <w:tc>
          <w:tcPr>
            <w:tcW w:w="820" w:type="dxa"/>
            <w:vAlign w:val="bottom"/>
          </w:tcPr>
          <w:p>
            <w:pPr>
              <w:jc w:val="right"/>
              <w:ind w:right="360"/>
              <w:spacing w:after="0"/>
              <w:rPr>
                <w:sz w:val="20"/>
                <w:szCs w:val="20"/>
                <w:color w:val="auto"/>
              </w:rPr>
            </w:pPr>
            <w:r>
              <w:rPr>
                <w:rFonts w:ascii="Arial" w:cs="Arial" w:eastAsia="Arial" w:hAnsi="Arial"/>
                <w:sz w:val="15"/>
                <w:szCs w:val="15"/>
                <w:color w:val="auto"/>
              </w:rPr>
              <w:t>Cost</w:t>
            </w:r>
          </w:p>
        </w:tc>
      </w:tr>
      <w:tr>
        <w:trPr>
          <w:trHeight w:val="21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Perpetual preferred stocks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equity securities carried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investments accounted for using the equity method, by strategy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5"/>
                <w:szCs w:val="15"/>
                <w:color w:val="auto"/>
              </w:rPr>
              <w:t>Net Investment Income</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45"/>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5"/>
          </w:tcPr>
          <w:p>
            <w:pPr>
              <w:ind w:left="100"/>
              <w:spacing w:after="0" w:line="145" w:lineRule="exact"/>
              <w:rPr>
                <w:sz w:val="20"/>
                <w:szCs w:val="20"/>
                <w:color w:val="auto"/>
              </w:rPr>
            </w:pPr>
            <w:r>
              <w:rPr>
                <w:rFonts w:ascii="Arial" w:cs="Arial" w:eastAsia="Arial" w:hAnsi="Arial"/>
                <w:sz w:val="15"/>
                <w:szCs w:val="15"/>
                <w:color w:val="auto"/>
              </w:rPr>
              <w:t>Three months ended</w:t>
            </w:r>
          </w:p>
        </w:tc>
        <w:tc>
          <w:tcPr>
            <w:tcW w:w="220" w:type="dxa"/>
            <w:vAlign w:val="bottom"/>
          </w:tcPr>
          <w:p>
            <w:pPr>
              <w:spacing w:after="0"/>
              <w:rPr>
                <w:sz w:val="12"/>
                <w:szCs w:val="12"/>
                <w:color w:val="auto"/>
              </w:rPr>
            </w:pPr>
          </w:p>
        </w:tc>
        <w:tc>
          <w:tcPr>
            <w:tcW w:w="1820" w:type="dxa"/>
            <w:vAlign w:val="bottom"/>
            <w:gridSpan w:val="4"/>
          </w:tcPr>
          <w:p>
            <w:pPr>
              <w:jc w:val="right"/>
              <w:ind w:right="280"/>
              <w:spacing w:after="0" w:line="145" w:lineRule="exact"/>
              <w:rPr>
                <w:sz w:val="20"/>
                <w:szCs w:val="20"/>
                <w:color w:val="auto"/>
              </w:rPr>
            </w:pPr>
            <w:r>
              <w:rPr>
                <w:rFonts w:ascii="Arial" w:cs="Arial" w:eastAsia="Arial" w:hAnsi="Arial"/>
                <w:sz w:val="15"/>
                <w:szCs w:val="15"/>
                <w:color w:val="auto"/>
              </w:rPr>
              <w:t>Nine months ended</w:t>
            </w:r>
          </w:p>
        </w:tc>
      </w:tr>
      <w:tr>
        <w:trPr>
          <w:trHeight w:val="213"/>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ind w:left="720"/>
              <w:spacing w:after="0"/>
              <w:rPr>
                <w:sz w:val="20"/>
                <w:szCs w:val="20"/>
                <w:color w:val="auto"/>
              </w:rPr>
            </w:pPr>
            <w:r>
              <w:rPr>
                <w:rFonts w:ascii="Arial" w:cs="Arial" w:eastAsia="Arial" w:hAnsi="Arial"/>
                <w:sz w:val="15"/>
                <w:szCs w:val="15"/>
                <w:color w:val="auto"/>
              </w:rPr>
              <w:t>Carrying Value</w:t>
            </w:r>
          </w:p>
        </w:tc>
        <w:tc>
          <w:tcPr>
            <w:tcW w:w="220" w:type="dxa"/>
            <w:vAlign w:val="bottom"/>
          </w:tcPr>
          <w:p>
            <w:pPr>
              <w:spacing w:after="0"/>
              <w:rPr>
                <w:sz w:val="18"/>
                <w:szCs w:val="18"/>
                <w:color w:val="auto"/>
              </w:rPr>
            </w:pPr>
          </w:p>
        </w:tc>
        <w:tc>
          <w:tcPr>
            <w:tcW w:w="1920" w:type="dxa"/>
            <w:vAlign w:val="bottom"/>
            <w:gridSpan w:val="5"/>
          </w:tcPr>
          <w:p>
            <w:pPr>
              <w:ind w:left="300"/>
              <w:spacing w:after="0"/>
              <w:rPr>
                <w:sz w:val="20"/>
                <w:szCs w:val="20"/>
                <w:color w:val="auto"/>
              </w:rPr>
            </w:pPr>
            <w:r>
              <w:rPr>
                <w:rFonts w:ascii="Arial" w:cs="Arial" w:eastAsia="Arial" w:hAnsi="Arial"/>
                <w:sz w:val="15"/>
                <w:szCs w:val="15"/>
                <w:color w:val="auto"/>
              </w:rPr>
              <w:t>September 30,</w:t>
            </w:r>
          </w:p>
        </w:tc>
        <w:tc>
          <w:tcPr>
            <w:tcW w:w="220" w:type="dxa"/>
            <w:vAlign w:val="bottom"/>
          </w:tcPr>
          <w:p>
            <w:pPr>
              <w:spacing w:after="0"/>
              <w:rPr>
                <w:sz w:val="18"/>
                <w:szCs w:val="18"/>
                <w:color w:val="auto"/>
              </w:rPr>
            </w:pPr>
          </w:p>
        </w:tc>
        <w:tc>
          <w:tcPr>
            <w:tcW w:w="1820" w:type="dxa"/>
            <w:vAlign w:val="bottom"/>
            <w:gridSpan w:val="4"/>
          </w:tcPr>
          <w:p>
            <w:pPr>
              <w:jc w:val="right"/>
              <w:ind w:right="440"/>
              <w:spacing w:after="0"/>
              <w:rPr>
                <w:sz w:val="20"/>
                <w:szCs w:val="20"/>
                <w:color w:val="auto"/>
              </w:rPr>
            </w:pPr>
            <w:r>
              <w:rPr>
                <w:rFonts w:ascii="Arial" w:cs="Arial" w:eastAsia="Arial" w:hAnsi="Arial"/>
                <w:sz w:val="15"/>
                <w:szCs w:val="15"/>
                <w:color w:val="auto"/>
              </w:rPr>
              <w:t>September 30,</w:t>
            </w:r>
          </w:p>
        </w:tc>
      </w:tr>
      <w:tr>
        <w:trPr>
          <w:trHeight w:val="145"/>
        </w:trPr>
        <w:tc>
          <w:tcPr>
            <w:tcW w:w="4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20"/>
              <w:spacing w:after="0" w:line="145" w:lineRule="exact"/>
              <w:rPr>
                <w:sz w:val="20"/>
                <w:szCs w:val="20"/>
                <w:color w:val="auto"/>
              </w:rPr>
            </w:pPr>
            <w:r>
              <w:rPr>
                <w:rFonts w:ascii="Arial" w:cs="Arial" w:eastAsia="Arial" w:hAnsi="Arial"/>
                <w:sz w:val="15"/>
                <w:szCs w:val="15"/>
                <w:color w:val="auto"/>
              </w:rPr>
              <w:t>September 30,</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01"/>
              <w:spacing w:after="0" w:line="145" w:lineRule="exact"/>
              <w:rPr>
                <w:sz w:val="20"/>
                <w:szCs w:val="20"/>
                <w:color w:val="auto"/>
              </w:rPr>
            </w:pPr>
            <w:r>
              <w:rPr>
                <w:rFonts w:ascii="Arial" w:cs="Arial" w:eastAsia="Arial" w:hAnsi="Arial"/>
                <w:sz w:val="15"/>
                <w:szCs w:val="15"/>
                <w:color w:val="auto"/>
              </w:rPr>
              <w:t>December 31,</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213"/>
        </w:trPr>
        <w:tc>
          <w:tcPr>
            <w:tcW w:w="4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color w:val="auto"/>
              </w:rPr>
              <w:t>2024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5"/>
                <w:szCs w:val="15"/>
                <w:color w:val="auto"/>
              </w:rPr>
              <w:t>2023</w:t>
            </w: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estate-related investments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Private equity</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debt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4280" w:type="dxa"/>
            <w:vAlign w:val="bottom"/>
          </w:tcPr>
          <w:p>
            <w:pPr>
              <w:ind w:left="180"/>
              <w:spacing w:after="0"/>
              <w:rPr>
                <w:sz w:val="20"/>
                <w:szCs w:val="20"/>
                <w:color w:val="auto"/>
              </w:rPr>
            </w:pPr>
            <w:r>
              <w:rPr>
                <w:rFonts w:ascii="Arial" w:cs="Arial" w:eastAsia="Arial" w:hAnsi="Arial"/>
                <w:sz w:val="16"/>
                <w:szCs w:val="16"/>
                <w:color w:val="auto"/>
              </w:rPr>
              <w:t>Total investments accounted for using the equity method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1,814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280" w:hanging="412"/>
        <w:spacing w:after="0" w:line="284" w:lineRule="auto"/>
        <w:tabs>
          <w:tab w:leader="none" w:pos="411" w:val="left"/>
        </w:tabs>
        <w:numPr>
          <w:ilvl w:val="0"/>
          <w:numId w:val="12"/>
        </w:numPr>
        <w:rPr>
          <w:rFonts w:ascii="Arial" w:cs="Arial" w:eastAsia="Arial" w:hAnsi="Arial"/>
          <w:sz w:val="17"/>
          <w:szCs w:val="17"/>
          <w:color w:val="auto"/>
        </w:rPr>
      </w:pPr>
      <w:r>
        <w:rPr>
          <w:rFonts w:ascii="Arial" w:cs="Arial" w:eastAsia="Arial" w:hAnsi="Arial"/>
          <w:sz w:val="17"/>
          <w:szCs w:val="17"/>
          <w:color w:val="auto"/>
        </w:rPr>
        <w:t>90% and 92% of the carrying value relates to underlying investments in multi-family properties as of September 30, 2024 and December 31, 2023, respectively.</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00"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With respect to partnerships and similar investments, AFG had unfunded commitments of $448 million and $418 million as of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right"/>
              <w:ind w:right="845"/>
              <w:spacing w:after="0"/>
              <w:rPr>
                <w:sz w:val="20"/>
                <w:szCs w:val="20"/>
                <w:color w:val="auto"/>
              </w:rPr>
            </w:pPr>
            <w:r>
              <w:rPr>
                <w:rFonts w:ascii="Arial" w:cs="Arial" w:eastAsia="Arial" w:hAnsi="Arial"/>
                <w:sz w:val="13"/>
                <w:szCs w:val="13"/>
                <w:color w:val="auto"/>
                <w:w w:val="94"/>
              </w:rPr>
              <w:t>Less Than Twelve Months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917"/>
              <w:spacing w:after="0"/>
              <w:rPr>
                <w:sz w:val="20"/>
                <w:szCs w:val="20"/>
                <w:color w:val="auto"/>
              </w:rPr>
            </w:pPr>
            <w:r>
              <w:rPr>
                <w:rFonts w:ascii="Arial" w:cs="Arial" w:eastAsia="Arial" w:hAnsi="Arial"/>
                <w:sz w:val="13"/>
                <w:szCs w:val="13"/>
                <w:color w:val="auto"/>
                <w:w w:val="95"/>
              </w:rPr>
              <w:t>Twelve Months or More</w:t>
            </w: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61"/>
              <w:spacing w:after="0"/>
              <w:rPr>
                <w:sz w:val="20"/>
                <w:szCs w:val="20"/>
                <w:color w:val="auto"/>
              </w:rPr>
            </w:pPr>
            <w:r>
              <w:rPr>
                <w:rFonts w:ascii="Arial" w:cs="Arial" w:eastAsia="Arial" w:hAnsi="Arial"/>
                <w:sz w:val="13"/>
                <w:szCs w:val="13"/>
                <w:color w:val="auto"/>
              </w:rPr>
              <w:t>Fair</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Fair Value as</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3"/>
                <w:szCs w:val="13"/>
                <w:color w:val="auto"/>
                <w:w w:val="99"/>
              </w:rPr>
              <w:t>Unrealized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1"/>
              <w:spacing w:after="0"/>
              <w:rPr>
                <w:sz w:val="20"/>
                <w:szCs w:val="20"/>
                <w:color w:val="auto"/>
              </w:rPr>
            </w:pPr>
            <w:r>
              <w:rPr>
                <w:rFonts w:ascii="Arial" w:cs="Arial" w:eastAsia="Arial" w:hAnsi="Arial"/>
                <w:sz w:val="13"/>
                <w:szCs w:val="13"/>
                <w:color w:val="auto"/>
              </w:rPr>
              <w:t>Fair</w:t>
            </w:r>
          </w:p>
        </w:tc>
        <w:tc>
          <w:tcPr>
            <w:tcW w:w="100" w:type="dxa"/>
            <w:vAlign w:val="bottom"/>
          </w:tcPr>
          <w:p>
            <w:pPr>
              <w:spacing w:after="0"/>
              <w:rPr>
                <w:sz w:val="15"/>
                <w:szCs w:val="15"/>
                <w:color w:val="auto"/>
              </w:rPr>
            </w:pPr>
          </w:p>
        </w:tc>
        <w:tc>
          <w:tcPr>
            <w:tcW w:w="1280" w:type="dxa"/>
            <w:vAlign w:val="bottom"/>
          </w:tcPr>
          <w:p>
            <w:pPr>
              <w:jc w:val="right"/>
              <w:ind w:right="217"/>
              <w:spacing w:after="0"/>
              <w:rPr>
                <w:sz w:val="20"/>
                <w:szCs w:val="20"/>
                <w:color w:val="auto"/>
              </w:rPr>
            </w:pPr>
            <w:r>
              <w:rPr>
                <w:rFonts w:ascii="Arial" w:cs="Arial" w:eastAsia="Arial" w:hAnsi="Arial"/>
                <w:sz w:val="13"/>
                <w:szCs w:val="13"/>
                <w:color w:val="auto"/>
              </w:rPr>
              <w:t>Fair Value as</w:t>
            </w:r>
          </w:p>
        </w:tc>
      </w:tr>
      <w:tr>
        <w:trPr>
          <w:trHeight w:val="166"/>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3"/>
                <w:szCs w:val="13"/>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01"/>
              <w:spacing w:after="0"/>
              <w:rPr>
                <w:sz w:val="20"/>
                <w:szCs w:val="20"/>
                <w:color w:val="auto"/>
              </w:rPr>
            </w:pPr>
            <w:r>
              <w:rPr>
                <w:rFonts w:ascii="Arial" w:cs="Arial" w:eastAsia="Arial" w:hAnsi="Arial"/>
                <w:sz w:val="13"/>
                <w:szCs w:val="13"/>
                <w:color w:val="auto"/>
              </w:rPr>
              <w:t>Value</w:t>
            </w: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 of Cost</w:t>
            </w:r>
          </w:p>
        </w:tc>
        <w:tc>
          <w:tcPr>
            <w:tcW w:w="140" w:type="dxa"/>
            <w:vAlign w:val="bottom"/>
          </w:tcPr>
          <w:p>
            <w:pPr>
              <w:spacing w:after="0"/>
              <w:rPr>
                <w:sz w:val="14"/>
                <w:szCs w:val="14"/>
                <w:color w:val="auto"/>
              </w:rPr>
            </w:pPr>
          </w:p>
        </w:tc>
        <w:tc>
          <w:tcPr>
            <w:tcW w:w="820" w:type="dxa"/>
            <w:vAlign w:val="bottom"/>
          </w:tcPr>
          <w:p>
            <w:pPr>
              <w:jc w:val="right"/>
              <w:ind w:right="261"/>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4"/>
                <w:szCs w:val="14"/>
                <w:color w:val="auto"/>
              </w:rPr>
            </w:pP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 of Cost</w:t>
            </w: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September 30, 2024</w:t>
            </w:r>
          </w:p>
        </w:tc>
        <w:tc>
          <w:tcPr>
            <w:tcW w:w="30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94 %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89 %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106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96 %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2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w w:val="91"/>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95 %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91"/>
              </w:rPr>
              <w:t>(5)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45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Fixed maturities:</w:t>
            </w:r>
          </w:p>
        </w:tc>
        <w:tc>
          <w:tcPr>
            <w:tcW w:w="31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93 %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88 %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97 %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5"/>
        </w:trPr>
        <w:tc>
          <w:tcPr>
            <w:tcW w:w="2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w w:val="91"/>
              </w:rPr>
              <w:t>(4)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93 %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91"/>
              </w:rPr>
              <w:t>(7)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September 30, 2024, the gross unrealized losses on fixed maturities of $299 million relate to approximately 1,150 securities. Investment grade securities (as determined by nationally recognized rating agencies) represented approximately 92% of the gross unrealized loss and 95% of the fair value of securities with unrealized losses.</w:t>
      </w:r>
    </w:p>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and communications with industry specialists and discussions with issuer management.</w:t>
      </w:r>
    </w:p>
    <w:p>
      <w:pPr>
        <w:spacing w:after="0" w:line="195" w:lineRule="exact"/>
        <w:rPr>
          <w:sz w:val="20"/>
          <w:szCs w:val="20"/>
          <w:color w:val="auto"/>
        </w:rPr>
      </w:pPr>
    </w:p>
    <w:p>
      <w:pPr>
        <w:ind w:right="640"/>
        <w:spacing w:after="0" w:line="260" w:lineRule="auto"/>
        <w:rPr>
          <w:sz w:val="20"/>
          <w:szCs w:val="20"/>
          <w:color w:val="auto"/>
        </w:rPr>
      </w:pPr>
      <w:r>
        <w:rPr>
          <w:rFonts w:ascii="Arial" w:cs="Arial" w:eastAsia="Arial" w:hAnsi="Arial"/>
          <w:sz w:val="17"/>
          <w:szCs w:val="17"/>
          <w:color w:val="auto"/>
        </w:rPr>
        <w:t>AFG analyzes its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Management believes AFG will recover its cost basis (net of any allowance) in the securities with unrealized losses and that AFG has the ability to hold the securities until they recover in value and had no intent to sell them at September 30,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the allowance for expected credit losses on available for sale fixed maturity securities is shown below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color w:val="auto"/>
              </w:rPr>
              <w:t>Structured</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Corporate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3"/>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color w:val="auto"/>
              </w:rPr>
              <w:t>Securities (*)</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2460" w:firstLine="8"/>
        <w:spacing w:after="0" w:line="546" w:lineRule="auto"/>
        <w:tabs>
          <w:tab w:leader="none" w:pos="3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mortgage-backed securities, collateralized loan obligations and other asset-backed securities (“ABS”). In the first nine months of 2024 and 2023, AFG did not purchase any securities with expected credit losses.</w:t>
      </w:r>
    </w:p>
    <w:p>
      <w:pPr>
        <w:spacing w:after="0" w:line="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table below sets forth the scheduled maturities of AFG’s available for sale fixed maturities as of September 30, 2024 (dollars in millions). Securities with sinking funds are reported at average maturity. Actual maturities may differ from contractual maturities because certain securities may be called or prepaid by the issuers.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rPr>
              <w:t>Amortized</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color w:val="auto"/>
              </w:rPr>
              <w:t>Fair Value</w:t>
            </w:r>
          </w:p>
        </w:tc>
        <w:tc>
          <w:tcPr>
            <w:tcW w:w="80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w w:val="99"/>
              </w:rPr>
              <w:t>Cost, net (*)</w:t>
            </w:r>
          </w:p>
        </w:tc>
        <w:tc>
          <w:tcPr>
            <w:tcW w:w="2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Amount</w:t>
            </w:r>
          </w:p>
        </w:tc>
        <w:tc>
          <w:tcPr>
            <w:tcW w:w="800" w:type="dxa"/>
            <w:vAlign w:val="bottom"/>
          </w:tcPr>
          <w:p>
            <w:pPr>
              <w:jc w:val="right"/>
              <w:ind w:right="480"/>
              <w:spacing w:after="0"/>
              <w:rPr>
                <w:sz w:val="20"/>
                <w:szCs w:val="20"/>
                <w:color w:val="auto"/>
              </w:rPr>
            </w:pPr>
            <w:r>
              <w:rPr>
                <w:rFonts w:ascii="Arial" w:cs="Arial" w:eastAsia="Arial" w:hAnsi="Arial"/>
                <w:sz w:val="15"/>
                <w:szCs w:val="15"/>
                <w:color w:val="auto"/>
              </w:rPr>
              <w:t>%</w:t>
            </w: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color w:val="auto"/>
              </w:rPr>
              <w:t>Maturity</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After five years through ten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ten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Collateralized loan obligations and other ABS (average life of approximately 3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15"/>
        </w:trPr>
        <w:tc>
          <w:tcPr>
            <w:tcW w:w="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MBS (average life of approximately 6 years)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6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individual issuers that exceeded 10% of shareholders’ equity at September 30, 2024 or December 31, 2023.</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Net Investment Income </w:t>
      </w:r>
      <w:r>
        <w:rPr>
          <w:rFonts w:ascii="Arial" w:cs="Arial" w:eastAsia="Arial" w:hAnsi="Arial"/>
          <w:sz w:val="17"/>
          <w:szCs w:val="17"/>
          <w:color w:val="000000"/>
        </w:rPr>
        <w:t>The following table shows (in millions) investment income earned and investment expenses incurred.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48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2023</w:t>
            </w: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40" w:type="dxa"/>
            <w:vAlign w:val="bottom"/>
          </w:tcPr>
          <w:p>
            <w:pPr>
              <w:ind w:left="360"/>
              <w:spacing w:after="0"/>
              <w:rPr>
                <w:sz w:val="20"/>
                <w:szCs w:val="20"/>
                <w:color w:val="auto"/>
              </w:rPr>
            </w:pPr>
            <w:r>
              <w:rPr>
                <w:rFonts w:ascii="Arial" w:cs="Arial" w:eastAsia="Arial" w:hAnsi="Arial"/>
                <w:sz w:val="16"/>
                <w:szCs w:val="16"/>
                <w:color w:val="auto"/>
              </w:rPr>
              <w:t>Fixed maturities: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Interest and amortization</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15"/>
        </w:trPr>
        <w:tc>
          <w:tcPr>
            <w:tcW w:w="4840" w:type="dxa"/>
            <w:vAlign w:val="bottom"/>
          </w:tcPr>
          <w:p>
            <w:pPr>
              <w:ind w:left="600"/>
              <w:spacing w:after="0"/>
              <w:rPr>
                <w:sz w:val="20"/>
                <w:szCs w:val="20"/>
                <w:color w:val="auto"/>
              </w:rPr>
            </w:pPr>
            <w:r>
              <w:rPr>
                <w:rFonts w:ascii="Arial" w:cs="Arial" w:eastAsia="Arial" w:hAnsi="Arial"/>
                <w:sz w:val="16"/>
                <w:szCs w:val="16"/>
                <w:color w:val="auto"/>
              </w:rPr>
              <w:t>Change in fair value (a)</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securities: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600"/>
              <w:spacing w:after="0"/>
              <w:rPr>
                <w:sz w:val="20"/>
                <w:szCs w:val="20"/>
                <w:color w:val="auto"/>
              </w:rPr>
            </w:pPr>
            <w:r>
              <w:rPr>
                <w:rFonts w:ascii="Arial" w:cs="Arial" w:eastAsia="Arial" w:hAnsi="Arial"/>
                <w:sz w:val="16"/>
                <w:szCs w:val="16"/>
                <w:color w:val="auto"/>
              </w:rPr>
              <w:t>Dividends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Change in fair value (b)</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5"/>
        </w:trPr>
        <w:tc>
          <w:tcPr>
            <w:tcW w:w="4840" w:type="dxa"/>
            <w:vAlign w:val="bottom"/>
          </w:tcPr>
          <w:p>
            <w:pPr>
              <w:ind w:left="360"/>
              <w:spacing w:after="0"/>
              <w:rPr>
                <w:sz w:val="20"/>
                <w:szCs w:val="20"/>
                <w:color w:val="auto"/>
              </w:rPr>
            </w:pPr>
            <w:r>
              <w:rPr>
                <w:rFonts w:ascii="Arial" w:cs="Arial" w:eastAsia="Arial" w:hAnsi="Arial"/>
                <w:sz w:val="16"/>
                <w:szCs w:val="16"/>
                <w:color w:val="auto"/>
              </w:rPr>
              <w:t>Equity in earnings of partnerships and similar investments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9"/>
        </w:trPr>
        <w:tc>
          <w:tcPr>
            <w:tcW w:w="4840" w:type="dxa"/>
            <w:vAlign w:val="bottom"/>
          </w:tcPr>
          <w:p>
            <w:pPr>
              <w:ind w:left="600"/>
              <w:spacing w:after="0"/>
              <w:rPr>
                <w:sz w:val="20"/>
                <w:szCs w:val="20"/>
                <w:color w:val="auto"/>
              </w:rPr>
            </w:pPr>
            <w:r>
              <w:rPr>
                <w:rFonts w:ascii="Arial" w:cs="Arial" w:eastAsia="Arial" w:hAnsi="Arial"/>
                <w:sz w:val="16"/>
                <w:szCs w:val="16"/>
                <w:color w:val="auto"/>
              </w:rPr>
              <w:t>Gross investment income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expenses</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4840" w:type="dxa"/>
            <w:vAlign w:val="bottom"/>
          </w:tcPr>
          <w:p>
            <w:pPr>
              <w:ind w:left="600"/>
              <w:spacing w:after="0"/>
              <w:rPr>
                <w:sz w:val="20"/>
                <w:szCs w:val="20"/>
                <w:color w:val="auto"/>
              </w:rPr>
            </w:pPr>
            <w:r>
              <w:rPr>
                <w:rFonts w:ascii="Arial" w:cs="Arial" w:eastAsia="Arial" w:hAnsi="Arial"/>
                <w:sz w:val="16"/>
                <w:szCs w:val="16"/>
                <w:color w:val="auto"/>
              </w:rPr>
              <w:t>Net investment income</w:t>
            </w: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r>
      <w:tr>
        <w:trPr>
          <w:trHeight w:val="21"/>
        </w:trPr>
        <w:tc>
          <w:tcPr>
            <w:tcW w:w="4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180" w:hanging="412"/>
        <w:spacing w:after="0" w:line="241" w:lineRule="auto"/>
        <w:tabs>
          <w:tab w:leader="none" w:pos="41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change in the fair value of fixed maturities classified as trading and derivatives embedded in convertible fixed maturities related to limited partnerships and similar investments.</w:t>
      </w:r>
    </w:p>
    <w:p>
      <w:pPr>
        <w:spacing w:after="0" w:line="1" w:lineRule="exact"/>
        <w:rPr>
          <w:rFonts w:ascii="Arial" w:cs="Arial" w:eastAsia="Arial" w:hAnsi="Arial"/>
          <w:sz w:val="17"/>
          <w:szCs w:val="17"/>
          <w:color w:val="auto"/>
        </w:rPr>
      </w:pPr>
    </w:p>
    <w:p>
      <w:pPr>
        <w:ind w:left="420" w:right="380" w:hanging="412"/>
        <w:spacing w:after="0" w:line="235" w:lineRule="auto"/>
        <w:tabs>
          <w:tab w:leader="none" w:pos="41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AFG records holding gains and losses on limited partnerships and similar investments that do not qualify for equity method accounting and related equity investments in net investment income.</w:t>
      </w:r>
    </w:p>
    <w:p>
      <w:pPr>
        <w:spacing w:after="0" w:line="14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Realized gains (losses) and changes in unrealized appreciation (depreciation) included in AOCI related to fixed maturity securities are summarized as follows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9"/>
          </w:tcPr>
          <w:p>
            <w:pPr>
              <w:ind w:left="680"/>
              <w:spacing w:after="0"/>
              <w:rPr>
                <w:sz w:val="20"/>
                <w:szCs w:val="20"/>
                <w:color w:val="auto"/>
              </w:rPr>
            </w:pPr>
            <w:r>
              <w:rPr>
                <w:rFonts w:ascii="Arial" w:cs="Arial" w:eastAsia="Arial" w:hAnsi="Arial"/>
                <w:sz w:val="13"/>
                <w:szCs w:val="13"/>
                <w:color w:val="auto"/>
              </w:rPr>
              <w:t>Three months ended September 30, 2024</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9"/>
          </w:tcPr>
          <w:p>
            <w:pPr>
              <w:jc w:val="center"/>
              <w:ind w:left="627"/>
              <w:spacing w:after="0"/>
              <w:rPr>
                <w:sz w:val="20"/>
                <w:szCs w:val="20"/>
                <w:color w:val="auto"/>
              </w:rPr>
            </w:pPr>
            <w:r>
              <w:rPr>
                <w:rFonts w:ascii="Arial" w:cs="Arial" w:eastAsia="Arial" w:hAnsi="Arial"/>
                <w:sz w:val="13"/>
                <w:szCs w:val="13"/>
                <w:color w:val="auto"/>
              </w:rPr>
              <w:t>Three months ended September 30, 2023</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1"/>
                <w:szCs w:val="11"/>
                <w:color w:val="auto"/>
              </w:rPr>
            </w:pPr>
          </w:p>
        </w:tc>
        <w:tc>
          <w:tcPr>
            <w:tcW w:w="900" w:type="dxa"/>
            <w:vAlign w:val="bottom"/>
            <w:gridSpan w:val="2"/>
          </w:tcPr>
          <w:p>
            <w:pPr>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ind w:left="720"/>
              <w:spacing w:after="0"/>
              <w:rPr>
                <w:sz w:val="20"/>
                <w:szCs w:val="20"/>
                <w:color w:val="auto"/>
              </w:rPr>
            </w:pPr>
            <w:r>
              <w:rPr>
                <w:rFonts w:ascii="Arial" w:cs="Arial" w:eastAsia="Arial" w:hAnsi="Arial"/>
                <w:sz w:val="13"/>
                <w:szCs w:val="13"/>
                <w:color w:val="auto"/>
              </w:rPr>
              <w:t>Nine months ended September 30, 2024</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jc w:val="center"/>
              <w:ind w:left="627"/>
              <w:spacing w:after="0"/>
              <w:rPr>
                <w:sz w:val="20"/>
                <w:szCs w:val="20"/>
                <w:color w:val="auto"/>
              </w:rPr>
            </w:pPr>
            <w:r>
              <w:rPr>
                <w:rFonts w:ascii="Arial" w:cs="Arial" w:eastAsia="Arial" w:hAnsi="Arial"/>
                <w:sz w:val="13"/>
                <w:szCs w:val="13"/>
                <w:color w:val="auto"/>
              </w:rPr>
              <w:t>Nine months ended September 30, 2023</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1"/>
                <w:szCs w:val="11"/>
                <w:color w:val="auto"/>
              </w:rPr>
            </w:pPr>
          </w:p>
        </w:tc>
        <w:tc>
          <w:tcPr>
            <w:tcW w:w="900" w:type="dxa"/>
            <w:vAlign w:val="bottom"/>
            <w:gridSpan w:val="2"/>
          </w:tcPr>
          <w:p>
            <w:pPr>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All equity securities other than those accounted for under the equity method are carried at fair value through net earnings. AFG recorded net holding gains (losses) on equity securities during the third quarter and first nine months of 2024 and 2023 on securities that were still owned at September 30, 2024 and September 30, 2023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48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21"/>
              <w:spacing w:after="0"/>
              <w:rPr>
                <w:sz w:val="20"/>
                <w:szCs w:val="20"/>
                <w:color w:val="auto"/>
              </w:rPr>
            </w:pPr>
            <w:r>
              <w:rPr>
                <w:rFonts w:ascii="Arial" w:cs="Arial" w:eastAsia="Arial" w:hAnsi="Arial"/>
                <w:sz w:val="15"/>
                <w:szCs w:val="15"/>
                <w:color w:val="auto"/>
              </w:rPr>
              <w:t>2023</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2023</w:t>
            </w: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realized gains (losses)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1"/>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net investment income</w:t>
            </w: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34"/>
        </w:trPr>
        <w:tc>
          <w:tcPr>
            <w:tcW w:w="48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61"/>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Gross realized gains and losses (excluding changes in impairment allowance and mark-to-market of derivatives) on available for sale fixed maturity investment transactions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Nine months ended September 30,</w:t>
            </w:r>
          </w:p>
        </w:tc>
        <w:tc>
          <w:tcPr>
            <w:tcW w:w="34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rPr>
              <w:t>2023</w:t>
            </w:r>
          </w:p>
        </w:tc>
        <w:tc>
          <w:tcPr>
            <w:tcW w:w="34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gains</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8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Gross losses</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305"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29"/>
          <w:szCs w:val="29"/>
          <w:b w:val="1"/>
          <w:bCs w:val="1"/>
          <w:color w:val="003366"/>
        </w:rPr>
      </w:pPr>
      <w:r>
        <w:rPr>
          <w:rFonts w:ascii="Arial" w:cs="Arial" w:eastAsia="Arial" w:hAnsi="Arial"/>
          <w:sz w:val="29"/>
          <w:szCs w:val="29"/>
          <w:b w:val="1"/>
          <w:bCs w:val="1"/>
          <w:color w:val="003366"/>
        </w:rPr>
        <w:t>Derivatives</w:t>
      </w:r>
    </w:p>
    <w:p>
      <w:pPr>
        <w:spacing w:after="0" w:line="27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AFG uses derivatives to mitigate certain market risks related to its investment portfolio and deferred compensation obligations to employees.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included in AFG’s Balance Sheet at fair value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September 30,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color w:val="auto"/>
              </w:rPr>
              <w:t>December 31, 2023</w:t>
            </w:r>
          </w:p>
        </w:tc>
      </w:tr>
      <w:tr>
        <w:trPr>
          <w:trHeight w:val="196"/>
        </w:trPr>
        <w:tc>
          <w:tcPr>
            <w:tcW w:w="5260" w:type="dxa"/>
            <w:vAlign w:val="bottom"/>
          </w:tcPr>
          <w:p>
            <w:pPr>
              <w:spacing w:after="0"/>
              <w:rPr>
                <w:sz w:val="17"/>
                <w:szCs w:val="17"/>
                <w:color w:val="auto"/>
              </w:rPr>
            </w:pPr>
          </w:p>
        </w:tc>
        <w:tc>
          <w:tcPr>
            <w:tcW w:w="2340" w:type="dxa"/>
            <w:vAlign w:val="bottom"/>
            <w:gridSpan w:val="3"/>
          </w:tcPr>
          <w:p>
            <w:pPr>
              <w:ind w:left="20"/>
              <w:spacing w:after="0"/>
              <w:rPr>
                <w:sz w:val="20"/>
                <w:szCs w:val="20"/>
                <w:color w:val="auto"/>
              </w:rPr>
            </w:pPr>
            <w:r>
              <w:rPr>
                <w:rFonts w:ascii="Arial" w:cs="Arial" w:eastAsia="Arial" w:hAnsi="Arial"/>
                <w:sz w:val="14"/>
                <w:szCs w:val="14"/>
                <w:color w:val="auto"/>
              </w:rPr>
              <w:t>Balance Sheet Line</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Liability</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6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color w:val="auto"/>
              </w:rPr>
              <w:t>Liability</w:t>
            </w:r>
          </w:p>
        </w:tc>
      </w:tr>
      <w:tr>
        <w:trPr>
          <w:trHeight w:val="20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and qualifying as cash flow hedges:</w:t>
            </w: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  $</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22</w:t>
            </w:r>
          </w:p>
        </w:tc>
      </w:tr>
      <w:tr>
        <w:trPr>
          <w:trHeight w:val="217"/>
        </w:trPr>
        <w:tc>
          <w:tcPr>
            <w:tcW w:w="5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34"/>
        </w:trPr>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Under the terms of the swaps, AFG receives fixed-rate interest payments in exchange for variable interest payments based on SOFR. The notional amounts of the interest rate swaps generally decline over each swap’s respective life (the swaps expire between October 2024 and July 2028) in anticipation of the expected decline in AFG’s portfolio of fixed maturity securities with floating interest rates based on SOFR. The total outstanding notional amount of AFG’s interest rate swaps was $1.10 billion at September 30, 2024 compared to $1.30 billion at December 31, 2023, reflecting scheduled amortization and the expiration of three swaps with a total notional amount at expiration of $31 million during the third quarter of 2024. Amounts reclassified from AOCI to net earnings were losses of $6 million and $7 million in the third quarter of 2024 and 2023, respectively, and losses of $20 million and $19 million in the first nine months of 2024 and 2023, respectively. Based on forward interest rate curves at September 30, 2024, management estimates that it will reclassify approximately $10 million of pre-tax net losses on interest rate swaps in AOCI to net investment income over the next twelve months. The actual amount will vary based on changes in SOFR. A collateral receivable supporting these swaps of $29 million and $48 million at September 30, 2024 and December 31, 2023, respectively, is included in other assets in AFG’s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21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AFG is exposed to fair value changes from certain equity and fixed maturity market-based exposures related to its deferred compensation obligations to certain employees. To mitigate this risk, AFG entered into a total return swap in 2022. A liability to return collateral related to the swap of $1 million and $5 million is included in other liabilities on AFG’s Balance Sheet at September 30, 2024 and December 31, 2023,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gains (losses) included in AFG’s Statement of Earnings for changes in the fair value of derivatives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tcPr>
          <w:p>
            <w:pPr>
              <w:ind w:left="80"/>
              <w:spacing w:after="0"/>
              <w:rPr>
                <w:sz w:val="20"/>
                <w:szCs w:val="20"/>
                <w:color w:val="auto"/>
              </w:rPr>
            </w:pPr>
            <w:r>
              <w:rPr>
                <w:rFonts w:ascii="Arial" w:cs="Arial" w:eastAsia="Arial" w:hAnsi="Arial"/>
                <w:sz w:val="14"/>
                <w:szCs w:val="14"/>
                <w:color w:val="auto"/>
              </w:rPr>
              <w:t>Three months ended September 30,</w:t>
            </w:r>
          </w:p>
        </w:tc>
        <w:tc>
          <w:tcPr>
            <w:tcW w:w="120" w:type="dxa"/>
            <w:vAlign w:val="bottom"/>
          </w:tcPr>
          <w:p>
            <w:pPr>
              <w:spacing w:after="0"/>
              <w:rPr>
                <w:sz w:val="16"/>
                <w:szCs w:val="16"/>
                <w:color w:val="auto"/>
              </w:rPr>
            </w:pPr>
          </w:p>
        </w:tc>
        <w:tc>
          <w:tcPr>
            <w:tcW w:w="2360" w:type="dxa"/>
            <w:vAlign w:val="bottom"/>
            <w:gridSpan w:val="4"/>
          </w:tcPr>
          <w:p>
            <w:pPr>
              <w:jc w:val="right"/>
              <w:ind w:right="4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Statement of Earnings Line</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2024</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61"/>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Qualifying cash flow hedges:</w:t>
            </w:r>
          </w:p>
        </w:tc>
        <w:tc>
          <w:tcPr>
            <w:tcW w:w="2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Non-designated hedges: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6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Realized gains (losses) on</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CCEEFF"/>
          </w:tcPr>
          <w:p>
            <w:pPr>
              <w:spacing w:after="0"/>
              <w:rPr>
                <w:sz w:val="18"/>
                <w:szCs w:val="18"/>
                <w:color w:val="auto"/>
              </w:rPr>
            </w:pPr>
          </w:p>
        </w:tc>
        <w:tc>
          <w:tcPr>
            <w:tcW w:w="2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Earnings (losses) on non-designated hedges</w:t>
            </w:r>
          </w:p>
        </w:tc>
        <w:tc>
          <w:tcPr>
            <w:tcW w:w="2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earnings (losses) on derivatives</w:t>
            </w:r>
          </w:p>
        </w:tc>
        <w:tc>
          <w:tcPr>
            <w:tcW w:w="2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9"/>
          <w:szCs w:val="29"/>
          <w:b w:val="1"/>
          <w:bCs w:val="1"/>
          <w:color w:val="003366"/>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 is the investment manager and it has investments ranging from 13.3% to 100% of the most subordinate debt tranche of fourteen active collateralized loan obligation entities (“CLOs”), which are considered variable interest entities. AFG also owns portions of the senior debt tranches of certain of these CLOs. Upon formation between 2012 and 2024,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208"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AFG’s maximum exposure to economic loss on the CLOs that it manages is limited to its investment in those CLOs, which had an aggregate fair value of $164 million (including $142 million invested in the most subordinate tranches and $10 million invested in a temporary warehousing entity) at September 30, 2024.</w:t>
      </w:r>
    </w:p>
    <w:p>
      <w:pPr>
        <w:spacing w:after="0" w:line="21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the first nine months of 2024, AFG formed two new CLOs, which issued an aggregate $813 million face amount of liabilities (including $73 million face amount purchased by AFG). In March 2023, AFG formed one new CLO, which issued $407 million face amount of liabilities (including $16 million face amount purchased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progression of the fair value of AFG's investment in CLO tranches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3080" w:type="dxa"/>
            <w:vAlign w:val="bottom"/>
            <w:gridSpan w:val="6"/>
          </w:tcPr>
          <w:p>
            <w:pPr>
              <w:ind w:left="34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740" w:type="dxa"/>
            <w:vAlign w:val="bottom"/>
            <w:gridSpan w:val="4"/>
          </w:tcPr>
          <w:p>
            <w:pPr>
              <w:jc w:val="right"/>
              <w:ind w:right="300"/>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2023</w:t>
            </w: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Purchases</w:t>
            </w:r>
          </w:p>
        </w:tc>
        <w:tc>
          <w:tcPr>
            <w:tcW w:w="10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Change in accrued interest</w:t>
            </w:r>
          </w:p>
        </w:tc>
        <w:tc>
          <w:tcPr>
            <w:tcW w:w="10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 (*)</w:t>
            </w:r>
          </w:p>
        </w:tc>
        <w:tc>
          <w:tcPr>
            <w:tcW w:w="100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460" w:hanging="412"/>
        <w:spacing w:after="0" w:line="284" w:lineRule="auto"/>
        <w:tabs>
          <w:tab w:leader="none" w:pos="4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Excludes $10 million and $23 million invested in temporary warehousing entities at September 30, 2024 and 2023, respectively, that were established to provide AFG the ability to form new CLOs.</w:t>
      </w:r>
    </w:p>
    <w:p>
      <w:pPr>
        <w:spacing w:after="0" w:line="19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2023</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change in fair value of assets/liabilities (*):</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tcPr>
          <w:p>
            <w:pPr>
              <w:ind w:left="240"/>
              <w:spacing w:after="0"/>
              <w:rPr>
                <w:sz w:val="20"/>
                <w:szCs w:val="20"/>
                <w:color w:val="auto"/>
              </w:rPr>
            </w:pPr>
            <w:r>
              <w:rPr>
                <w:rFonts w:ascii="Arial" w:cs="Arial" w:eastAsia="Arial" w:hAnsi="Arial"/>
                <w:sz w:val="16"/>
                <w:szCs w:val="16"/>
                <w:color w:val="auto"/>
              </w:rPr>
              <w:t>Assets</w:t>
            </w:r>
          </w:p>
        </w:tc>
        <w:tc>
          <w:tcPr>
            <w:tcW w:w="1040" w:type="dxa"/>
            <w:vAlign w:val="bottom"/>
          </w:tcPr>
          <w:p>
            <w:pPr>
              <w:jc w:val="right"/>
              <w:ind w:right="865"/>
              <w:spacing w:after="0"/>
              <w:rPr>
                <w:sz w:val="20"/>
                <w:szCs w:val="20"/>
                <w:color w:val="auto"/>
              </w:rPr>
            </w:pPr>
            <w:r>
              <w:rPr>
                <w:rFonts w:ascii="Arial" w:cs="Arial" w:eastAsia="Arial" w:hAnsi="Arial"/>
                <w:sz w:val="16"/>
                <w:szCs w:val="16"/>
                <w:color w:val="auto"/>
                <w:w w:val="89"/>
              </w:rPr>
              <w:t>$</w:t>
            </w:r>
          </w:p>
        </w:tc>
        <w:tc>
          <w:tcPr>
            <w:tcW w:w="400" w:type="dxa"/>
            <w:vAlign w:val="bottom"/>
          </w:tcPr>
          <w:p>
            <w:pPr>
              <w:jc w:val="center"/>
              <w:ind w:lef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20" w:type="dxa"/>
            <w:vAlign w:val="bottom"/>
          </w:tcPr>
          <w:p>
            <w:pPr>
              <w:jc w:val="right"/>
              <w:ind w:right="94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116</w:t>
            </w:r>
          </w:p>
        </w:tc>
      </w:tr>
      <w:tr>
        <w:trPr>
          <w:trHeight w:val="217"/>
        </w:trPr>
        <w:tc>
          <w:tcPr>
            <w:tcW w:w="5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Management fees paid to AFG</w:t>
            </w:r>
          </w:p>
        </w:tc>
        <w:tc>
          <w:tcPr>
            <w:tcW w:w="1040" w:type="dxa"/>
            <w:vAlign w:val="bottom"/>
          </w:tcPr>
          <w:p>
            <w:pPr>
              <w:spacing w:after="0"/>
              <w:rPr>
                <w:sz w:val="18"/>
                <w:szCs w:val="18"/>
                <w:color w:val="auto"/>
              </w:rPr>
            </w:pPr>
          </w:p>
        </w:tc>
        <w:tc>
          <w:tcPr>
            <w:tcW w:w="400" w:type="dxa"/>
            <w:vAlign w:val="bottom"/>
          </w:tcPr>
          <w:p>
            <w:pPr>
              <w:jc w:val="center"/>
              <w:ind w:left="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attributable to AFG</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r>
    </w:tbl>
    <w:p>
      <w:pPr>
        <w:spacing w:after="0" w:line="140"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Included in revenues in AFG’s Statement of Earnings.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aggregate unpaid principal balance of the CLOs’ fixed maturity investments exceeded the fair value of the investments by $114 million and</w:t>
      </w:r>
    </w:p>
    <w:p>
      <w:pPr>
        <w:spacing w:after="0" w:line="2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$109 million at September 30, 2024 and December 31, 2023, respectively. The aggregate unpaid principal balance of the CLOs’ debt exceeded its carrying value by $274 million and $253 million at those dates, respectively. The CLO assets include loans with an aggregate fair value of $9 million at September 30, 2024 and $7 million at December 31, 2023, for which the CLOs are not accruing interest because the loans are in default (aggregate unpaid principal balance of $17 million at September 30, 2024 and $13 million at December 31, 2023).</w:t>
      </w:r>
    </w:p>
    <w:p>
      <w:pPr>
        <w:spacing w:after="0" w:line="20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addition to the CLOs that it manages, AFG had investments in CLOs that are managed by third parties (therefore not consolidated), which are included in available for sale fixed maturity securities and had a fair value of $1.30 billion at September 30, 2024 and $1.69 billion at December 31, 2023.</w:t>
      </w:r>
    </w:p>
    <w:p>
      <w:pPr>
        <w:spacing w:after="0" w:line="189"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29"/>
          <w:szCs w:val="29"/>
          <w:b w:val="1"/>
          <w:bCs w:val="1"/>
          <w:color w:val="003366"/>
        </w:rPr>
      </w:pPr>
      <w:r>
        <w:rPr>
          <w:rFonts w:ascii="Arial" w:cs="Arial" w:eastAsia="Arial" w:hAnsi="Arial"/>
          <w:sz w:val="29"/>
          <w:szCs w:val="29"/>
          <w:b w:val="1"/>
          <w:bCs w:val="1"/>
          <w:color w:val="003366"/>
        </w:rPr>
        <w:t>Goodwill and Other Intangibles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the goodwill balance of $305 million during the first nine months of 2024.</w:t>
      </w:r>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Included in other assets in AFG’s Balance Sheet is $199 million at September 30, 2024 and $213 million at December 31, 2023 in amortizable intangible assets related to acquisitions. These amounts are net of accumulated amortization of $53 million and $39 million, respectively. Amortization of intangibles was $5 million in both the third quarters of 2024 and 2023 and $14 million and $11 million in the first nine months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200" w:type="dxa"/>
            <w:vAlign w:val="bottom"/>
          </w:tcPr>
          <w:p>
            <w:pPr>
              <w:spacing w:after="0"/>
              <w:rPr>
                <w:sz w:val="20"/>
                <w:szCs w:val="20"/>
                <w:color w:val="auto"/>
              </w:rPr>
            </w:pPr>
            <w:r>
              <w:rPr>
                <w:rFonts w:ascii="Arial" w:cs="Arial" w:eastAsia="Arial" w:hAnsi="Arial"/>
                <w:sz w:val="29"/>
                <w:szCs w:val="29"/>
                <w:b w:val="1"/>
                <w:bCs w:val="1"/>
                <w:color w:val="003366"/>
              </w:rPr>
              <w:t>I.</w:t>
            </w:r>
          </w:p>
        </w:tc>
        <w:tc>
          <w:tcPr>
            <w:tcW w:w="5160" w:type="dxa"/>
            <w:vAlign w:val="bottom"/>
          </w:tcPr>
          <w:p>
            <w:pPr>
              <w:ind w:left="280"/>
              <w:spacing w:after="0"/>
              <w:rPr>
                <w:sz w:val="20"/>
                <w:szCs w:val="20"/>
                <w:color w:val="auto"/>
              </w:rPr>
            </w:pPr>
            <w:r>
              <w:rPr>
                <w:rFonts w:ascii="Arial" w:cs="Arial" w:eastAsia="Arial" w:hAnsi="Arial"/>
                <w:sz w:val="29"/>
                <w:szCs w:val="29"/>
                <w:b w:val="1"/>
                <w:bCs w:val="1"/>
                <w:color w:val="003366"/>
              </w:rPr>
              <w:t>Long-Term Debt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36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(in millions):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rPr>
              <w:t>September 30, 2024</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color w:val="auto"/>
              </w:rPr>
              <w:t>December 31, 2023</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8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0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740" w:type="dxa"/>
            <w:vAlign w:val="bottom"/>
          </w:tcPr>
          <w:p>
            <w:pPr>
              <w:jc w:val="right"/>
              <w:ind w:right="81"/>
              <w:spacing w:after="0" w:line="151"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740" w:type="dxa"/>
            <w:vAlign w:val="bottom"/>
          </w:tcPr>
          <w:p>
            <w:pPr>
              <w:jc w:val="right"/>
              <w:ind w:right="18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Senior Obligations of AFG:</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4.50% Senior Notes due June 2047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567</w:t>
            </w:r>
          </w:p>
        </w:tc>
        <w:tc>
          <w:tcPr>
            <w:tcW w:w="520" w:type="dxa"/>
            <w:vAlign w:val="bottom"/>
            <w:gridSpan w:val="3"/>
          </w:tcPr>
          <w:p>
            <w:pPr>
              <w:jc w:val="right"/>
              <w:ind w:right="18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567</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5.25% Senior Notes due April 2030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Subordinated Obligations of AFG:</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4.50% Subordinated Debentures due September 2060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5.125% Subordinated Debentures due December 2059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5.625% Subordinated Debentures due June 2060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5.875% Subordinated Debentures due March 2059</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9"/>
        </w:trPr>
        <w:tc>
          <w:tcPr>
            <w:tcW w:w="20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34"/>
        </w:trPr>
        <w:tc>
          <w:tcPr>
            <w:tcW w:w="2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Scheduled principal payments on debt for the balance of 2024, the subsequent five years and thereafter are as follows: 2024 — none; 2025 — none; 2026 — none; 2027 — none; 2028 — none; 2029 — none and thereafter — $1.50 billion.</w:t>
      </w:r>
    </w:p>
    <w:p>
      <w:pPr>
        <w:spacing w:after="0" w:line="185"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color w:val="auto"/>
        </w:rPr>
        <w:t>In the first six months of 2023, AFG repurchased $15 million principal amount of its 4.50% Senior Notes due in June 2047 for $13 million and $8 million principal amount of its 5.25% Senior Notes due in April 2030 for $8 million in open market transactions.</w:t>
      </w:r>
    </w:p>
    <w:p>
      <w:pPr>
        <w:spacing w:after="0" w:line="17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AFG can borrow up to $450 million under its revolving credit facility, which expires in June 2028. Amounts borrowed under this agreement bear interest, based on AFG’s credit rating, at rates ranging from 1.00% to 1.75% (currently 1.25%) over a SOFR-based floating rate. No amounts were borrowed under this facility at September 30, 2024 or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29"/>
          <w:szCs w:val="29"/>
          <w:b w:val="1"/>
          <w:bCs w:val="1"/>
          <w:color w:val="003366"/>
        </w:rPr>
      </w:pPr>
      <w:r>
        <w:rPr>
          <w:rFonts w:ascii="Arial" w:cs="Arial" w:eastAsia="Arial" w:hAnsi="Arial"/>
          <w:sz w:val="29"/>
          <w:szCs w:val="29"/>
          <w:b w:val="1"/>
          <w:bCs w:val="1"/>
          <w:color w:val="003366"/>
        </w:rPr>
        <w:t>Shareholders’ Equity</w:t>
      </w:r>
    </w:p>
    <w:p>
      <w:pPr>
        <w:spacing w:after="0" w:line="27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AFG is authorized to issue 12.5 million shares of Voting Preferred Stock and 12.5 million shares of Nonvoting Preferred Stock, each without par value.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Accumulated Other Comprehensive Income (Loss), Net of Tax (“AOCI”) </w:t>
      </w:r>
      <w:r>
        <w:rPr>
          <w:rFonts w:ascii="Arial" w:cs="Arial" w:eastAsia="Arial" w:hAnsi="Arial"/>
          <w:sz w:val="17"/>
          <w:szCs w:val="17"/>
          <w:color w:val="000000"/>
        </w:rPr>
        <w:t>Comprehensive income is defined as all changes in</w:t>
      </w:r>
    </w:p>
    <w:p>
      <w:pPr>
        <w:spacing w:after="0" w:line="30"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progression of the components of accumulated other comprehensive income (loss)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Quarter ended September 30, 2024</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auto"/>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Quarter ended September 30, 2023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(521)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9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Nine months ended September 30, 2024</w:t>
            </w:r>
          </w:p>
        </w:tc>
        <w:tc>
          <w:tcPr>
            <w:tcW w:w="29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183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Nine months ended September 30, 2023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(521)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reclassification adjustments affected the following lines in AFG’s Statement of Earnings:</w:t>
      </w:r>
    </w:p>
    <w:p>
      <w:pPr>
        <w:sectPr>
          <w:pgSz w:w="11900" w:h="16838" w:orient="portrait"/>
          <w:cols w:equalWidth="0" w:num="1">
            <w:col w:w="11240"/>
          </w:cols>
          <w:pgMar w:left="320" w:top="115" w:right="339" w:bottom="1440" w:gutter="0" w:footer="0" w:header="0"/>
        </w:sectPr>
      </w:pPr>
    </w:p>
    <w:p>
      <w:pPr>
        <w:spacing w:after="0" w:line="5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OCI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21590</wp:posOffset>
            </wp:positionV>
            <wp:extent cx="30257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4" w:lineRule="exact"/>
        <w:rPr>
          <w:sz w:val="20"/>
          <w:szCs w:val="20"/>
          <w:color w:val="auto"/>
        </w:rPr>
      </w:pPr>
    </w:p>
    <w:p>
      <w:pPr>
        <w:ind w:left="520" w:right="160"/>
        <w:spacing w:after="0" w:line="321" w:lineRule="auto"/>
        <w:rPr>
          <w:sz w:val="20"/>
          <w:szCs w:val="20"/>
          <w:color w:val="auto"/>
        </w:rPr>
      </w:pPr>
      <w:r>
        <w:rPr>
          <w:rFonts w:ascii="Arial" w:cs="Arial" w:eastAsia="Arial" w:hAnsi="Arial"/>
          <w:sz w:val="15"/>
          <w:szCs w:val="15"/>
          <w:color w:val="auto"/>
        </w:rPr>
        <w:t>Pretax - Net unrealized gains (losses) on securities Pretax - Net unrealized gains (losses) on cash flow hedges Tax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Affected line in the statement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3265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Realized gains (losses) on securities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Provision for income taxes</w:t>
      </w:r>
    </w:p>
    <w:p>
      <w:pPr>
        <w:spacing w:after="0" w:line="200" w:lineRule="exact"/>
        <w:rPr>
          <w:sz w:val="20"/>
          <w:szCs w:val="20"/>
          <w:color w:val="auto"/>
        </w:rPr>
      </w:pPr>
    </w:p>
    <w:p>
      <w:pPr>
        <w:sectPr>
          <w:pgSz w:w="11900" w:h="16838" w:orient="portrait"/>
          <w:cols w:equalWidth="0" w:num="2">
            <w:col w:w="4660" w:space="720"/>
            <w:col w:w="5860"/>
          </w:cols>
          <w:pgMar w:left="320" w:top="115" w:right="339" w:bottom="1440" w:gutter="0" w:footer="0" w:header="0"/>
          <w:type w:val="continuous"/>
        </w:sectPr>
      </w:pPr>
    </w:p>
    <w:p>
      <w:pPr>
        <w:spacing w:after="0" w:line="175"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b w:val="1"/>
          <w:bCs w:val="1"/>
          <w:color w:val="003366"/>
        </w:rPr>
        <w:t xml:space="preserve">Stock Incentive Plans </w:t>
      </w:r>
      <w:r>
        <w:rPr>
          <w:rFonts w:ascii="Arial" w:cs="Arial" w:eastAsia="Arial" w:hAnsi="Arial"/>
          <w:sz w:val="17"/>
          <w:szCs w:val="17"/>
          <w:color w:val="000000"/>
        </w:rPr>
        <w:t>Under AFG’s stock incentive plans, employees of AFG and its subsidiaries are eligible to receive equity awards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form of stock options, stock appreciation rights, restricted stock awards, restricted stock units and stock awards. In the first nine months of 2024, AFG issued 157,681 shares of restricted Common Stock (fair value of $126.24 per share) under the stock incentive plans.</w:t>
      </w:r>
    </w:p>
    <w:p>
      <w:pPr>
        <w:spacing w:after="0" w:line="212" w:lineRule="exact"/>
        <w:rPr>
          <w:sz w:val="20"/>
          <w:szCs w:val="20"/>
          <w:color w:val="auto"/>
        </w:rPr>
      </w:pPr>
    </w:p>
    <w:p>
      <w:pPr>
        <w:ind w:right="320"/>
        <w:spacing w:after="0" w:line="301" w:lineRule="auto"/>
        <w:rPr>
          <w:sz w:val="20"/>
          <w:szCs w:val="20"/>
          <w:color w:val="auto"/>
        </w:rPr>
      </w:pPr>
      <w:r>
        <w:rPr>
          <w:rFonts w:ascii="Arial" w:cs="Arial" w:eastAsia="Arial" w:hAnsi="Arial"/>
          <w:sz w:val="17"/>
          <w:szCs w:val="17"/>
          <w:color w:val="auto"/>
        </w:rPr>
        <w:t>Total compensation expense related to stock incentive plans of AFG and its subsidiaries was $4 million and $5 million in the third quarter of 2024 and 2023, respectively, and $13 million and $14 million in the first nine months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23"/>
        </w:numPr>
        <w:rPr>
          <w:rFonts w:ascii="Arial" w:cs="Arial" w:eastAsia="Arial" w:hAnsi="Arial"/>
          <w:sz w:val="29"/>
          <w:szCs w:val="29"/>
          <w:b w:val="1"/>
          <w:bCs w:val="1"/>
          <w:color w:val="003366"/>
        </w:rPr>
      </w:pPr>
      <w:r>
        <w:rPr>
          <w:rFonts w:ascii="Arial" w:cs="Arial" w:eastAsia="Arial" w:hAnsi="Arial"/>
          <w:sz w:val="29"/>
          <w:szCs w:val="29"/>
          <w:b w:val="1"/>
          <w:bCs w:val="1"/>
          <w:color w:val="003366"/>
        </w:rPr>
        <w:t>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at the statutory rate of 21% to the provision for income taxes as shown in AFG’s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Earnings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gridSpan w:val="11"/>
          </w:tcPr>
          <w:p>
            <w:pPr>
              <w:ind w:left="560"/>
              <w:spacing w:after="0"/>
              <w:rPr>
                <w:sz w:val="20"/>
                <w:szCs w:val="20"/>
                <w:color w:val="auto"/>
              </w:rPr>
            </w:pPr>
            <w:r>
              <w:rPr>
                <w:rFonts w:ascii="Arial" w:cs="Arial" w:eastAsia="Arial" w:hAnsi="Arial"/>
                <w:sz w:val="15"/>
                <w:szCs w:val="15"/>
                <w:color w:val="auto"/>
              </w:rPr>
              <w:t>Three months ended September 30,</w:t>
            </w:r>
          </w:p>
        </w:tc>
        <w:tc>
          <w:tcPr>
            <w:tcW w:w="120" w:type="dxa"/>
            <w:vAlign w:val="bottom"/>
          </w:tcPr>
          <w:p>
            <w:pPr>
              <w:spacing w:after="0"/>
              <w:rPr>
                <w:sz w:val="17"/>
                <w:szCs w:val="17"/>
                <w:color w:val="auto"/>
              </w:rPr>
            </w:pPr>
          </w:p>
        </w:tc>
        <w:tc>
          <w:tcPr>
            <w:tcW w:w="3840" w:type="dxa"/>
            <w:vAlign w:val="bottom"/>
            <w:gridSpan w:val="8"/>
          </w:tcPr>
          <w:p>
            <w:pPr>
              <w:jc w:val="right"/>
              <w:ind w:right="71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680"/>
              <w:spacing w:after="0"/>
              <w:rPr>
                <w:sz w:val="20"/>
                <w:szCs w:val="20"/>
                <w:color w:val="auto"/>
              </w:rPr>
            </w:pPr>
            <w:r>
              <w:rPr>
                <w:rFonts w:ascii="Arial" w:cs="Arial" w:eastAsia="Arial" w:hAnsi="Arial"/>
                <w:sz w:val="15"/>
                <w:szCs w:val="15"/>
                <w:color w:val="auto"/>
                <w:w w:val="95"/>
              </w:rPr>
              <w:t>2024</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680"/>
              <w:spacing w:after="0"/>
              <w:rPr>
                <w:sz w:val="20"/>
                <w:szCs w:val="20"/>
                <w:color w:val="auto"/>
              </w:rPr>
            </w:pPr>
            <w:r>
              <w:rPr>
                <w:rFonts w:ascii="Arial" w:cs="Arial" w:eastAsia="Arial" w:hAnsi="Arial"/>
                <w:sz w:val="15"/>
                <w:szCs w:val="15"/>
                <w:color w:val="auto"/>
                <w:w w:val="95"/>
              </w:rPr>
              <w:t>2023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gridSpan w:val="3"/>
          </w:tcPr>
          <w:p>
            <w:pPr>
              <w:jc w:val="right"/>
              <w:ind w:right="719"/>
              <w:spacing w:after="0"/>
              <w:rPr>
                <w:sz w:val="20"/>
                <w:szCs w:val="20"/>
                <w:color w:val="auto"/>
              </w:rPr>
            </w:pPr>
            <w:r>
              <w:rPr>
                <w:rFonts w:ascii="Arial" w:cs="Arial" w:eastAsia="Arial" w:hAnsi="Arial"/>
                <w:sz w:val="15"/>
                <w:szCs w:val="15"/>
                <w:color w:val="auto"/>
              </w:rPr>
              <w:t>2024</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3"/>
          </w:tcPr>
          <w:p>
            <w:pPr>
              <w:jc w:val="right"/>
              <w:ind w:right="71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5"/>
                <w:szCs w:val="15"/>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5"/>
                <w:szCs w:val="15"/>
                <w:color w:val="auto"/>
                <w:w w:val="96"/>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5"/>
                <w:szCs w:val="15"/>
                <w:color w:val="auto"/>
              </w:rPr>
              <w:t>Amount</w:t>
            </w:r>
          </w:p>
        </w:tc>
        <w:tc>
          <w:tcPr>
            <w:tcW w:w="1000" w:type="dxa"/>
            <w:vAlign w:val="bottom"/>
          </w:tcPr>
          <w:p>
            <w:pPr>
              <w:jc w:val="right"/>
              <w:ind w:right="99"/>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Amount</w:t>
            </w:r>
          </w:p>
        </w:tc>
        <w:tc>
          <w:tcPr>
            <w:tcW w:w="1020" w:type="dxa"/>
            <w:vAlign w:val="bottom"/>
          </w:tcPr>
          <w:p>
            <w:pPr>
              <w:jc w:val="right"/>
              <w:ind w:right="99"/>
              <w:spacing w:after="0"/>
              <w:rPr>
                <w:sz w:val="20"/>
                <w:szCs w:val="20"/>
                <w:color w:val="auto"/>
              </w:rPr>
            </w:pPr>
            <w:r>
              <w:rPr>
                <w:rFonts w:ascii="Arial" w:cs="Arial" w:eastAsia="Arial" w:hAnsi="Arial"/>
                <w:sz w:val="15"/>
                <w:szCs w:val="15"/>
                <w:color w:val="auto"/>
              </w:rPr>
              <w:t>% of EBT</w:t>
            </w:r>
          </w:p>
        </w:tc>
        <w:tc>
          <w:tcPr>
            <w:tcW w:w="0" w:type="dxa"/>
            <w:vAlign w:val="bottom"/>
          </w:tcPr>
          <w:p>
            <w:pPr>
              <w:spacing w:after="0"/>
              <w:rPr>
                <w:sz w:val="1"/>
                <w:szCs w:val="1"/>
                <w:color w:val="auto"/>
              </w:rPr>
            </w:pPr>
          </w:p>
        </w:tc>
      </w:tr>
      <w:tr>
        <w:trPr>
          <w:trHeight w:val="236"/>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Employee stock ownership plan dividend</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paid deduction</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Tax exempt interest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Change in valuation allowance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received deduction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Nondeductible expenses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 related to sale of subsidiary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Adjustment to prior year taxes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operations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43"/>
        </w:trPr>
        <w:tc>
          <w:tcPr>
            <w:tcW w:w="336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Provision for income taxes as shown in the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1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1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statement of earnings</w:t>
            </w: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the second quarter of 2024, AFG recorded $4 million in net tax expense related to a pending IRS settlement regarding the sale of a subsidiary in a prior year.</w:t>
      </w:r>
    </w:p>
    <w:p>
      <w:pPr>
        <w:spacing w:after="0" w:line="19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On January 1, 2023, the two major tax provisions in the Inflation Reduction Act (“IRA”) became effective. The IRA created a new corporate alternative minimum tax (“CAMT”) based on the earnings that a company reports in its financial statements and imposes a 1% excise tax on corporate stock repurchases. Any CAMT incurred would be available to offset taxes payable under the standard calculation in future periods. Accordingly, the CAMT is a timing difference and would result in the recording of an offsetting deferred tax asset with no impact on overall income tax expense. Based on recently issued proposed regulations, while AFG meets the financial statement income thresholds to be subject to CAMT, management does not believe AFG will incur a CAMT liability for 2024. The excise tax on stock repurchases in excess of any issuances is recorded as part of the cost of the repurchases directly in shareholders’ equity.</w:t>
      </w:r>
    </w:p>
    <w:p>
      <w:pPr>
        <w:spacing w:after="0" w:line="209"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The Organisation for Economic Co-operation and Development, an intergovernmental organization with 38 member countries, has proposed a global minimum corporate tax rate of 15% (“Pillar Two”). Due to AFG’s limited international operations and the tax rate AFG is subject to in those jurisdictions, management does not believe Pillar Two will have a material impact on AFG’s results of operations.</w:t>
      </w:r>
    </w:p>
    <w:p>
      <w:pPr>
        <w:spacing w:after="0" w:line="202"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29"/>
          <w:szCs w:val="29"/>
          <w:b w:val="1"/>
          <w:bCs w:val="1"/>
          <w:color w:val="003366"/>
        </w:rPr>
      </w:pPr>
      <w:r>
        <w:rPr>
          <w:rFonts w:ascii="Arial" w:cs="Arial" w:eastAsia="Arial" w:hAnsi="Arial"/>
          <w:sz w:val="29"/>
          <w:szCs w:val="29"/>
          <w:b w:val="1"/>
          <w:bCs w:val="1"/>
          <w:color w:val="003366"/>
        </w:rPr>
        <w:t>Contingencies</w:t>
      </w:r>
    </w:p>
    <w:p>
      <w:pPr>
        <w:spacing w:after="0" w:line="259"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 xml:space="preserve">There have been no significant changes to the matters discussed and referred to in </w:t>
      </w:r>
      <w:r>
        <w:rPr>
          <w:rFonts w:ascii="Arial" w:cs="Arial" w:eastAsia="Arial" w:hAnsi="Arial"/>
          <w:sz w:val="17"/>
          <w:szCs w:val="17"/>
          <w:i w:val="1"/>
          <w:iCs w:val="1"/>
          <w:color w:val="auto"/>
        </w:rPr>
        <w:t>Note N — “Contingencies”</w:t>
      </w:r>
      <w:r>
        <w:rPr>
          <w:rFonts w:ascii="Arial" w:cs="Arial" w:eastAsia="Arial" w:hAnsi="Arial"/>
          <w:sz w:val="17"/>
          <w:szCs w:val="17"/>
          <w:color w:val="auto"/>
        </w:rPr>
        <w:t xml:space="preserve"> of AFG’s 2023 Form 10-K, which covers property and casualty insurance reserves for claims related to environmental exposures, asbestos and other mass tort claims and environmental and occupational injury and disease claims of subsidiaries’ former railroad and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29"/>
          <w:szCs w:val="29"/>
          <w:b w:val="1"/>
          <w:bCs w:val="1"/>
          <w:color w:val="003366"/>
        </w:rPr>
      </w:pPr>
      <w:r>
        <w:rPr>
          <w:rFonts w:ascii="Arial" w:cs="Arial" w:eastAsia="Arial" w:hAnsi="Arial"/>
          <w:sz w:val="29"/>
          <w:szCs w:val="29"/>
          <w:b w:val="1"/>
          <w:bCs w:val="1"/>
          <w:color w:val="003366"/>
        </w:rPr>
        <w:t>Insurance</w:t>
      </w:r>
    </w:p>
    <w:p>
      <w:pPr>
        <w:spacing w:after="0" w:line="271" w:lineRule="exact"/>
        <w:rPr>
          <w:sz w:val="20"/>
          <w:szCs w:val="20"/>
          <w:color w:val="auto"/>
        </w:rPr>
      </w:pPr>
    </w:p>
    <w:p>
      <w:pPr>
        <w:ind w:right="760"/>
        <w:spacing w:after="0" w:line="237" w:lineRule="auto"/>
        <w:rPr>
          <w:sz w:val="20"/>
          <w:szCs w:val="20"/>
          <w:color w:val="auto"/>
        </w:rPr>
      </w:pPr>
      <w:r>
        <w:rPr>
          <w:rFonts w:ascii="Arial" w:cs="Arial" w:eastAsia="Arial" w:hAnsi="Arial"/>
          <w:sz w:val="20"/>
          <w:szCs w:val="20"/>
          <w:b w:val="1"/>
          <w:bCs w:val="1"/>
          <w:color w:val="003366"/>
        </w:rPr>
        <w:t xml:space="preserve">Property and Casualty Insurance Reserves </w:t>
      </w:r>
      <w:r>
        <w:rPr>
          <w:rFonts w:ascii="Arial" w:cs="Arial" w:eastAsia="Arial" w:hAnsi="Arial"/>
          <w:sz w:val="17"/>
          <w:szCs w:val="17"/>
          <w:color w:val="000000"/>
        </w:rPr>
        <w:t>The following table provides an analysis of changes in the liability for losses and loss</w:t>
      </w:r>
      <w:r>
        <w:rPr>
          <w:rFonts w:ascii="Arial" w:cs="Arial" w:eastAsia="Arial" w:hAnsi="Arial"/>
          <w:sz w:val="20"/>
          <w:szCs w:val="20"/>
          <w:b w:val="1"/>
          <w:bCs w:val="1"/>
          <w:color w:val="003366"/>
        </w:rPr>
        <w:t xml:space="preserve"> </w:t>
      </w:r>
      <w:r>
        <w:rPr>
          <w:rFonts w:ascii="Arial" w:cs="Arial" w:eastAsia="Arial" w:hAnsi="Arial"/>
          <w:sz w:val="17"/>
          <w:szCs w:val="17"/>
          <w:color w:val="000000"/>
        </w:rPr>
        <w:t>adjustment expenses during the first nine months of 2024 and 2023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8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2023</w:t>
            </w: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13,087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11,974</w:t>
            </w:r>
          </w:p>
        </w:tc>
      </w:tr>
      <w:tr>
        <w:trPr>
          <w:trHeight w:val="21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reinsurance recoverables, net of allowance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liability at beginning of year</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8,207</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Provision for losses and LAE occurring in the current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3,132</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the provision for claims of 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losses and LAE incurred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2,964</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losses and LAE of:</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812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(743)</w:t>
            </w:r>
          </w:p>
        </w:tc>
      </w:tr>
      <w:tr>
        <w:trPr>
          <w:trHeight w:val="217"/>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payments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(2,488)</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and other</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120" w:type="dxa"/>
            <w:vAlign w:val="bottom"/>
          </w:tcPr>
          <w:p>
            <w:pPr>
              <w:ind w:left="20"/>
              <w:spacing w:after="0"/>
              <w:rPr>
                <w:sz w:val="20"/>
                <w:szCs w:val="20"/>
                <w:color w:val="auto"/>
              </w:rPr>
            </w:pPr>
            <w:r>
              <w:rPr>
                <w:rFonts w:ascii="Arial" w:cs="Arial" w:eastAsia="Arial" w:hAnsi="Arial"/>
                <w:sz w:val="16"/>
                <w:szCs w:val="16"/>
                <w:color w:val="auto"/>
              </w:rPr>
              <w:t>Net liability at end of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8,684</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4,207</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 at 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14,206</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12,891</w:t>
            </w:r>
          </w:p>
        </w:tc>
      </w:tr>
      <w:tr>
        <w:trPr>
          <w:trHeight w:val="21"/>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net decrease in the provision for claims of prior years during the first nine months of 2024 reflects (i) lower than anticipated losses in the crop business, lower than expected claim severity in the property and inland marine and aviation businesses and lower than anticipated claim severity and frequency in the ocean marine business (within the Property and transportation sub-segment), (ii) lower than anticipated claim severity in the workers’ compensation businesses and lower than expected claim frequency and severity in the executive liability business (within the Specialty casualty sub-segment) and (iii) lower than anticipated claim frequency and severity in the fidelity and financial institutions businesses and lower than expected claim frequency in the trade credit business (within the Specialty financial sub-segment). This favorable development was partially offset by</w:t>
      </w:r>
    </w:p>
    <w:p>
      <w:pPr>
        <w:spacing w:after="0" w:line="3" w:lineRule="exact"/>
        <w:rPr>
          <w:sz w:val="20"/>
          <w:szCs w:val="20"/>
          <w:color w:val="auto"/>
        </w:rPr>
      </w:pPr>
    </w:p>
    <w:p>
      <w:pPr>
        <w:ind w:right="200" w:firstLine="8"/>
        <w:spacing w:after="0" w:line="254" w:lineRule="auto"/>
        <w:tabs>
          <w:tab w:leader="none" w:pos="199" w:val="left"/>
        </w:tabs>
        <w:numPr>
          <w:ilvl w:val="0"/>
          <w:numId w:val="26"/>
        </w:numPr>
        <w:rPr>
          <w:rFonts w:ascii="Arial" w:cs="Arial" w:eastAsia="Arial" w:hAnsi="Arial"/>
          <w:sz w:val="17"/>
          <w:szCs w:val="17"/>
          <w:color w:val="auto"/>
        </w:rPr>
      </w:pPr>
      <w:r>
        <w:rPr>
          <w:rFonts w:ascii="Arial" w:cs="Arial" w:eastAsia="Arial" w:hAnsi="Arial"/>
          <w:sz w:val="17"/>
          <w:szCs w:val="17"/>
          <w:color w:val="auto"/>
        </w:rPr>
        <w:t>higher than anticipated claim severity in the umbrella and excess liability businesses, public sector and general liability businesses and higher than expected claim frequency and severity in the social services business (within the Specialty casualty sub-segment), (ii) higher than anticipated claim severity in the innovative markets and surety businesses (within the Specialty financial sub-segment) and (iii) net adverse development associated with AFG’s internal reinsurance program (within Other specialty).</w:t>
      </w:r>
    </w:p>
    <w:p>
      <w:pPr>
        <w:spacing w:after="0" w:line="22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net decrease in the provision for claims of prior years during the first nine months of 2023 reflects (i) lower than anticipated losses in the crop business, lower than expected claim frequency and severity across the transportation businesses and lower than anticipated claim frequency in the property and inland marine business (within the Property and transportation sub-segment), (ii) lower than anticipated claim severity in the workers’ compensation businesses, lower than expected claim frequency in the executive liability and environmental businesses and favorable reserve development related to COVID-19 losses across several businesses (within the Specialty casualty sub-segment) and (iii) lower than anticipated claim frequency in the trade credit and financial institutions businesses and lower than expected claim frequency and severity in the surety business (within the Specialty financial sub-segment). This favorable development was partially offset by higher than anticipated claim severity in the public sector and excess liability businesses (within 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b w:val="1"/>
          <w:bCs w:val="1"/>
          <w:color w:val="003366"/>
        </w:rPr>
        <w:t xml:space="preserve">Recoverables from Reinsurers and Premiums Receivable </w:t>
      </w:r>
      <w:r>
        <w:rPr>
          <w:rFonts w:ascii="Arial" w:cs="Arial" w:eastAsia="Arial" w:hAnsi="Arial"/>
          <w:sz w:val="17"/>
          <w:szCs w:val="17"/>
          <w:color w:val="000000"/>
        </w:rPr>
        <w:t>Progressions of the 2024 and 2023 allowance for expected credit losses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recoverables from reinsurers and premiums receivable are shown below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color w:val="auto"/>
              </w:rPr>
              <w:t>Recoverables from Reinsurers</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3"/>
                <w:szCs w:val="13"/>
                <w:color w:val="auto"/>
              </w:rPr>
              <w:t>Premiums Receivable</w:t>
            </w:r>
          </w:p>
        </w:tc>
      </w:tr>
      <w:tr>
        <w:trPr>
          <w:trHeight w:val="201"/>
        </w:trPr>
        <w:tc>
          <w:tcPr>
            <w:tcW w:w="5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rPr>
              <w:t>2023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5"/>
                <w:szCs w:val="15"/>
                <w:color w:val="auto"/>
              </w:rPr>
              <w:t>2023</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Increase in allowance from acquisition of CRS</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w:t>
            </w:r>
          </w:p>
        </w:tc>
        <w:tc>
          <w:tcPr>
            <w:tcW w:w="96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Increase in allowance from acquisition of CRS</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w:t>
            </w:r>
          </w:p>
        </w:tc>
        <w:tc>
          <w:tcPr>
            <w:tcW w:w="96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940"/>
        <w:spacing w:after="0" w:line="297" w:lineRule="auto"/>
        <w:rPr>
          <w:sz w:val="20"/>
          <w:szCs w:val="20"/>
          <w:color w:val="auto"/>
        </w:rPr>
      </w:pPr>
      <w:r>
        <w:rPr>
          <w:rFonts w:ascii="Arial" w:cs="Arial" w:eastAsia="Arial" w:hAnsi="Arial"/>
          <w:sz w:val="36"/>
          <w:szCs w:val="36"/>
          <w:b w:val="1"/>
          <w:bCs w:val="1"/>
          <w:color w:val="003366"/>
        </w:rPr>
        <w:t>ITEM 2. Management’s Discussion and Analysis of Financial Condition and Results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66"/>
        </w:rPr>
        <w:t>INDEX TO MD&amp;A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Page</w:t>
            </w:r>
          </w:p>
        </w:tc>
        <w:tc>
          <w:tcPr>
            <w:tcW w:w="5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r>
      <w:tr>
        <w:trPr>
          <w:trHeight w:val="23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Forward-Looking Statements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33</w:t>
            </w:r>
          </w:p>
        </w:tc>
        <w:tc>
          <w:tcPr>
            <w:tcW w:w="6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20"/>
                <w:szCs w:val="20"/>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Overview</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34</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General</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Critical Accounting Policies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34</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 — Third Quarter</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46</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Liquidity and Capital Resources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46</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Ratios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47</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Condensed Consolidated Cash Flows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57</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Parent and Subsidiary Liquidity</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36</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 — First Nine Months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60</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Investments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37</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60</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Uncertainties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40</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61</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Managed Investment Entities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41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70</w:t>
            </w:r>
          </w:p>
        </w:tc>
        <w:tc>
          <w:tcPr>
            <w:tcW w:w="20" w:type="dxa"/>
            <w:vAlign w:val="bottom"/>
          </w:tcPr>
          <w:p>
            <w:pPr>
              <w:spacing w:after="0"/>
              <w:rPr>
                <w:sz w:val="18"/>
                <w:szCs w:val="18"/>
                <w:color w:val="auto"/>
              </w:rPr>
            </w:pPr>
          </w:p>
        </w:tc>
      </w:tr>
      <w:tr>
        <w:trPr>
          <w:trHeight w:val="223"/>
        </w:trPr>
        <w:tc>
          <w:tcPr>
            <w:tcW w:w="5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Recent Accounting Standards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73</w:t>
            </w:r>
          </w:p>
        </w:tc>
        <w:tc>
          <w:tcPr>
            <w:tcW w:w="20" w:type="dxa"/>
            <w:vAlign w:val="bottom"/>
          </w:tcPr>
          <w:p>
            <w:pPr>
              <w:spacing w:after="0"/>
              <w:rPr>
                <w:sz w:val="19"/>
                <w:szCs w:val="19"/>
                <w:color w:val="auto"/>
              </w:rPr>
            </w:pPr>
          </w:p>
        </w:tc>
      </w:tr>
      <w:tr>
        <w:trPr>
          <w:trHeight w:val="88"/>
        </w:trPr>
        <w:tc>
          <w:tcPr>
            <w:tcW w:w="5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FORWARD-LOOKING STATEMENTS</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Actual results and/or financial condition could differ materially from those contained in or implied by such forward-looking statements for a variety of reasons including but not limited to the following and the risks and uncertainties AFG describes in the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of its most recent Annual Report on Form 10-K, as updated by its other reports filed with the Securities and Exchange Commission.</w:t>
      </w:r>
    </w:p>
    <w:p>
      <w:pPr>
        <w:spacing w:after="0" w:line="2" w:lineRule="exact"/>
        <w:rPr>
          <w:sz w:val="20"/>
          <w:szCs w:val="20"/>
          <w:color w:val="auto"/>
        </w:rPr>
      </w:pPr>
    </w:p>
    <w:p>
      <w:pPr>
        <w:ind w:left="580" w:right="180" w:hanging="329"/>
        <w:spacing w:after="0" w:line="248"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financial, political and economic conditions, including changes in interest and inflation rates, currency fluctuations and extended economic recessions or expansions in the U.S. and/or abroad;</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performance of securities markets;</w:t>
      </w:r>
    </w:p>
    <w:p>
      <w:pPr>
        <w:spacing w:after="0" w:line="13" w:lineRule="exact"/>
        <w:rPr>
          <w:rFonts w:ascii="Arial" w:cs="Arial" w:eastAsia="Arial" w:hAnsi="Arial"/>
          <w:sz w:val="17"/>
          <w:szCs w:val="17"/>
          <w:color w:val="auto"/>
        </w:rPr>
      </w:pPr>
    </w:p>
    <w:p>
      <w:pPr>
        <w:ind w:left="580" w:right="800" w:hanging="329"/>
        <w:spacing w:after="0" w:line="253"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new legislation or declines in credit quality or credit ratings that could have a material impact on the valuation of securities in AFG’s investment portfolio;</w:t>
      </w: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insurance law or regulation, including changes in statutory accounting rules, including modifications to capital requirements;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legal environment affecting AFG or its customers;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tax law and accounting changes;</w:t>
      </w:r>
    </w:p>
    <w:p>
      <w:pPr>
        <w:spacing w:after="0" w:line="13" w:lineRule="exact"/>
        <w:rPr>
          <w:rFonts w:ascii="Arial" w:cs="Arial" w:eastAsia="Arial" w:hAnsi="Arial"/>
          <w:sz w:val="17"/>
          <w:szCs w:val="17"/>
          <w:color w:val="auto"/>
        </w:rPr>
      </w:pPr>
    </w:p>
    <w:p>
      <w:pPr>
        <w:ind w:left="580" w:right="500" w:hanging="329"/>
        <w:spacing w:after="0" w:line="253"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levels of natural catastrophes and severe weather, terrorist activities (including any nuclear, biological, chemical or radiological events), incidents of war or losses resulting from pandemics, civil unrest and other major losses;</w:t>
      </w:r>
    </w:p>
    <w:p>
      <w:pPr>
        <w:ind w:left="580" w:right="340" w:hanging="329"/>
        <w:spacing w:after="0" w:line="248"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disruption caused by cyber-attacks or other technology breaches or failures by AFG or its business partners and service providers, which could negatively impact AFG’s business and/or expose AFG to litigation;</w:t>
      </w:r>
    </w:p>
    <w:p>
      <w:pPr>
        <w:spacing w:after="0" w:line="1" w:lineRule="exact"/>
        <w:rPr>
          <w:rFonts w:ascii="Arial" w:cs="Arial" w:eastAsia="Arial" w:hAnsi="Arial"/>
          <w:sz w:val="17"/>
          <w:szCs w:val="17"/>
          <w:color w:val="auto"/>
        </w:rPr>
      </w:pPr>
    </w:p>
    <w:p>
      <w:pPr>
        <w:ind w:left="580" w:right="180" w:hanging="329"/>
        <w:spacing w:after="0" w:line="256"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 of insurance loss reserves and establishment of other reserves, particularly with respect to amounts associated with asbestos and environmental claims;</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availability of reinsurance and ability of reinsurers to pay their obligations;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competitive pressures;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obtain adequate rates and policy terms;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AFG’s credit ratings or the financial strength ratings assigned by major ratings agencies to AFG’s operating subsidiaries;</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the conditions in the international financial markets and the global economy relating to AFG’s international operations; and</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effects on AFG’s reputation, including as a result of environmental, social and governance matters.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The forward-looking statements herein are made only as of the date of this report. The Company assumes no obligation to publicly update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OBJECTIVE</w:t>
      </w:r>
    </w:p>
    <w:p>
      <w:pPr>
        <w:spacing w:after="0" w:line="45"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2.</w:t>
      </w:r>
    </w:p>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OVERVIEW</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Financial Condition</w:t>
      </w:r>
    </w:p>
    <w:p>
      <w:pPr>
        <w:spacing w:after="0" w:line="2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Results of Operations</w:t>
      </w:r>
    </w:p>
    <w:p>
      <w:pPr>
        <w:spacing w:after="0" w:line="28" w:lineRule="exact"/>
        <w:rPr>
          <w:sz w:val="20"/>
          <w:szCs w:val="20"/>
          <w:color w:val="auto"/>
        </w:rPr>
      </w:pPr>
    </w:p>
    <w:p>
      <w:pPr>
        <w:ind w:right="620"/>
        <w:spacing w:after="0" w:line="264" w:lineRule="auto"/>
        <w:rPr>
          <w:sz w:val="20"/>
          <w:szCs w:val="20"/>
          <w:color w:val="auto"/>
        </w:rPr>
      </w:pPr>
      <w:r>
        <w:rPr>
          <w:rFonts w:ascii="Arial" w:cs="Arial" w:eastAsia="Arial" w:hAnsi="Arial"/>
          <w:sz w:val="17"/>
          <w:szCs w:val="17"/>
          <w:color w:val="auto"/>
        </w:rPr>
        <w:t>Through the operations of its subsidiaries, AFG is engaged primarily in property and casualty insurance, focusing on specialized commercial products for businesses.</w:t>
      </w:r>
    </w:p>
    <w:p>
      <w:pPr>
        <w:spacing w:after="0" w:line="21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AFG reported net earnings of $181 million ($2.16 per share, diluted) for the third quarter of 2024 compared to $177 million ($2.09 per share, diluted) for the third quarter of 2023. Higher net investment income and lower net realized losses on securities were partially offset by lower underwriting profit.</w:t>
      </w:r>
    </w:p>
    <w:p>
      <w:pPr>
        <w:spacing w:after="0" w:line="20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AFG reported net earnings of $632 million ($7.54 per share, diluted) for the first nine months of 2024 compared to $589 million ($6.93 per share, diluted) for the first nine months of 2023. The year over year increase was due primarily to the impact of higher yields on fixed maturity investments coupled with net realized gains on securities in the first nine months of 2024 compared to net realized losses on securities in the first nine months of 2023. These items were partially offset by lower returns on AFG’s alternative investment portfolio and, to a lesser extent, lower underwriting profit.</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Outlook</w:t>
      </w:r>
    </w:p>
    <w:p>
      <w:pPr>
        <w:spacing w:after="0" w:line="2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AFG’s financial condition, results of operations and cash flows are impacted by the economic, legal and regulatory environment. Economic inflation, social inflation, supply chain disruption, labor shortages and other economic conditions may impact premium levels, loss cost trends and investment returns. Management believes that AFG’s strong financial position and current liquidity and capital at its subsidiaries will give AFG the flexibility to continue to effectively address and respond to the ongoing uncertainties presented by the macro-economic environment and the conflicts in Ukraine and the Middle East. AFG’s insurance subsidiaries continue to have capital at or in excess of the levels required by ratings agencies in order to maintain their current ratings, and the parent company does not have any near-term debt maturities.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Management expects continued premium growth and strong underwriting results in the ongoing generally favorable property and casualty insurance market. In addition, management anticipates the deployment of cash during the elevated interest rate environment (since early 2022) will continue to have a positive impact on investment income on fixed maturity investments into 2025.</w:t>
      </w:r>
    </w:p>
    <w:p>
      <w:pPr>
        <w:spacing w:after="0" w:line="183"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CRITICAL ACCOUNTING POLICIES</w:t>
      </w:r>
    </w:p>
    <w:p>
      <w:pPr>
        <w:spacing w:after="0" w:line="272"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 xml:space="preserve">Significant accounting policies are summarized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the degree of judgment required to determine amounts recorded in the financial statements is most significant are as follows:</w:t>
      </w:r>
    </w:p>
    <w:p>
      <w:pPr>
        <w:spacing w:after="0" w:line="23" w:lineRule="exact"/>
        <w:rPr>
          <w:sz w:val="20"/>
          <w:szCs w:val="20"/>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valuation of investments, including the determination of impairment allowances,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establishment of insurance reserves, especially asbestos and environmental-related reserves,</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recoverability of reinsurance, and</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establishment of asbestos and environmental liabilities of former railroad and manufacturing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discussion of these policies, see </w:t>
      </w:r>
      <w:r>
        <w:rPr>
          <w:rFonts w:ascii="Arial" w:cs="Arial" w:eastAsia="Arial" w:hAnsi="Arial"/>
          <w:sz w:val="17"/>
          <w:szCs w:val="17"/>
          <w:i w:val="1"/>
          <w:iCs w:val="1"/>
          <w:color w:val="auto"/>
        </w:rPr>
        <w:t>Management’s Discussion and Analysis — “Critical Accounting Policies”</w:t>
      </w:r>
      <w:r>
        <w:rPr>
          <w:rFonts w:ascii="Arial" w:cs="Arial" w:eastAsia="Arial" w:hAnsi="Arial"/>
          <w:sz w:val="17"/>
          <w:szCs w:val="17"/>
          <w:color w:val="auto"/>
        </w:rPr>
        <w:t xml:space="preserve"> in AFG’s 2023 Form 10-K.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LIQUIDITY AND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Ratios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AFG’s debt to total capital ratio on a consolidated basis is shown below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940" w:type="dxa"/>
            <w:vAlign w:val="bottom"/>
            <w:tcBorders>
              <w:bottom w:val="single" w:sz="8" w:color="auto"/>
            </w:tcBorders>
          </w:tcPr>
          <w:p>
            <w:pPr>
              <w:spacing w:after="0"/>
              <w:rPr>
                <w:sz w:val="17"/>
                <w:szCs w:val="17"/>
                <w:color w:val="auto"/>
              </w:rPr>
            </w:pPr>
          </w:p>
        </w:tc>
      </w:tr>
      <w:tr>
        <w:trPr>
          <w:trHeight w:val="201"/>
        </w:trPr>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Arial" w:cs="Arial" w:eastAsia="Arial" w:hAnsi="Arial"/>
                <w:sz w:val="15"/>
                <w:szCs w:val="15"/>
                <w:color w:val="auto"/>
              </w:rPr>
              <w:t>September 30, 2024</w:t>
            </w:r>
          </w:p>
        </w:tc>
        <w:tc>
          <w:tcPr>
            <w:tcW w:w="320" w:type="dxa"/>
            <w:vAlign w:val="bottom"/>
          </w:tcPr>
          <w:p>
            <w:pPr>
              <w:spacing w:after="0"/>
              <w:rPr>
                <w:sz w:val="17"/>
                <w:szCs w:val="17"/>
                <w:color w:val="auto"/>
              </w:rPr>
            </w:pPr>
          </w:p>
        </w:tc>
        <w:tc>
          <w:tcPr>
            <w:tcW w:w="1080" w:type="dxa"/>
            <w:vAlign w:val="bottom"/>
          </w:tcPr>
          <w:p>
            <w:pPr>
              <w:jc w:val="right"/>
              <w:ind w:right="461"/>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460"/>
              <w:spacing w:after="0"/>
              <w:rPr>
                <w:sz w:val="20"/>
                <w:szCs w:val="20"/>
                <w:color w:val="auto"/>
              </w:rPr>
            </w:pPr>
            <w:r>
              <w:rPr>
                <w:rFonts w:ascii="Arial" w:cs="Arial" w:eastAsia="Arial" w:hAnsi="Arial"/>
                <w:sz w:val="15"/>
                <w:szCs w:val="15"/>
                <w:color w:val="auto"/>
              </w:rPr>
              <w:t>2022</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amount of long-term debt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1,498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1,498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1,521</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180" w:type="dxa"/>
            <w:vAlign w:val="bottom"/>
          </w:tcPr>
          <w:p>
            <w:pPr>
              <w:spacing w:after="0"/>
              <w:rPr>
                <w:sz w:val="18"/>
                <w:szCs w:val="18"/>
                <w:color w:val="auto"/>
              </w:rPr>
            </w:pPr>
          </w:p>
        </w:tc>
        <w:tc>
          <w:tcPr>
            <w:tcW w:w="1720" w:type="dxa"/>
            <w:vAlign w:val="bottom"/>
          </w:tcPr>
          <w:p>
            <w:pPr>
              <w:jc w:val="right"/>
              <w:ind w:right="140"/>
              <w:spacing w:after="0"/>
              <w:rPr>
                <w:sz w:val="20"/>
                <w:szCs w:val="20"/>
                <w:color w:val="auto"/>
              </w:rPr>
            </w:pPr>
            <w:r>
              <w:rPr>
                <w:rFonts w:ascii="Arial" w:cs="Arial" w:eastAsia="Arial" w:hAnsi="Arial"/>
                <w:sz w:val="16"/>
                <w:szCs w:val="16"/>
                <w:color w:val="auto"/>
              </w:rPr>
              <w:t>6,342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6,075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6,116</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debt to total capital:</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Including subordinated debt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24.9 %</w:t>
            </w: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Excluding subordinated debt</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r>
    </w:tbl>
    <w:p>
      <w:pPr>
        <w:spacing w:after="0" w:line="3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ratio of debt to total capital is a non-GAAP measure that management believes is useful for investors, analysts and ratings agencies to evaluate AFG’s financial strength and liquidity and to provide insight into how AFG finances its operations. The ratio is calculated by dividing the principal amount of AFG’s long-term debt by its total capital, which includes long-term debt and shareholders’ equity (excluding accumulated other comprehensive income (loss), net of tax). In addition, maintaining a ratio of debt, excluding subordinated debt and debt secured by real estate (if any), to total capital of 35% or lower is a financial covenant in AFG’s bank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Condensed Consolidated Cash Flows</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8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2024</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2023</w:t>
            </w: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r>
      <w:tr>
        <w:trPr>
          <w:trHeight w:val="21"/>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003366"/>
        </w:rPr>
        <w:t xml:space="preserve">Net Cash Provided by Operating Activities </w:t>
      </w:r>
      <w:r>
        <w:rPr>
          <w:rFonts w:ascii="Arial" w:cs="Arial" w:eastAsia="Arial" w:hAnsi="Arial"/>
          <w:sz w:val="17"/>
          <w:szCs w:val="17"/>
          <w:color w:val="000000"/>
        </w:rPr>
        <w:t>AFG’s property and casualty insurance operations typically produce positive net operating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cash flows as premiums collected and investment income exceed policy acquisition costs, claims payments and operating expenses. AFG’s net cash provided by operating activities is impacted by the level and timing of property and casualty premiums, claim and expense payments and recoveries from reinsurers.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reduced cash flows from operating activities by $67 million during the first nine months of 2024 and increased cash flows from operating activities by $26 million in the first nine months of 2023, accounting for a $93 million decrease in cash flows from operating activities in the 2024 period compared to the 2023 period. As discussed in </w:t>
      </w:r>
      <w:r>
        <w:rPr>
          <w:rFonts w:ascii="Arial" w:cs="Arial" w:eastAsia="Arial" w:hAnsi="Arial"/>
          <w:sz w:val="17"/>
          <w:szCs w:val="17"/>
          <w:i w:val="1"/>
          <w:iCs w:val="1"/>
          <w:color w:val="000000"/>
        </w:rPr>
        <w:t>Note A — “Accounting Policies — Managed Investment</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Entities” </w:t>
      </w:r>
      <w:r>
        <w:rPr>
          <w:rFonts w:ascii="Arial" w:cs="Arial" w:eastAsia="Arial" w:hAnsi="Arial"/>
          <w:sz w:val="17"/>
          <w:szCs w:val="17"/>
          <w:color w:val="000000"/>
        </w:rPr>
        <w:t>to the financial statements, AFG has no right to use the CLO assets and no obligation to pay the CLO liabilities and such assets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liabilities are shown separately in AFG’s Balance Sheet. Excluding the impact of the managed investment entities, net cash provided by operating activities was $545 million and $1.19 billion in the first nine months of 2024 and 2023, respectively.</w:t>
      </w:r>
    </w:p>
    <w:p>
      <w:pPr>
        <w:spacing w:after="0" w:line="18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color w:val="003366"/>
        </w:rPr>
        <w:t xml:space="preserve">Net Cash Provided by Investing Activities </w:t>
      </w:r>
      <w:r>
        <w:rPr>
          <w:rFonts w:ascii="Arial" w:cs="Arial" w:eastAsia="Arial" w:hAnsi="Arial"/>
          <w:sz w:val="17"/>
          <w:szCs w:val="17"/>
          <w:color w:val="000000"/>
        </w:rPr>
        <w:t>AFG’s investing activities consist primarily of the investment of funds provided by its property</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and casualty businesses. Investing activities also include the purchase and disposal of managed investment entity investments, which are presented separately in AFG’s Balance Sheet. Net investment activity in the managed investment entities was a $204 million source of cash in the first nine months of 2024 compared to $609 million in the first nine months of 2023, accounting for a $405 million decrease in net cash provided by investing activities in the first nine months of 2024 compared to the same 2023 period. See </w:t>
      </w:r>
      <w:r>
        <w:rPr>
          <w:rFonts w:ascii="Arial" w:cs="Arial" w:eastAsia="Arial" w:hAnsi="Arial"/>
          <w:sz w:val="17"/>
          <w:szCs w:val="17"/>
          <w:i w:val="1"/>
          <w:iCs w:val="1"/>
          <w:color w:val="000000"/>
        </w:rPr>
        <w:t>Note A — “Accounting Policies — Managed Investment Entities”</w:t>
      </w:r>
      <w:r>
        <w:rPr>
          <w:rFonts w:ascii="Arial" w:cs="Arial" w:eastAsia="Arial" w:hAnsi="Arial"/>
          <w:sz w:val="17"/>
          <w:szCs w:val="17"/>
          <w:color w:val="000000"/>
        </w:rPr>
        <w:t xml:space="preserve"> and </w:t>
      </w:r>
      <w:r>
        <w:rPr>
          <w:rFonts w:ascii="Arial" w:cs="Arial" w:eastAsia="Arial" w:hAnsi="Arial"/>
          <w:sz w:val="17"/>
          <w:szCs w:val="17"/>
          <w:i w:val="1"/>
          <w:iCs w:val="1"/>
          <w:color w:val="000000"/>
        </w:rPr>
        <w:t>Note G — “Managed Investment Entities”</w:t>
      </w:r>
      <w:r>
        <w:rPr>
          <w:rFonts w:ascii="Arial" w:cs="Arial" w:eastAsia="Arial" w:hAnsi="Arial"/>
          <w:sz w:val="17"/>
          <w:szCs w:val="17"/>
          <w:color w:val="000000"/>
        </w:rPr>
        <w:t xml:space="preserve"> to the financial statements. Investing activities for the first nine months of 2023 included the July 2023 acquisition of Crop Risk Services (“CRS”) for $234 million in cash. Excluding the acquisition of CRS and the activity of the managed investment entities, investing activities were an $88 million use of cash in the first nine months of 2024 compared to an $84 million source of cash in the first nine months of 2023.</w:t>
      </w:r>
    </w:p>
    <w:p>
      <w:pPr>
        <w:spacing w:after="0" w:line="215"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b w:val="1"/>
          <w:bCs w:val="1"/>
          <w:color w:val="003366"/>
        </w:rPr>
        <w:t xml:space="preserve">Net Cash Used in Financing Activities </w:t>
      </w:r>
      <w:r>
        <w:rPr>
          <w:rFonts w:ascii="Arial" w:cs="Arial" w:eastAsia="Arial" w:hAnsi="Arial"/>
          <w:sz w:val="17"/>
          <w:szCs w:val="17"/>
          <w:color w:val="000000"/>
        </w:rPr>
        <w:t>AFG’s financing activities consist primarily of issuances and retirements of long-term debt,</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issuances and repurchases of common stock and dividend payments. Net cash used in financing activities was $497 million for the first nine months of 2024 compared to $1.32 billion in the first nine months of 2023, a decrease of $827 million. AFG paid cash dividends totaling $385 million in the first nine months of 2024 compared to $498 million in the first nine months of 2023, a decrease in cash used by financing activities of $113 million. There were no debt retirements in the first nine months of 2024 compared to $21 million in debt retirements during the first nine months of 2023. During the first nine months of 2024, AFG did not repurchase any of its Common Stock compared to repurchases of $153 million in the comparable 2023 period. Financing activities also include issuances and retirements of managed investment entity liabilities, which are nonrecourse to AFG and presented separately in AFG’s Balance Sheet. Retirements of managed investment entity liabilities exceeded issuances by $125 million in the first nine months of 2024 compared to $663 million in the first nine months of 2023, accounting for a $538 million decrease in net cash used in financing activities in the 2024 period compared to the 2023 period. See </w:t>
      </w:r>
      <w:r>
        <w:rPr>
          <w:rFonts w:ascii="Arial" w:cs="Arial" w:eastAsia="Arial" w:hAnsi="Arial"/>
          <w:sz w:val="17"/>
          <w:szCs w:val="17"/>
          <w:i w:val="1"/>
          <w:iCs w:val="1"/>
          <w:color w:val="000000"/>
        </w:rPr>
        <w:t>Note A — “Accounting Policies — Managed Investment Entities”</w:t>
      </w:r>
      <w:r>
        <w:rPr>
          <w:rFonts w:ascii="Arial" w:cs="Arial" w:eastAsia="Arial" w:hAnsi="Arial"/>
          <w:sz w:val="17"/>
          <w:szCs w:val="17"/>
          <w:color w:val="000000"/>
        </w:rPr>
        <w:t xml:space="preserve"> and </w:t>
      </w:r>
      <w:r>
        <w:rPr>
          <w:rFonts w:ascii="Arial" w:cs="Arial" w:eastAsia="Arial" w:hAnsi="Arial"/>
          <w:sz w:val="17"/>
          <w:szCs w:val="17"/>
          <w:i w:val="1"/>
          <w:iCs w:val="1"/>
          <w:color w:val="000000"/>
        </w:rPr>
        <w:t>Note G —</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“Managed Investment Entities” </w:t>
      </w:r>
      <w:r>
        <w:rPr>
          <w:rFonts w:ascii="Arial" w:cs="Arial" w:eastAsia="Arial" w:hAnsi="Arial"/>
          <w:sz w:val="17"/>
          <w:szCs w:val="17"/>
          <w:color w:val="000000"/>
        </w:rPr>
        <w:t>to the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Parent and Subsidiary Liquidity</w:t>
      </w:r>
    </w:p>
    <w:p>
      <w:pPr>
        <w:spacing w:after="0" w:line="253"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Parent Holding Company Liquidity </w:t>
      </w:r>
      <w:r>
        <w:rPr>
          <w:rFonts w:ascii="Arial" w:cs="Arial" w:eastAsia="Arial" w:hAnsi="Arial"/>
          <w:sz w:val="17"/>
          <w:szCs w:val="17"/>
          <w:color w:val="000000"/>
        </w:rPr>
        <w:t>Management believes AFG has sufficient resources to meet its liquidity requirements. If funds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216"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AFG's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spacing w:after="0" w:line="20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AFG paid a special cash dividend totaling $209 million ($2.50 per share) on February 28, 2024. On November 5, 2024, AFG declared a special cash dividend of $4.00 per share, payable on November 26, 2024. The aggregate amount of this special dividend will be approximately $335 million.</w:t>
      </w:r>
    </w:p>
    <w:p>
      <w:pPr>
        <w:spacing w:after="0" w:line="199"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w:t>
      </w:r>
    </w:p>
    <w:p>
      <w:pPr>
        <w:spacing w:after="0" w:line="206"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During 2023, AFG repurchased 1,872,544 shares of its Common Stock for $213 million, paid special cash dividends totaling $466 million ($4.00 per share in February and $1.50 per share in November) and repurchased $23 million principal amount of its senior notes for $21 million cash.</w:t>
      </w:r>
    </w:p>
    <w:p>
      <w:pPr>
        <w:spacing w:after="0" w:line="17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At September 30, 2024, AFG (parent) held approximately $382 million in cash and investments. Management believes that AFG’s cash balances are held at stable banking institutions, although the amounts of many of these deposits are in excess of federally insured balances. AFG can borrow up to $450 million under its revolving credit facility, which expires in June 2028. Amounts borrowed under this agreement bear interest at rates ranging from 1.00% to 1.75% (based on AFG’s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credit rating, currently 1.25%) over a SOFR-based floating rate. There were no borrowings under AFG’s credit facilities, or under any other parent company short-term borrowing arrangements, during 2023 or the first nine months of 2024.</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Under a tax allocation agreement with AFG, all 80% (or more) owned U.S. subsidiaries generally pay taxes to (or recover taxes from) AFG based on each subsidiary’s contribution to amounts due under AFG’s consolidated tax return.</w:t>
      </w:r>
    </w:p>
    <w:p>
      <w:pPr>
        <w:spacing w:after="0" w:line="170" w:lineRule="exact"/>
        <w:rPr>
          <w:sz w:val="20"/>
          <w:szCs w:val="20"/>
          <w:color w:val="auto"/>
        </w:rPr>
      </w:pPr>
    </w:p>
    <w:p>
      <w:pPr>
        <w:ind w:right="320"/>
        <w:spacing w:after="0" w:line="248" w:lineRule="auto"/>
        <w:rPr>
          <w:sz w:val="20"/>
          <w:szCs w:val="20"/>
          <w:color w:val="auto"/>
        </w:rPr>
      </w:pPr>
      <w:r>
        <w:rPr>
          <w:rFonts w:ascii="Arial" w:cs="Arial" w:eastAsia="Arial" w:hAnsi="Arial"/>
          <w:sz w:val="20"/>
          <w:szCs w:val="20"/>
          <w:b w:val="1"/>
          <w:bCs w:val="1"/>
          <w:color w:val="003366"/>
        </w:rPr>
        <w:t xml:space="preserve">Subsidiary Liquidity </w:t>
      </w:r>
      <w:r>
        <w:rPr>
          <w:rFonts w:ascii="Arial" w:cs="Arial" w:eastAsia="Arial" w:hAnsi="Arial"/>
          <w:sz w:val="17"/>
          <w:szCs w:val="17"/>
          <w:color w:val="000000"/>
        </w:rPr>
        <w:t>The liquidity requirements of AFG’s insurance subsidiaries relate primarily to the policyholder claims and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expenses and payments of dividends and 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pacing w:after="0" w:line="216"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AFG believes its insurance subsidiaries maintain sufficient liquidity to pay claims and underwriting expenses. In addition, these subsidiaries have sufficient capital to meet commitments in the event of unforeseen events such as reserve deficiencies, inadequate premium rates or reinsurer insolvencies. Management believes that the capital levels in AFG’s insurance subsidiaries are adequate to maintain its business and rating agency ratings. Nonetheless, changes in statutory accounting rules, significant declines in the fair value of the insurance subsidiaries’ investment portfolios or significant ratings downgrades on these investments, could create a need for additional capital.</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Investments</w:t>
      </w:r>
    </w:p>
    <w:p>
      <w:pPr>
        <w:spacing w:after="0" w:line="28"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AFG’s investment portfolio at September 30, 2024, contained $10.44 billion in fixed maturity securities classified as available for sale and carried at fair value with unrealized gains and losses included in accumulated other comprehensive income (loss) and $78 million in fixed maturities classified as trading with holding gains and losses included in net investment income. In addition, AFG’s investment portfolio includes $510 million in equity securities carried at fair value with holding gains and losses included in realized gains (losses) on securities and $571 million in equity securities carried at fair value with holding gains and losses included in net investment income.</w:t>
      </w: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Fair values for AFG’s portfolio are determined by AFG’s internal investment professionals using data from nationally recognized pricing services, non-binding broker quotes and other market information. Fair values of equity securities are determined by published closing prices when available. For equity investments in limited partnerships and similar investments that do not qualify for equity method accounting, fair value is determined based on financial information provided by the limited partnerships. For AFG’s fixed maturity portfolio, approximately 89% was priced using pricing services at September 30, 2024 and 4% was priced using non-binding broker quotes. When prices obtained for the same security vary, AFG’s internal investment professionals select the price they believe is most indicative of an exit price.</w:t>
      </w:r>
    </w:p>
    <w:p>
      <w:pPr>
        <w:spacing w:after="0" w:line="20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mortgage-backed securities (“MBS”)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September 30, 2024 (dollars in millions). Effects of increases or decreases from the 100 basis points illustrated would be approximately proportional.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10,513</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(315)</w:t>
            </w:r>
          </w:p>
        </w:tc>
      </w:tr>
    </w:tbl>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Approximately 94% of the fixed maturities held by AFG at September 30, 2024, were rated “investment grade” (credit rating of AAA to BBB) by nationally recognized rating agencies, 3% were rated “non-investment grade” and 3% were not rated. Investment grade securities generally bear lower yields and lower degrees of risk than those that are unrated and non-investment grade. Management believes that the high-quality investment portfolio should generate a stable and predictable investment return.</w:t>
      </w:r>
    </w:p>
    <w:p>
      <w:pPr>
        <w:spacing w:after="0" w:line="119" w:lineRule="exact"/>
        <w:rPr>
          <w:sz w:val="20"/>
          <w:szCs w:val="20"/>
          <w:color w:val="auto"/>
        </w:rPr>
      </w:pPr>
    </w:p>
    <w:p>
      <w:pPr>
        <w:ind w:right="700"/>
        <w:spacing w:after="0" w:line="274" w:lineRule="auto"/>
        <w:rPr>
          <w:sz w:val="20"/>
          <w:szCs w:val="20"/>
          <w:color w:val="auto"/>
        </w:rPr>
      </w:pPr>
      <w:r>
        <w:rPr>
          <w:rFonts w:ascii="Arial" w:cs="Arial" w:eastAsia="Arial" w:hAnsi="Arial"/>
          <w:sz w:val="17"/>
          <w:szCs w:val="17"/>
          <w:color w:val="auto"/>
        </w:rPr>
        <w:t>AFG has less than $100 million of direct exposure to office commercial real estate through property ownership, mortgages or equity method investments. AFG’s fixed maturity portfolio includes securities (the majority of which are AAA-rated) with a carrying value of approximately $500 million that have minimal exposure to office commercial real estate.</w:t>
      </w:r>
    </w:p>
    <w:p>
      <w:pPr>
        <w:spacing w:after="0" w:line="195"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Summarized information for the unrealized gains and losses recorded in AFG’s Balance Sheet at September 30, 2024, is shown in the following table (dollars in millions). Approximately $415 million of available for sale fixed maturity securities had no unrealized gains or losses at September 30,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Securities</w:t>
            </w: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Securities</w:t>
            </w:r>
          </w:p>
        </w:tc>
      </w:tr>
      <w:tr>
        <w:trPr>
          <w:trHeight w:val="158"/>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8" w:lineRule="exact"/>
              <w:rPr>
                <w:sz w:val="20"/>
                <w:szCs w:val="20"/>
                <w:color w:val="auto"/>
              </w:rPr>
            </w:pPr>
            <w:r>
              <w:rPr>
                <w:rFonts w:ascii="Arial" w:cs="Arial" w:eastAsia="Arial" w:hAnsi="Arial"/>
                <w:sz w:val="15"/>
                <w:szCs w:val="15"/>
                <w:color w:val="auto"/>
              </w:rPr>
              <w:t>With</w:t>
            </w:r>
          </w:p>
        </w:tc>
        <w:tc>
          <w:tcPr>
            <w:tcW w:w="220" w:type="dxa"/>
            <w:vAlign w:val="bottom"/>
          </w:tcPr>
          <w:p>
            <w:pPr>
              <w:spacing w:after="0"/>
              <w:rPr>
                <w:sz w:val="13"/>
                <w:szCs w:val="13"/>
                <w:color w:val="auto"/>
              </w:rPr>
            </w:pPr>
          </w:p>
        </w:tc>
        <w:tc>
          <w:tcPr>
            <w:tcW w:w="1140" w:type="dxa"/>
            <w:vAlign w:val="bottom"/>
          </w:tcPr>
          <w:p>
            <w:pPr>
              <w:jc w:val="center"/>
              <w:ind w:right="117"/>
              <w:spacing w:after="0" w:line="158" w:lineRule="exact"/>
              <w:rPr>
                <w:sz w:val="20"/>
                <w:szCs w:val="20"/>
                <w:color w:val="auto"/>
              </w:rPr>
            </w:pPr>
            <w:r>
              <w:rPr>
                <w:rFonts w:ascii="Arial" w:cs="Arial" w:eastAsia="Arial" w:hAnsi="Arial"/>
                <w:sz w:val="15"/>
                <w:szCs w:val="15"/>
                <w:color w:val="auto"/>
                <w:w w:val="99"/>
              </w:rPr>
              <w:t>With</w:t>
            </w:r>
          </w:p>
        </w:tc>
      </w:tr>
      <w:tr>
        <w:trPr>
          <w:trHeight w:val="152"/>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5"/>
                <w:szCs w:val="15"/>
                <w:color w:val="auto"/>
              </w:rPr>
              <w:t>Unrealized</w:t>
            </w:r>
          </w:p>
        </w:tc>
        <w:tc>
          <w:tcPr>
            <w:tcW w:w="220" w:type="dxa"/>
            <w:vAlign w:val="bottom"/>
          </w:tcPr>
          <w:p>
            <w:pPr>
              <w:spacing w:after="0"/>
              <w:rPr>
                <w:sz w:val="13"/>
                <w:szCs w:val="13"/>
                <w:color w:val="auto"/>
              </w:rPr>
            </w:pPr>
          </w:p>
        </w:tc>
        <w:tc>
          <w:tcPr>
            <w:tcW w:w="1140" w:type="dxa"/>
            <w:vAlign w:val="bottom"/>
          </w:tcPr>
          <w:p>
            <w:pPr>
              <w:jc w:val="center"/>
              <w:ind w:right="117"/>
              <w:spacing w:after="0" w:line="153" w:lineRule="exact"/>
              <w:rPr>
                <w:sz w:val="20"/>
                <w:szCs w:val="20"/>
                <w:color w:val="auto"/>
              </w:rPr>
            </w:pPr>
            <w:r>
              <w:rPr>
                <w:rFonts w:ascii="Arial" w:cs="Arial" w:eastAsia="Arial" w:hAnsi="Arial"/>
                <w:sz w:val="15"/>
                <w:szCs w:val="15"/>
                <w:color w:val="auto"/>
              </w:rPr>
              <w:t>Unrealized</w:t>
            </w:r>
          </w:p>
        </w:tc>
      </w:tr>
      <w:tr>
        <w:trPr>
          <w:trHeight w:val="201"/>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Gains</w:t>
            </w: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Losses</w:t>
            </w: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7"/>
                <w:szCs w:val="17"/>
                <w:color w:val="auto"/>
              </w:rPr>
              <w:t>Available for Sale Fixed Maturities</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58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Fair value of securities</w:t>
            </w:r>
          </w:p>
        </w:tc>
        <w:tc>
          <w:tcPr>
            <w:tcW w:w="58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4,977</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5,043</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Amortized cost of securities, net of allowance for expected credit losses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4,804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5,342</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Gross unrealized gain (loss)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173</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(299)</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Fair value as % of amortized cost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94 %</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Number of security positions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925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1,151</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Number individually exceeding $2 million gain or loss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27</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Concentration of gains (losses) by type or industry (exceeding 5% of unrealized):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Mortgage-backed securities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(117)</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Other asset-backed securities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(62)</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Banking</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(17)</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Collateralized loan obligations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(11)</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Asset managers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(15)</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Utilities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States and municipalities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(34)</w:t>
            </w:r>
          </w:p>
        </w:tc>
      </w:tr>
      <w:tr>
        <w:trPr>
          <w:trHeight w:val="225"/>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Percentage rated investment grade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The table below sets forth the scheduled maturities of AFG’s available for sale fixed maturity securities at September 30, 2024, based on their fair values. Securities with sinking funds are reported at average maturity. Actual maturities may differ from contractual maturities because certain securities may be called or prepaid by the issuers.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color w:val="auto"/>
              </w:rPr>
              <w:t>Securities</w:t>
            </w:r>
          </w:p>
        </w:tc>
        <w:tc>
          <w:tcPr>
            <w:tcW w:w="1340" w:type="dxa"/>
            <w:vAlign w:val="bottom"/>
          </w:tcPr>
          <w:p>
            <w:pPr>
              <w:jc w:val="center"/>
              <w:spacing w:after="0"/>
              <w:rPr>
                <w:sz w:val="20"/>
                <w:szCs w:val="20"/>
                <w:color w:val="auto"/>
              </w:rPr>
            </w:pPr>
            <w:r>
              <w:rPr>
                <w:rFonts w:ascii="Arial" w:cs="Arial" w:eastAsia="Arial" w:hAnsi="Arial"/>
                <w:sz w:val="15"/>
                <w:szCs w:val="15"/>
                <w:color w:val="auto"/>
              </w:rPr>
              <w:t>Securities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5"/>
                <w:szCs w:val="15"/>
                <w:color w:val="auto"/>
              </w:rPr>
              <w:t>With</w:t>
            </w: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99"/>
              </w:rPr>
              <w:t>With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rPr>
              <w:t>Unrealized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color w:val="auto"/>
              </w:rPr>
              <w:t>Gains</w:t>
            </w:r>
          </w:p>
        </w:tc>
        <w:tc>
          <w:tcPr>
            <w:tcW w:w="1340" w:type="dxa"/>
            <w:vAlign w:val="bottom"/>
          </w:tcPr>
          <w:p>
            <w:pPr>
              <w:jc w:val="center"/>
              <w:spacing w:after="0"/>
              <w:rPr>
                <w:sz w:val="20"/>
                <w:szCs w:val="20"/>
                <w:color w:val="auto"/>
              </w:rPr>
            </w:pPr>
            <w:r>
              <w:rPr>
                <w:rFonts w:ascii="Arial" w:cs="Arial" w:eastAsia="Arial" w:hAnsi="Arial"/>
                <w:sz w:val="15"/>
                <w:szCs w:val="15"/>
                <w:color w:val="auto"/>
              </w:rPr>
              <w:t>Losses</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7"/>
                <w:szCs w:val="17"/>
                <w:color w:val="auto"/>
                <w:w w:val="99"/>
              </w:rPr>
              <w:t>Maturity</w:t>
            </w:r>
          </w:p>
        </w:tc>
        <w:tc>
          <w:tcPr>
            <w:tcW w:w="66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7"/>
                <w:szCs w:val="17"/>
                <w:color w:val="auto"/>
              </w:rPr>
              <w:t>One year or less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After one year through five years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7"/>
                <w:szCs w:val="17"/>
                <w:color w:val="auto"/>
              </w:rPr>
              <w:t>After five years through ten years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After ten years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42 %</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Collateralized loan obligations and other asset-backed securities (average life of approximately 3 years)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Mortgage-backed securities (average life of approximately 6 years)</w:t>
            </w: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9900" w:type="dxa"/>
            <w:vAlign w:val="bottom"/>
            <w:gridSpan w:val="11"/>
          </w:tcPr>
          <w:p>
            <w:pPr>
              <w:spacing w:after="0"/>
              <w:rPr>
                <w:sz w:val="20"/>
                <w:szCs w:val="20"/>
                <w:color w:val="auto"/>
              </w:rPr>
            </w:pPr>
            <w:r>
              <w:rPr>
                <w:rFonts w:ascii="Arial" w:cs="Arial" w:eastAsia="Arial" w:hAnsi="Arial"/>
                <w:sz w:val="17"/>
                <w:szCs w:val="17"/>
                <w:color w:val="auto"/>
              </w:rPr>
              <w:t>The table below (dollars in millions) summarizes the unrealized gains and losses on fixed maturity securities by dollar amount: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center"/>
              <w:ind w:right="78"/>
              <w:spacing w:after="0"/>
              <w:rPr>
                <w:sz w:val="20"/>
                <w:szCs w:val="20"/>
                <w:color w:val="auto"/>
              </w:rPr>
            </w:pPr>
            <w:r>
              <w:rPr>
                <w:rFonts w:ascii="Arial" w:cs="Arial" w:eastAsia="Arial" w:hAnsi="Arial"/>
                <w:sz w:val="15"/>
                <w:szCs w:val="15"/>
                <w:color w:val="auto"/>
              </w:rPr>
              <w:t>Aggregate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Aggregate</w:t>
            </w: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5"/>
                <w:szCs w:val="15"/>
                <w:color w:val="auto"/>
              </w:rPr>
              <w:t>Fair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8"/>
              <w:spacing w:after="0"/>
              <w:rPr>
                <w:sz w:val="20"/>
                <w:szCs w:val="20"/>
                <w:color w:val="auto"/>
              </w:rPr>
            </w:pPr>
            <w:r>
              <w:rPr>
                <w:rFonts w:ascii="Arial" w:cs="Arial" w:eastAsia="Arial" w:hAnsi="Arial"/>
                <w:sz w:val="15"/>
                <w:szCs w:val="15"/>
                <w:color w:val="auto"/>
                <w:w w:val="98"/>
              </w:rPr>
              <w:t>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Gain (Loss)</w:t>
            </w: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0" w:type="dxa"/>
            <w:vAlign w:val="bottom"/>
            <w:tcBorders>
              <w:top w:val="single" w:sz="8" w:color="CCEEFF"/>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7"/>
                <w:szCs w:val="17"/>
                <w:color w:val="auto"/>
              </w:rPr>
              <w:t>Fixed Maturities at September 30, 2024</w:t>
            </w:r>
          </w:p>
        </w:tc>
        <w:tc>
          <w:tcPr>
            <w:tcW w:w="4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7"/>
                <w:szCs w:val="17"/>
                <w:b w:val="1"/>
                <w:bCs w:val="1"/>
                <w:color w:val="auto"/>
              </w:rPr>
              <w:t>Securities with unrealized gains: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Exceeding $500,000 (83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$500,000 or less (842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103 %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Securities with unrealized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2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Exceeding $500,000 (152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$500,000 or less (999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97 %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The following table (dollars in millions) summarizes the unrealized losses for all securities with unrealized losses by issuer quality and the length of time those securities have been in an unrealized loss position: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80" w:type="dxa"/>
            <w:vAlign w:val="bottom"/>
          </w:tcPr>
          <w:p>
            <w:pPr>
              <w:spacing w:after="0"/>
              <w:rPr>
                <w:sz w:val="15"/>
                <w:szCs w:val="15"/>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5"/>
                <w:szCs w:val="15"/>
                <w:color w:val="auto"/>
              </w:rPr>
              <w:t>Fair</w:t>
            </w:r>
          </w:p>
        </w:tc>
        <w:tc>
          <w:tcPr>
            <w:tcW w:w="180" w:type="dxa"/>
            <w:vAlign w:val="bottom"/>
          </w:tcPr>
          <w:p>
            <w:pPr>
              <w:spacing w:after="0"/>
              <w:rPr>
                <w:sz w:val="13"/>
                <w:szCs w:val="13"/>
                <w:color w:val="auto"/>
              </w:rPr>
            </w:pPr>
          </w:p>
        </w:tc>
        <w:tc>
          <w:tcPr>
            <w:tcW w:w="1020" w:type="dxa"/>
            <w:vAlign w:val="bottom"/>
          </w:tcPr>
          <w:p>
            <w:pPr>
              <w:jc w:val="center"/>
              <w:ind w:right="98"/>
              <w:spacing w:after="0" w:line="153"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80" w:type="dxa"/>
            <w:vAlign w:val="bottom"/>
          </w:tcPr>
          <w:p>
            <w:pPr>
              <w:spacing w:after="0"/>
              <w:rPr>
                <w:sz w:val="17"/>
                <w:szCs w:val="17"/>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Loss</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728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color w:val="auto"/>
              </w:rPr>
              <w:t>Securities with Unrealized Losses at September 30, 2024</w:t>
            </w: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Investment grade fixed maturities with losses for:</w:t>
            </w:r>
          </w:p>
        </w:tc>
        <w:tc>
          <w:tcPr>
            <w:tcW w:w="3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(70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(902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94 %</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Non-investment grade fixed maturities with losses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(34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(145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91 %</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When a decline in the value of a specific investment is considered to be other-than-temporary, an allowance for credit losses (impairment) is charged to earnings (accounted for as a realized loss). The determination of whether unrealized losses are other-than-temporary requires judgment based on subjective as well as objective factors as detailed in AFG’s 2023 Form 10-K under </w:t>
      </w:r>
      <w:r>
        <w:rPr>
          <w:rFonts w:ascii="Arial" w:cs="Arial" w:eastAsia="Arial" w:hAnsi="Arial"/>
          <w:sz w:val="17"/>
          <w:szCs w:val="17"/>
          <w:i w:val="1"/>
          <w:iCs w:val="1"/>
          <w:color w:val="auto"/>
        </w:rPr>
        <w:t>Management’s Discussion and Analysis — “Investments.”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Based on its analysis, management believes AFG will recover its cost basis (net of any allowance) in the fixed maturity securities with unrealized losses and that AFG has the ability to hold the securities until they recover in value and had no intent to sell them at September 30, 2024.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7"/>
          <w:szCs w:val="17"/>
          <w:i w:val="1"/>
          <w:iCs w:val="1"/>
          <w:color w:val="auto"/>
        </w:rPr>
        <w:t>“Results of Operations — Realized Gains (Losses) on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Uncertainties</w:t>
      </w:r>
    </w:p>
    <w:p>
      <w:pPr>
        <w:spacing w:after="0" w:line="28"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 xml:space="preserve">Management believes that the areas posing the greatest risk of material loss are the adequacy of its insurance reserves and contingencies arising out of its former railroad and manufacturing operations. See </w:t>
      </w:r>
      <w:r>
        <w:rPr>
          <w:rFonts w:ascii="Arial" w:cs="Arial" w:eastAsia="Arial" w:hAnsi="Arial"/>
          <w:sz w:val="17"/>
          <w:szCs w:val="17"/>
          <w:i w:val="1"/>
          <w:iCs w:val="1"/>
          <w:color w:val="auto"/>
        </w:rPr>
        <w:t>Management’s Discussion and Analysis — “Uncertainties — Asbestos and</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Environmental-related (“A&amp;E”) Insurance Reserves</w:t>
      </w:r>
      <w:r>
        <w:rPr>
          <w:rFonts w:ascii="Arial" w:cs="Arial" w:eastAsia="Arial" w:hAnsi="Arial"/>
          <w:sz w:val="17"/>
          <w:szCs w:val="17"/>
          <w:color w:val="auto"/>
        </w:rPr>
        <w:t>” in AFG’s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xml:space="preserve"> to the financial statements. The effect of consolidating these entities is shown in the tables below (in millions). The “Before CLO Consolidation” columns include AFG’s investment and earnings in the CLOs on an unconsolidated basis.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20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Consol.</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Consolidation</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20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Entries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6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September 30, 2024</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Assets:</w:t>
            </w:r>
          </w:p>
        </w:tc>
        <w:tc>
          <w:tcPr>
            <w:tcW w:w="43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4,332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28,423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32,591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18,526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18,526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5,189</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28,423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32,591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December 31, 2023</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15,438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(175)</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15,263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10,040</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680" w:type="dxa"/>
            <w:vAlign w:val="bottom"/>
            <w:tcBorders>
              <w:top w:val="single" w:sz="8" w:color="CCEEFF"/>
              <w:bottom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4,307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25,529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3,121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gridSpan w:val="3"/>
          </w:tcPr>
          <w:p>
            <w:pPr>
              <w:ind w:left="1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4,258</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7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68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8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Three months ended September 30, 2024</w:t>
            </w:r>
          </w:p>
        </w:tc>
        <w:tc>
          <w:tcPr>
            <w:tcW w:w="35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1,948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Three months ended September 30, 2023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1,855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1,855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Subsidiary</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10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income of $2 million in the third quarter of 2024 and $12 million in the third quarter of 2023, representing the change in fair value of AFG’s CLO investments and $3 million and $4 million in the third quarter of 2024 and 2023, respectively, in CLO management fees earned.</w:t>
      </w:r>
    </w:p>
    <w:p>
      <w:pPr>
        <w:spacing w:after="0" w:line="1" w:lineRule="exact"/>
        <w:rPr>
          <w:rFonts w:ascii="Arial" w:cs="Arial" w:eastAsia="Arial" w:hAnsi="Arial"/>
          <w:sz w:val="14"/>
          <w:szCs w:val="14"/>
          <w:color w:val="auto"/>
        </w:rPr>
      </w:pPr>
    </w:p>
    <w:p>
      <w:pPr>
        <w:ind w:left="420" w:right="46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$7 million in both the third quarter of 2024 and 2023, in distributions recorded as interest expense by the CLOs.</w:t>
      </w: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Nine months ended September 30, 2024</w:t>
            </w:r>
          </w:p>
        </w:tc>
        <w:tc>
          <w:tcPr>
            <w:tcW w:w="35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6,175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4,806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Nine months ended September 30, 2023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4,799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4,799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Subsidiary</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4,703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5,006</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560" w:hanging="412"/>
        <w:spacing w:after="0" w:line="261" w:lineRule="auto"/>
        <w:tabs>
          <w:tab w:leader="none" w:pos="40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income of $25 million in the first nine months of 2024 and $18 million in the first nine months of 2023, representing the change in fair value of AFG’s CLO investments and $9 million and $12 million of income in the first nine months of 2024 and 2023, respectively, in CLO management fees earned.</w:t>
      </w:r>
    </w:p>
    <w:p>
      <w:pPr>
        <w:spacing w:after="0" w:line="1" w:lineRule="exact"/>
        <w:rPr>
          <w:rFonts w:ascii="Arial" w:cs="Arial" w:eastAsia="Arial" w:hAnsi="Arial"/>
          <w:sz w:val="14"/>
          <w:szCs w:val="14"/>
          <w:color w:val="auto"/>
        </w:rPr>
      </w:pPr>
    </w:p>
    <w:p>
      <w:pPr>
        <w:ind w:left="420" w:right="200" w:hanging="412"/>
        <w:spacing w:after="0" w:line="261" w:lineRule="auto"/>
        <w:tabs>
          <w:tab w:leader="none" w:pos="407" w:val="left"/>
        </w:tabs>
        <w:numPr>
          <w:ilvl w:val="0"/>
          <w:numId w:val="31"/>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$25 million and $18 million in the first nine months of 2024 and 2023, respectively, in distributions recorded as interest expense by the CLOs.</w:t>
      </w:r>
    </w:p>
    <w:p>
      <w:pPr>
        <w:ind w:left="400" w:hanging="392"/>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General</w:t>
      </w:r>
    </w:p>
    <w:p>
      <w:pPr>
        <w:spacing w:after="0" w:line="2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3080" w:type="dxa"/>
            <w:vAlign w:val="bottom"/>
            <w:gridSpan w:val="6"/>
          </w:tcPr>
          <w:p>
            <w:pPr>
              <w:ind w:left="34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740" w:type="dxa"/>
            <w:vAlign w:val="bottom"/>
            <w:gridSpan w:val="4"/>
          </w:tcPr>
          <w:p>
            <w:pPr>
              <w:jc w:val="right"/>
              <w:ind w:right="299"/>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2023</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earnings: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Core operating earnings before income taxes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Pretax non-core items: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Realized loss on subsidiary</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Special A&amp;E charges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Gain on retirement of debt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5180" w:type="dxa"/>
            <w:vAlign w:val="bottom"/>
          </w:tcPr>
          <w:p>
            <w:pPr>
              <w:ind w:left="680"/>
              <w:spacing w:after="0"/>
              <w:rPr>
                <w:sz w:val="20"/>
                <w:szCs w:val="20"/>
                <w:color w:val="auto"/>
              </w:rPr>
            </w:pPr>
            <w:r>
              <w:rPr>
                <w:rFonts w:ascii="Arial" w:cs="Arial" w:eastAsia="Arial" w:hAnsi="Arial"/>
                <w:sz w:val="16"/>
                <w:szCs w:val="16"/>
                <w:color w:val="auto"/>
              </w:rPr>
              <w:t>Earnings before income taxes</w:t>
            </w: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Provision for income taxes: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Core operating earnings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Non-core items: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68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loss on subsidiary</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80" w:type="dxa"/>
            <w:vAlign w:val="bottom"/>
          </w:tcPr>
          <w:p>
            <w:pPr>
              <w:ind w:left="680"/>
              <w:spacing w:after="0"/>
              <w:rPr>
                <w:sz w:val="20"/>
                <w:szCs w:val="20"/>
                <w:color w:val="auto"/>
              </w:rPr>
            </w:pPr>
            <w:r>
              <w:rPr>
                <w:rFonts w:ascii="Arial" w:cs="Arial" w:eastAsia="Arial" w:hAnsi="Arial"/>
                <w:sz w:val="16"/>
                <w:szCs w:val="16"/>
                <w:color w:val="auto"/>
              </w:rPr>
              <w:t>Special A&amp;E charges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retirement of debt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18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Total provision for income taxes</w:t>
            </w:r>
          </w:p>
        </w:tc>
        <w:tc>
          <w:tcPr>
            <w:tcW w:w="9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23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Core net operating earnings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657</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Realized loss on subsidiary</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A&amp;E charges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Gain on retirement of debt</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per share amounts: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Core net operating earnings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7.72</w:t>
            </w: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Realized loss on subsidiary</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Special A&amp;E charges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Gain on retirement of debt</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3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Net earnings were $181 million in the third quarter of 2024 compared to $177 million in the third quarter of 2023 reflecting lower net realized losses on securities in the third quarter of 2024 compared to the third quarter of 2023, partially offset by lower core net operating earnings. Core net operating earnings for the third quarter of 2024 decreased $14 million compared to the third quarter of 2023 as higher net investment income was more than offset by lower underwriting profit.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Net realized gains (losses) on securities in the third quarter of 2024 and 2023 include after-tax gains of $8 million and after-tax losses of $6 million, respectively, resulting from the change in fair value of equity securities that were still held at the balance sheet date.</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Net earnings were $632 million in the first nine months of 2024 compared to $589 million in the first nine months of 2023 reflecting net realized gains on securities in the first nine months of 2024 compared to net realized losses on securities in the first nine months of 2023, partially offset by lower core net operating earnings. Core net operating earnings for the first nine months of 2024 decreased $17 million compared to the first nine months of 2023. Higher investment income outside of alternative investments was more than offset by lower returns on AFG’s alternative investment portfolio, lower underwriting profit, lower other income and higher other expenses. Net realized gains (losses) on securities in the first nine months of 2024 and 2023 include after-tax gains of $20 million and after-tax losses of $25 million, respectively, resulting from the change in fair value of equity securities that were still held at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ind w:right="560"/>
        <w:spacing w:after="0" w:line="298" w:lineRule="auto"/>
        <w:rPr>
          <w:sz w:val="20"/>
          <w:szCs w:val="20"/>
          <w:color w:val="auto"/>
        </w:rPr>
      </w:pPr>
      <w:r>
        <w:rPr>
          <w:rFonts w:ascii="Arial" w:cs="Arial" w:eastAsia="Arial" w:hAnsi="Arial"/>
          <w:sz w:val="29"/>
          <w:szCs w:val="29"/>
          <w:b w:val="1"/>
          <w:bCs w:val="1"/>
          <w:color w:val="003366"/>
        </w:rPr>
        <w:t>RESULTS OF OPERATIONS — THREE MONTHS ENDED SEPTEMBER 30, 2024 AND 2023</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4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three months ended September 30, 2024 and 2023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September 30, 2024</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8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Special A&amp;E charge,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September 30, 2023</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4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Subsidiary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loss on subsidiary</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Special A&amp;E charge, net of tax</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right="740" w:hanging="412"/>
        <w:spacing w:after="0" w:line="286" w:lineRule="auto"/>
        <w:tabs>
          <w:tab w:leader="none" w:pos="4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See the reconciliation of core earnings to GAAP net earnings under “</w:t>
      </w:r>
      <w:r>
        <w:rPr>
          <w:rFonts w:ascii="Arial" w:cs="Arial" w:eastAsia="Arial" w:hAnsi="Arial"/>
          <w:sz w:val="16"/>
          <w:szCs w:val="16"/>
          <w:i w:val="1"/>
          <w:iCs w:val="1"/>
          <w:color w:val="auto"/>
        </w:rPr>
        <w:t>Results of Operations — General”</w:t>
      </w:r>
      <w:r>
        <w:rPr>
          <w:rFonts w:ascii="Arial" w:cs="Arial" w:eastAsia="Arial" w:hAnsi="Arial"/>
          <w:sz w:val="16"/>
          <w:szCs w:val="16"/>
          <w:color w:val="auto"/>
        </w:rPr>
        <w:t xml:space="preserve"> for details on the tax impacts of these reconciling items.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AFG’s property and casualty insurance operations contributed $291 million in GAAP pretax earnings in the third quarter of 2024 compared to</w:t>
      </w:r>
    </w:p>
    <w:p>
      <w:pPr>
        <w:spacing w:after="0" w:line="2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$294 million in the third quarter of 2023, a decrease of $3 million (1%). Property and casualty core pretax earnings were $291 million in the third quarter of 2024 compared to $298 million in the third quarter of 2023, a decrease of $7 million (2%). The decrease in GAAP and core pretax earnings reflects lower underwriting profit, partially offset by higher net investment income in the third quarter of 2024 compared to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The following table details AFG’s GAAP and core earnings before income taxes from its property and casualty insurance operations for the three months ended September 30, 2024 and 2023 (dollars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5"/>
                <w:szCs w:val="15"/>
                <w:color w:val="auto"/>
              </w:rPr>
              <w:t>Three months ended September 30,</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3,140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19 %</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(1,079)</w:t>
            </w:r>
          </w:p>
        </w:tc>
        <w:tc>
          <w:tcPr>
            <w:tcW w:w="134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29 %</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2,061</w:t>
            </w:r>
          </w:p>
        </w:tc>
        <w:tc>
          <w:tcPr>
            <w:tcW w:w="13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14 %</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(206)</w:t>
            </w:r>
          </w:p>
        </w:tc>
        <w:tc>
          <w:tcPr>
            <w:tcW w:w="134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45 %</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1,855</w:t>
            </w:r>
          </w:p>
        </w:tc>
        <w:tc>
          <w:tcPr>
            <w:tcW w:w="13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11 %</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28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1,239</w:t>
            </w:r>
          </w:p>
        </w:tc>
        <w:tc>
          <w:tcPr>
            <w:tcW w:w="1340" w:type="dxa"/>
            <w:vAlign w:val="bottom"/>
            <w:gridSpan w:val="2"/>
          </w:tcPr>
          <w:p>
            <w:pPr>
              <w:jc w:val="right"/>
              <w:ind w:right="1"/>
              <w:spacing w:after="0"/>
              <w:rPr>
                <w:sz w:val="20"/>
                <w:szCs w:val="20"/>
                <w:color w:val="auto"/>
              </w:rPr>
            </w:pPr>
            <w:r>
              <w:rPr>
                <w:rFonts w:ascii="Arial" w:cs="Arial" w:eastAsia="Arial" w:hAnsi="Arial"/>
                <w:sz w:val="16"/>
                <w:szCs w:val="16"/>
                <w:color w:val="auto"/>
              </w:rPr>
              <w:t>15 %</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474</w:t>
            </w:r>
          </w:p>
        </w:tc>
        <w:tc>
          <w:tcPr>
            <w:tcW w:w="13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8 %</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28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216"/>
        </w:trPr>
        <w:tc>
          <w:tcPr>
            <w:tcW w:w="6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170</w:t>
            </w:r>
          </w:p>
        </w:tc>
        <w:tc>
          <w:tcPr>
            <w:tcW w:w="1340" w:type="dxa"/>
            <w:vAlign w:val="bottom"/>
            <w:gridSpan w:val="2"/>
          </w:tcPr>
          <w:p>
            <w:pPr>
              <w:jc w:val="right"/>
              <w:ind w:right="1"/>
              <w:spacing w:after="0"/>
              <w:rPr>
                <w:sz w:val="20"/>
                <w:szCs w:val="20"/>
                <w:color w:val="auto"/>
              </w:rPr>
            </w:pPr>
            <w:r>
              <w:rPr>
                <w:rFonts w:ascii="Arial" w:cs="Arial" w:eastAsia="Arial" w:hAnsi="Arial"/>
                <w:sz w:val="16"/>
                <w:szCs w:val="16"/>
                <w:color w:val="auto"/>
              </w:rPr>
              <w:t>15 %</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3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36 %</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Core earnings before income taxes</w:t>
            </w:r>
          </w:p>
        </w:tc>
        <w:tc>
          <w:tcPr>
            <w:tcW w:w="28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298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loss on subsidiary</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GAAP earnings before income taxes</w:t>
            </w:r>
          </w:p>
        </w:tc>
        <w:tc>
          <w:tcPr>
            <w:tcW w:w="28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291</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294</w:t>
            </w:r>
          </w:p>
        </w:tc>
        <w:tc>
          <w:tcPr>
            <w:tcW w:w="1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(1 %)</w:t>
            </w:r>
          </w:p>
        </w:tc>
      </w:tr>
      <w:tr>
        <w:trPr>
          <w:trHeight w:val="20"/>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Arial" w:cs="Arial" w:eastAsia="Arial" w:hAnsi="Arial"/>
          <w:sz w:val="15"/>
          <w:szCs w:val="15"/>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2108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4" w:lineRule="exact"/>
        <w:rPr>
          <w:sz w:val="20"/>
          <w:szCs w:val="20"/>
          <w:color w:val="auto"/>
        </w:rPr>
      </w:pPr>
    </w:p>
    <w:p>
      <w:pPr>
        <w:ind w:left="640"/>
        <w:spacing w:after="0"/>
        <w:tabs>
          <w:tab w:leader="none" w:pos="2320" w:val="left"/>
          <w:tab w:leader="none" w:pos="3760" w:val="left"/>
        </w:tabs>
        <w:rPr>
          <w:sz w:val="20"/>
          <w:szCs w:val="20"/>
          <w:color w:val="auto"/>
        </w:rPr>
      </w:pPr>
      <w:r>
        <w:rPr>
          <w:rFonts w:ascii="Arial" w:cs="Arial" w:eastAsia="Arial" w:hAnsi="Arial"/>
          <w:sz w:val="15"/>
          <w:szCs w:val="15"/>
          <w:color w:val="auto"/>
        </w:rPr>
        <w:t>2024</w:t>
      </w:r>
      <w:r>
        <w:rPr>
          <w:sz w:val="20"/>
          <w:szCs w:val="20"/>
          <w:color w:val="auto"/>
        </w:rPr>
        <w:tab/>
      </w:r>
      <w:r>
        <w:rPr>
          <w:rFonts w:ascii="Arial" w:cs="Arial" w:eastAsia="Arial" w:hAnsi="Arial"/>
          <w:sz w:val="15"/>
          <w:szCs w:val="15"/>
          <w:color w:val="auto"/>
        </w:rPr>
        <w:t>2023</w:t>
      </w:r>
      <w:r>
        <w:rPr>
          <w:sz w:val="20"/>
          <w:szCs w:val="20"/>
          <w:color w:val="auto"/>
        </w:rPr>
        <w:tab/>
      </w:r>
      <w:r>
        <w:rPr>
          <w:rFonts w:ascii="Arial" w:cs="Arial" w:eastAsia="Arial" w:hAnsi="Arial"/>
          <w:sz w:val="14"/>
          <w:szCs w:val="14"/>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21590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0" w:type="dxa"/>
            <w:vAlign w:val="bottom"/>
          </w:tcPr>
          <w:p>
            <w:pPr>
              <w:jc w:val="right"/>
              <w:spacing w:after="0"/>
              <w:rPr>
                <w:sz w:val="20"/>
                <w:szCs w:val="20"/>
                <w:color w:val="auto"/>
              </w:rPr>
            </w:pPr>
            <w:r>
              <w:rPr>
                <w:rFonts w:ascii="Arial" w:cs="Arial" w:eastAsia="Arial" w:hAnsi="Arial"/>
                <w:sz w:val="16"/>
                <w:szCs w:val="16"/>
                <w:color w:val="auto"/>
              </w:rPr>
              <w:t>69.5 %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66.7 %</w:t>
            </w:r>
          </w:p>
        </w:tc>
        <w:tc>
          <w:tcPr>
            <w:tcW w:w="13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7"/>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25.5 %</w:t>
            </w:r>
          </w:p>
        </w:tc>
        <w:tc>
          <w:tcPr>
            <w:tcW w:w="132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0"/>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92.2 %</w:t>
            </w:r>
          </w:p>
        </w:tc>
        <w:tc>
          <w:tcPr>
            <w:tcW w:w="132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13"/>
        </w:trPr>
        <w:tc>
          <w:tcPr>
            <w:tcW w:w="1600" w:type="dxa"/>
            <w:vAlign w:val="bottom"/>
          </w:tcPr>
          <w:p>
            <w:pPr>
              <w:jc w:val="right"/>
              <w:spacing w:after="0"/>
              <w:rPr>
                <w:sz w:val="20"/>
                <w:szCs w:val="20"/>
                <w:color w:val="auto"/>
              </w:rPr>
            </w:pPr>
            <w:r>
              <w:rPr>
                <w:rFonts w:ascii="Arial" w:cs="Arial" w:eastAsia="Arial" w:hAnsi="Arial"/>
                <w:sz w:val="16"/>
                <w:szCs w:val="16"/>
                <w:color w:val="auto"/>
              </w:rPr>
              <w:t>69.6 %</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66.8 %</w:t>
            </w:r>
          </w:p>
        </w:tc>
        <w:tc>
          <w:tcPr>
            <w:tcW w:w="13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7"/>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25.5 %</w:t>
            </w:r>
          </w:p>
        </w:tc>
        <w:tc>
          <w:tcPr>
            <w:tcW w:w="132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0"/>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92.3 %</w:t>
            </w:r>
          </w:p>
        </w:tc>
        <w:tc>
          <w:tcPr>
            <w:tcW w:w="132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-1165225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-890905</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-591185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-316865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Gross written premiums (“GWP”) for AFG’s property and casualty insurance segment were $3.75 billion for the third quarter of 2024 compared to</w:t>
      </w:r>
    </w:p>
    <w:p>
      <w:pPr>
        <w:spacing w:after="0" w:line="7"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$3.14 billion for the third quarter of 2023, an increase of $608 million (19%). Detail of AFG’s property and casualty gross written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color w:val="auto"/>
              </w:rPr>
              <w:t>Three months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GWP</w:t>
            </w:r>
          </w:p>
        </w:tc>
        <w:tc>
          <w:tcPr>
            <w:tcW w:w="760" w:type="dxa"/>
            <w:vAlign w:val="bottom"/>
          </w:tcPr>
          <w:p>
            <w:pPr>
              <w:jc w:val="right"/>
              <w:ind w:right="3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GWP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2,107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1,592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09"/>
        </w:trPr>
        <w:tc>
          <w:tcPr>
            <w:tcW w:w="53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3,748</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21"/>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jc w:val="both"/>
        <w:ind w:right="52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37% of gross written premiums for the third quarter of 2024 compared to 34% of gross written premiums for the third quarter of 2023, an increase of 3 percentage points.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color w:val="auto"/>
              </w:rPr>
              <w:t>Three months ended 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 of GWP</w:t>
            </w:r>
          </w:p>
        </w:tc>
      </w:tr>
      <w:tr>
        <w:trPr>
          <w:trHeight w:val="21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3 %</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32 %</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1 %</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35"/>
        </w:trPr>
        <w:tc>
          <w:tcPr>
            <w:tcW w:w="5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Net written premiums (“NWP”) for AFG’s property and casualty insurance segment were $2.35 billion for the third quarter of 2024 compared to</w:t>
      </w:r>
    </w:p>
    <w:p>
      <w:pPr>
        <w:spacing w:after="0" w:line="7"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$2.06 billion for the third quarter of 2023, an increase of $292 million (14%). Detail of AFG’s property and casualty net written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color w:val="auto"/>
              </w:rPr>
              <w:t>Three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3"/>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122"/>
              <w:spacing w:after="0"/>
              <w:rPr>
                <w:sz w:val="20"/>
                <w:szCs w:val="20"/>
                <w:color w:val="auto"/>
              </w:rPr>
            </w:pPr>
            <w:r>
              <w:rPr>
                <w:rFonts w:ascii="Arial" w:cs="Arial" w:eastAsia="Arial" w:hAnsi="Arial"/>
                <w:sz w:val="14"/>
                <w:szCs w:val="14"/>
                <w:color w:val="auto"/>
              </w:rPr>
              <w:t>% Change</w:t>
            </w:r>
          </w:p>
        </w:tc>
      </w:tr>
      <w:tr>
        <w:trPr>
          <w:trHeight w:val="214"/>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829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2,061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Net earned premiums (“NEP”) for AFG’s property and casualty insurance segment were $2.06 billion for the third quarter of 2024 compared to</w:t>
      </w:r>
    </w:p>
    <w:p>
      <w:pPr>
        <w:spacing w:after="0" w:line="7"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$1.86 billion for the third quarter of 2023, an increase of $200 million (11%). Detail of AFG’s property and casualty net earned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color w:val="auto"/>
              </w:rPr>
              <w:t>Three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80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60" w:type="dxa"/>
            <w:vAlign w:val="bottom"/>
          </w:tcPr>
          <w:p>
            <w:pPr>
              <w:jc w:val="right"/>
              <w:ind w:right="162"/>
              <w:spacing w:after="0"/>
              <w:rPr>
                <w:sz w:val="20"/>
                <w:szCs w:val="20"/>
                <w:color w:val="auto"/>
              </w:rPr>
            </w:pPr>
            <w:r>
              <w:rPr>
                <w:rFonts w:ascii="Arial" w:cs="Arial" w:eastAsia="Arial" w:hAnsi="Arial"/>
                <w:sz w:val="14"/>
                <w:szCs w:val="14"/>
                <w:color w:val="auto"/>
              </w:rPr>
              <w:t>% Change</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5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1,855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Gross written premiums for the third quarter of 2024 increased $608 million (19%) compared to the third quarter of 2023, driven primarily by additional premiums from the CRS acquisition. Gross and net written premiums excluding crop insurance each grew 7% year over year reflecting new business opportunities, increased exposures and a good renewal rate environment. Overall average renewal rates increased approximately 7% in the third quarter of 2024. Excluding the workers’ compensation businesses, renewal rates increased approximately 8%.</w:t>
      </w:r>
    </w:p>
    <w:p>
      <w:pPr>
        <w:spacing w:after="0" w:line="200" w:lineRule="exact"/>
        <w:rPr>
          <w:sz w:val="20"/>
          <w:szCs w:val="20"/>
          <w:color w:val="auto"/>
        </w:rPr>
      </w:pPr>
    </w:p>
    <w:p>
      <w:pPr>
        <w:ind w:right="20"/>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$515 million (32%) in the third quarter of 2024 compared to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2023. The primary drivers of this growth included additional premiums from the CRS acquisition and, to a lesser extent, later reporting of crop acreage, which shifted the timing of reporting of some crop premium from the second quarter to the third quarter of 2024. Excluding crop premiums, gross and net written premiums each grew by 11% year over year in this group, which is attributable primarily to new business opportunities, a favorable rate environment and increased exposures in the commercial auto, property and inland marine and ocean marine businesses. Average renewal rates increased approximately 7% for this group in the third quarter of 2024. Reinsurance premiums ceded as a percentage of gross written premiums increased 3 percentage points in the third quarter of 2024 compared to the third quarter of 2023 reflecting the impact of higher premiums in the crop business, which cedes a larger percentage of premiums than some of the other businesses in the Property and transportation sub-segment.</w:t>
      </w:r>
    </w:p>
    <w:p>
      <w:pPr>
        <w:spacing w:after="0" w:line="365"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$71 million (6%) in the third quarter of 2024 compared to the third quarter of 2023. Year-over-year premium growth resulted primarily from new business opportunities and favorable renewal pricing in several of the targeted markets businesses and the excess liability business. The mergers and acquisition business also benefited from an increase in mergers and acquisition activity. This growth was tempered by slightly lower workers’ compensation premiums. Average renewal rates increased approximately 8% for this group in the third quarter of 2024. Excluding the workers’ compensation businesses, renewal rates for this group increased approximately 10%. Reinsurance premiums ceded as a percentage of gross written premiums increased 1 percentage point in the third quarter of 2024 compared to the third quarter of 2023 reflecting higher cessions in the excess and surplus, mergers and acquisitions and public sector businesses, partially offset by lower cessions in the social services business.</w:t>
      </w:r>
    </w:p>
    <w:p>
      <w:pPr>
        <w:spacing w:after="0" w:line="224" w:lineRule="exact"/>
        <w:rPr>
          <w:sz w:val="20"/>
          <w:szCs w:val="20"/>
          <w:color w:val="auto"/>
        </w:rPr>
      </w:pPr>
    </w:p>
    <w:p>
      <w:pPr>
        <w:ind w:right="340"/>
        <w:spacing w:after="0" w:line="248"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$22 million (7%) in the third quarter of 2024 compared to the third quarter of 2023 due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primarily to growth in the financial institutions business. Average renewal rates increased approximately 6% for this group in the third quarter of 2024. Reinsurance premiums ceded as a percentage of gross written premiums decreased 2 percentage points in the third quarter of 2024 compared to the third quarter of 2023. The impact of lower gross written premiums in the innovative markets business, which cedes a larger percentage of premiums than some of the other businesses in the Specialty financial sub-segment was partially offset by the impact of higher cessions in the financial institutions and fidelity businesses.</w:t>
      </w:r>
    </w:p>
    <w:p>
      <w:pPr>
        <w:spacing w:after="0" w:line="215"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operations that make up AFG’s other Specialty property and casualty insurance sub-segments. Reinsurance premiums assumed in the third quarter of 2024 were comparable to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details the components of the combined ratio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31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Three months ended September 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color w:val="auto"/>
              </w:rPr>
              <w:t>Three months ended September 30,</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15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414"/>
        </w:trPr>
        <w:tc>
          <w:tcPr>
            <w:tcW w:w="1500" w:type="dxa"/>
            <w:vAlign w:val="bottom"/>
          </w:tcPr>
          <w:p>
            <w:pPr>
              <w:jc w:val="right"/>
              <w:spacing w:after="0"/>
              <w:rPr>
                <w:sz w:val="20"/>
                <w:szCs w:val="20"/>
                <w:color w:val="auto"/>
              </w:rPr>
            </w:pPr>
            <w:r>
              <w:rPr>
                <w:rFonts w:ascii="Arial" w:cs="Arial" w:eastAsia="Arial" w:hAnsi="Arial"/>
                <w:sz w:val="16"/>
                <w:szCs w:val="16"/>
                <w:color w:val="auto"/>
              </w:rPr>
              <w:t>79.3 %</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76.8 %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34</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63.6 %</w:t>
            </w:r>
          </w:p>
        </w:tc>
        <w:tc>
          <w:tcPr>
            <w:tcW w:w="8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63.1 %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76</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46.1 %</w:t>
            </w:r>
          </w:p>
        </w:tc>
        <w:tc>
          <w:tcPr>
            <w:tcW w:w="8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39.8 %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22</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69.5 %</w:t>
            </w:r>
          </w:p>
        </w:tc>
        <w:tc>
          <w:tcPr>
            <w:tcW w:w="8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66.7 %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69.6 %</w:t>
            </w:r>
          </w:p>
        </w:tc>
        <w:tc>
          <w:tcPr>
            <w:tcW w:w="8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66.8 %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-4208145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-3933825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-3634105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-3342640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-3068320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-2767965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-2476500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-2202815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-1902460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-1610995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-1336675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-1036320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-745490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-471170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-170815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720"/>
            <w:col w:w="7260"/>
          </w:cols>
          <w:pgMar w:left="320" w:top="116" w:right="339" w:bottom="1440" w:gutter="0" w:footer="0" w:header="0"/>
          <w:type w:val="continuous"/>
        </w:sectPr>
      </w:pPr>
    </w:p>
    <w:p>
      <w:pPr>
        <w:spacing w:after="0" w:line="11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Specialty property and casualty insurance operations generated an underwriting profit of $117 million in the third quarter of 2024 compared to $143 million in the third quarter of 2023, a decrease of $26 million (18%), reflecting lower underwriting profits in each of the Specialty property and casualty insurance sub-segments and higher losses in the business assumed by AFG’s internal reinsurance program. Overall catastrophe losses were $90 million (4.4 points on the combined ratio) in the third quarter of 2024 compared to catastrophe losses of $56 million (3.0 points) in the third quarter of 2023.</w:t>
      </w:r>
    </w:p>
    <w:p>
      <w:pPr>
        <w:spacing w:after="0" w:line="207"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$34 million for the third quarter of 2024 compared to $42 million for the third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2023, a decrease of $8 million (19%). Higher year-over-year underwriting profit in the agricultural businesses was more than offset by higher catastrophe losses. Catastrophe losses were $34 million (3.6 points on the combined ratio) in the third quarter of 2024 compared to $14 million (1.7 points) in the third quarter of 2023.</w:t>
      </w:r>
    </w:p>
    <w:p>
      <w:pPr>
        <w:spacing w:after="0" w:line="218"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$76 million for the third quarter of 2024 compared to $78 million for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2023, a decrease of $2 million (3%). Higher year-over-year underwriting profitability in the targeted markets businesses was more than offset by lower year-over-year underwriting profit in the excess and surplus businesses and, to a lesser extent, the workers’ compensation and executive liability businesses. Catastrophe losses were $16 million (2.3 points on the combined ratio) in the third quarter of 2024 compared to catastrophe losses of $17 million (2.3 points) in the third quarter of 2023.</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$22 million for the third quarter of 2024 compared to $29 million in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2023, a decrease of $7 million (24%). Improved results in the lender services business were more than offset by lower year-over-year profitability in the surety and fidelity businesses. Catastrophe losses were $39 million (14.4 points on the combined ratio) compared to $22 million (9.3 points) in the third quarter of 2023.</w:t>
      </w:r>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This group reported an underwriting loss of $15 million in the third quarter of 2024 compared to $6 million in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2023, an increase of $9 million (150%), reflecting higher losses in the business assumed by AFG’s internal reinsurance program from the operations that make up AFG’s other Specialty sub-segments in the third quarter of 2024 compared to the third quarter of 2023. Catastrophe losses were $1 million in the third quarter of 2024 compared to $3 million in the third quarter of 2023.</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 million in the third quarter of 2024 and $1 million in the third quarter of 2023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69.6% for the third quarter of 2024 compared to 66.8% for the third quarter of 2023,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2.8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rPr>
              <w:t>Three months ended 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Amount</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Ratio</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05"/>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758</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76.8 %</w:t>
            </w:r>
          </w:p>
        </w:tc>
        <w:tc>
          <w:tcPr>
            <w:tcW w:w="1320" w:type="dxa"/>
            <w:vAlign w:val="bottom"/>
            <w:gridSpan w:val="2"/>
          </w:tcPr>
          <w:p>
            <w:pPr>
              <w:jc w:val="right"/>
              <w:ind w:right="5"/>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3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32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76.8 %</w:t>
            </w:r>
          </w:p>
        </w:tc>
        <w:tc>
          <w:tcPr>
            <w:tcW w:w="132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461</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63.7 %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3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4"/>
                <w:szCs w:val="14"/>
                <w:color w:val="auto"/>
              </w:rPr>
            </w:pPr>
          </w:p>
        </w:tc>
        <w:tc>
          <w:tcPr>
            <w:tcW w:w="1220" w:type="dxa"/>
            <w:vAlign w:val="bottom"/>
            <w:vMerge w:val="restart"/>
          </w:tcPr>
          <w:p>
            <w:pPr>
              <w:jc w:val="right"/>
              <w:ind w:right="5"/>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63.1 %</w:t>
            </w:r>
          </w:p>
        </w:tc>
        <w:tc>
          <w:tcPr>
            <w:tcW w:w="132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94</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34.7 %</w:t>
            </w:r>
          </w:p>
        </w:tc>
        <w:tc>
          <w:tcPr>
            <w:tcW w:w="1320" w:type="dxa"/>
            <w:vAlign w:val="bottom"/>
            <w:gridSpan w:val="2"/>
          </w:tcPr>
          <w:p>
            <w:pPr>
              <w:jc w:val="right"/>
              <w:ind w:right="5"/>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3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9.3 %</w:t>
            </w:r>
          </w:p>
        </w:tc>
        <w:tc>
          <w:tcPr>
            <w:tcW w:w="132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39.8 %</w:t>
            </w:r>
          </w:p>
        </w:tc>
        <w:tc>
          <w:tcPr>
            <w:tcW w:w="132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1,355</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66.0 %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3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3.0 %</w:t>
            </w:r>
          </w:p>
        </w:tc>
        <w:tc>
          <w:tcPr>
            <w:tcW w:w="132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66.7 %</w:t>
            </w:r>
          </w:p>
        </w:tc>
        <w:tc>
          <w:tcPr>
            <w:tcW w:w="132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1,355</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66.0 %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3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3.1 %</w:t>
            </w:r>
          </w:p>
        </w:tc>
        <w:tc>
          <w:tcPr>
            <w:tcW w:w="132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66.8 %</w:t>
            </w:r>
          </w:p>
        </w:tc>
        <w:tc>
          <w:tcPr>
            <w:tcW w:w="132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65.9% for the third quarter of 2024 compared to 66.0% for the third quarter of 2023, a decrease of 0.1 percentage points.</w:t>
      </w:r>
    </w:p>
    <w:p>
      <w:pPr>
        <w:spacing w:after="0" w:line="18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0.4 percentage points increase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growth in the crop business, which has a higher loss and LAE ratio than some of the other businesses in the Property and transportation sub-segment, higher reported losses in the commercial auto businesses and the impact of unusually low losses in the ocean marine business in the third quarter of 2023.</w:t>
      </w:r>
    </w:p>
    <w:p>
      <w:pPr>
        <w:spacing w:after="0" w:line="218"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1.8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in the workers’ compensation businesses and an isolated larger property</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loss related to the program business in the third quarter of 2023, partially offset by higher losses in the excess and surplus businesses.</w:t>
      </w:r>
    </w:p>
    <w:p>
      <w:pPr>
        <w:spacing w:after="0" w:line="251"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0.4 percentage points increase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lower growth in the fidelity and surety businesses and higher reported losses in the fidelity business, partially offset by growth in the financial institutions business, which has a lower loss and LAE ratio than some of the other businesses in the Specialty financial sub-segment.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820"/>
        <w:spacing w:after="0" w:line="281"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$17 million in the third quarter of 2024 compared to $44 million in the third quarter of 2023, a decrease of $27 million (61%).</w:t>
      </w:r>
    </w:p>
    <w:p>
      <w:pPr>
        <w:spacing w:after="0" w:line="18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$15 million in the third quarter of 2024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severity in the ocean marine business and, to a lesser extent, lower than expected claim severity in the agribusiness, crop, property and inland marine and aviation businesses. Net favorable reserve development of $14 million in the third quarter of 2023 reflects lower than expected claim frequency in the property and inland marine business and lower than anticipated claim frequency and severity across the transportation businesses.</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$4 million in the third quarter of 2024 reflects lower than anticipated claim severity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workers’ compensation businesses, partially offset by higher than anticipated claim severity in the excess liability business. Net favorable reserve development of $22 million in the third quarter of 2023 reflects lower than anticipated claim severity in the workers’ compensation businesses and lower than expected claim frequency in the executive liability and environmental businesses, partially offset by higher than anticipated claim severity in certain targeted markets businesses.</w:t>
      </w:r>
    </w:p>
    <w:p>
      <w:pPr>
        <w:spacing w:after="0" w:line="219"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$9 million in the third quarter of 2024 reflects lower than anticipated claim severity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fidelity business and lower than expected claim frequency in the financial institutions business. Net favorable reserve development of $10 million in the third quarter of 2023 reflects lower than anticipated claim frequency and severity in the fidelity and surety businesses and lower than expected claim frequency in the trade credit business.</w:t>
      </w:r>
    </w:p>
    <w:p>
      <w:pPr>
        <w:spacing w:after="0" w:line="218"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In addition to the development discussed above, total Specialty prior year reserve development includes net adverse reserve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development of $11 million in the third quarter of 2024 and $2 million in the third quarter of 2023 associated with AFG’s internal reinsurance program and the amortization of the deferred gain on the retroactive reinsurance transaction entered into in connection with the sale of a business in 1998. The net adverse reserve development in 2024 is primarily related to social inflation exposed business assumed from the Specialty casualty sub-segment.</w:t>
      </w:r>
    </w:p>
    <w:p>
      <w:pPr>
        <w:spacing w:after="0" w:line="215"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i w:val="1"/>
          <w:iCs w:val="1"/>
          <w:color w:val="003366"/>
        </w:rPr>
        <w:t xml:space="preserve">Asbestos and environmental reserves </w:t>
      </w:r>
      <w:r>
        <w:rPr>
          <w:rFonts w:ascii="Arial" w:cs="Arial" w:eastAsia="Arial" w:hAnsi="Arial"/>
          <w:sz w:val="17"/>
          <w:szCs w:val="17"/>
          <w:color w:val="000000"/>
        </w:rPr>
        <w:t>During the third quarter of 2024, AFG completed an in-depth internal review of its asbestos and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environmental exposures relating to the run-off operations of its property and casualty insurance segment and its exposures related to former railroad and manufacturing operations and sites. AFG annually conducts a comprehensive review of its asbestos and environmental reserves. In connection with its annual reviews, AFG engages with outside counsel and, as appropriate, engineering and consulting firms and specialty actuarial firms.</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During the 2024 internal review, no new trends were identified and recent claims activity was generally consistent with AFG’s expectations resulting from its in-depth internal reviews in the prior three years, and the most recent external study in 2020. As a result, and consistent with the internal review in the third quarter of 2023, the 2024 review resulted in no net change to AFG’s property and casualty insurance segment’s asbestos and environmental reserves. See </w:t>
      </w:r>
      <w:r>
        <w:rPr>
          <w:rFonts w:ascii="Arial" w:cs="Arial" w:eastAsia="Arial" w:hAnsi="Arial"/>
          <w:sz w:val="17"/>
          <w:szCs w:val="17"/>
          <w:i w:val="1"/>
          <w:iCs w:val="1"/>
          <w:color w:val="auto"/>
        </w:rPr>
        <w:t>Management’s Discussion and Analysis — “Uncertainties — Asbestos and Environmental-related (“A&amp;E”) Insurance</w:t>
      </w:r>
      <w:r>
        <w:rPr>
          <w:rFonts w:ascii="Arial" w:cs="Arial" w:eastAsia="Arial" w:hAnsi="Arial"/>
          <w:sz w:val="17"/>
          <w:szCs w:val="17"/>
          <w:color w:val="auto"/>
        </w:rPr>
        <w:t xml:space="preserve"> </w:t>
      </w:r>
      <w:r>
        <w:rPr>
          <w:rFonts w:ascii="Arial" w:cs="Arial" w:eastAsia="Arial" w:hAnsi="Arial"/>
          <w:sz w:val="17"/>
          <w:szCs w:val="17"/>
          <w:i w:val="1"/>
          <w:iCs w:val="1"/>
          <w:color w:val="auto"/>
        </w:rPr>
        <w:t>Reserves</w:t>
      </w:r>
      <w:r>
        <w:rPr>
          <w:rFonts w:ascii="Arial" w:cs="Arial" w:eastAsia="Arial" w:hAnsi="Arial"/>
          <w:sz w:val="17"/>
          <w:szCs w:val="17"/>
          <w:color w:val="auto"/>
        </w:rPr>
        <w:t>” and</w:t>
      </w:r>
      <w:r>
        <w:rPr>
          <w:rFonts w:ascii="Arial" w:cs="Arial" w:eastAsia="Arial" w:hAnsi="Arial"/>
          <w:sz w:val="17"/>
          <w:szCs w:val="17"/>
          <w:i w:val="1"/>
          <w:iCs w:val="1"/>
          <w:color w:val="auto"/>
        </w:rPr>
        <w:t xml:space="preserve"> Management’s Discussion and Analysis — “Results of Operations — Holding Company, Other and Unallocated” </w:t>
      </w:r>
      <w:r>
        <w:rPr>
          <w:rFonts w:ascii="Arial" w:cs="Arial" w:eastAsia="Arial" w:hAnsi="Arial"/>
          <w:sz w:val="17"/>
          <w:szCs w:val="17"/>
          <w:color w:val="auto"/>
        </w:rPr>
        <w:t>in AFG’s 2023 Form</w:t>
      </w:r>
      <w:r>
        <w:rPr>
          <w:rFonts w:ascii="Arial" w:cs="Arial" w:eastAsia="Arial" w:hAnsi="Arial"/>
          <w:sz w:val="17"/>
          <w:szCs w:val="17"/>
          <w:i w:val="1"/>
          <w:iCs w:val="1"/>
          <w:color w:val="auto"/>
        </w:rPr>
        <w:t xml:space="preserve"> </w:t>
      </w:r>
      <w:r>
        <w:rPr>
          <w:rFonts w:ascii="Arial" w:cs="Arial" w:eastAsia="Arial" w:hAnsi="Arial"/>
          <w:sz w:val="17"/>
          <w:szCs w:val="17"/>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At September 30, 2024, the property and casualty insurance segment’s insurance reserves include A&amp;E reserves of $362 million, net of reinsurance recoverables. At September 30, 2024, the property and casualty insurance segment’s three-year survival ratios compare favorably with industry survival ratios published by S&amp;P Global Market Intelligence (as of December 31, 2023, and adjusted for several large industry portfolio transfers) as detailed in the following table:</w:t>
      </w:r>
    </w:p>
    <w:p>
      <w:pPr>
        <w:spacing w:after="0" w:line="10" w:lineRule="exact"/>
        <w:rPr>
          <w:sz w:val="20"/>
          <w:szCs w:val="20"/>
          <w:color w:val="auto"/>
        </w:rPr>
      </w:pPr>
    </w:p>
    <w:p>
      <w:pPr>
        <w:jc w:val="center"/>
        <w:ind w:left="5560"/>
        <w:spacing w:after="0"/>
        <w:rPr>
          <w:sz w:val="20"/>
          <w:szCs w:val="20"/>
          <w:color w:val="auto"/>
        </w:rPr>
      </w:pPr>
      <w:r>
        <w:rPr>
          <w:rFonts w:ascii="Arial" w:cs="Arial" w:eastAsia="Arial" w:hAnsi="Arial"/>
          <w:sz w:val="14"/>
          <w:szCs w:val="14"/>
          <w:color w:val="auto"/>
        </w:rPr>
        <w:t>Property and Casualty Insurance Reserves</w:t>
      </w:r>
    </w:p>
    <w:p>
      <w:pPr>
        <w:spacing w:after="0" w:line="42" w:lineRule="exact"/>
        <w:rPr>
          <w:sz w:val="20"/>
          <w:szCs w:val="20"/>
          <w:color w:val="auto"/>
        </w:rPr>
      </w:pPr>
    </w:p>
    <w:p>
      <w:pPr>
        <w:jc w:val="center"/>
        <w:ind w:left="5560"/>
        <w:spacing w:after="0"/>
        <w:rPr>
          <w:sz w:val="20"/>
          <w:szCs w:val="20"/>
          <w:color w:val="auto"/>
        </w:rPr>
      </w:pPr>
      <w:r>
        <w:rPr>
          <w:rFonts w:ascii="Arial" w:cs="Arial" w:eastAsia="Arial" w:hAnsi="Arial"/>
          <w:sz w:val="14"/>
          <w:szCs w:val="14"/>
          <w:color w:val="auto"/>
        </w:rPr>
        <w:t>Three-Year Survival Ratio (Times Paid Losses)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Asbestos</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Environmental</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color w:val="auto"/>
              </w:rPr>
              <w:t>Total A&amp;E</w:t>
            </w:r>
          </w:p>
        </w:tc>
      </w:tr>
      <w:tr>
        <w:trPr>
          <w:trHeight w:val="214"/>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AFG (9/30/2024)</w:t>
            </w: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5"/>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Industry (12/31/2023)</w:t>
            </w:r>
          </w:p>
        </w:tc>
        <w:tc>
          <w:tcPr>
            <w:tcW w:w="4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8.0</w:t>
            </w:r>
          </w:p>
        </w:tc>
      </w:tr>
    </w:tbl>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 xml:space="preserve">In addition, the 2024 and 2023 internal reviews encompassed reserves for asbestos and environmental exposures of AFG’s former railroad and manufacturing operations. For a discussion of the $14 million and $15 million pretax non-core special charge increases in AFG’s liabilities for those operations recorded in the third quarter of 2024 and the third quarter of 2023, respectively, see </w:t>
      </w:r>
      <w:r>
        <w:rPr>
          <w:rFonts w:ascii="Arial" w:cs="Arial" w:eastAsia="Arial" w:hAnsi="Arial"/>
          <w:sz w:val="17"/>
          <w:szCs w:val="17"/>
          <w:i w:val="1"/>
          <w:iCs w:val="1"/>
          <w:color w:val="auto"/>
        </w:rPr>
        <w:t>“Special A&amp;E Charges”</w:t>
      </w:r>
      <w:r>
        <w:rPr>
          <w:rFonts w:ascii="Arial" w:cs="Arial" w:eastAsia="Arial" w:hAnsi="Arial"/>
          <w:sz w:val="17"/>
          <w:szCs w:val="17"/>
          <w:color w:val="auto"/>
        </w:rPr>
        <w:t xml:space="preserve"> under “</w:t>
      </w:r>
      <w:r>
        <w:rPr>
          <w:rFonts w:ascii="Arial" w:cs="Arial" w:eastAsia="Arial" w:hAnsi="Arial"/>
          <w:sz w:val="17"/>
          <w:szCs w:val="17"/>
          <w:i w:val="1"/>
          <w:iCs w:val="1"/>
          <w:color w:val="auto"/>
        </w:rPr>
        <w:t>Results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Holding Company, Other and Unallocated</w:t>
      </w:r>
      <w:r>
        <w:rPr>
          <w:rFonts w:ascii="Arial" w:cs="Arial" w:eastAsia="Arial" w:hAnsi="Arial"/>
          <w:sz w:val="17"/>
          <w:szCs w:val="17"/>
          <w:color w:val="auto"/>
        </w:rPr>
        <w:t>,” for the quarters ended September 30, 2024 and 2023.</w:t>
      </w:r>
    </w:p>
    <w:p>
      <w:pPr>
        <w:spacing w:after="0" w:line="235" w:lineRule="exact"/>
        <w:rPr>
          <w:sz w:val="20"/>
          <w:szCs w:val="20"/>
          <w:color w:val="auto"/>
        </w:rPr>
      </w:pPr>
    </w:p>
    <w:p>
      <w:pPr>
        <w:ind w:right="18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$2 million in the third quarter of 2024 and $1 million in the third quarter of 2023 related to business outside of the Specialty group that AFG no longer writes.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AFG generally seeks to reduce its exposure to catastrophes (whether resulting from climate change or otherwise) through individual risk selection, including minimizing coastal and known fault-line exposures, and the purchase of reinsurance. Based on data available at December 31, 2023, AFG’s exposure to a catastrophic earthquake or windstorm that industry models indicate should statistically occur once in every 100, 250 or 500 years as a percentage of AFG’s Shareholders’ Equity is shown below:</w:t>
      </w:r>
    </w:p>
    <w:p>
      <w:pPr>
        <w:spacing w:after="0" w:line="103" w:lineRule="exact"/>
        <w:rPr>
          <w:sz w:val="20"/>
          <w:szCs w:val="20"/>
          <w:color w:val="auto"/>
        </w:rPr>
      </w:pPr>
    </w:p>
    <w:tbl>
      <w:tblPr>
        <w:tblLayout w:type="fixed"/>
        <w:tblInd w:w="3200" w:type="dxa"/>
        <w:tblCellMar>
          <w:top w:w="0" w:type="dxa"/>
          <w:left w:w="0" w:type="dxa"/>
          <w:bottom w:w="0" w:type="dxa"/>
          <w:right w:w="0" w:type="dxa"/>
        </w:tblCellMar>
      </w:tblPr>
      <w:tr>
        <w:trPr>
          <w:trHeight w:val="200"/>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rPr>
              <w:t>Approximate impact of modeled loss</w:t>
            </w:r>
          </w:p>
        </w:tc>
      </w:tr>
      <w:tr>
        <w:trPr>
          <w:trHeight w:val="205"/>
        </w:trPr>
        <w:tc>
          <w:tcPr>
            <w:tcW w:w="1660" w:type="dxa"/>
            <w:vAlign w:val="bottom"/>
            <w:gridSpan w:val="2"/>
          </w:tcPr>
          <w:p>
            <w:pPr>
              <w:jc w:val="center"/>
              <w:ind w:right="100"/>
              <w:spacing w:after="0"/>
              <w:rPr>
                <w:sz w:val="20"/>
                <w:szCs w:val="20"/>
                <w:color w:val="auto"/>
              </w:rPr>
            </w:pPr>
            <w:r>
              <w:rPr>
                <w:rFonts w:ascii="Arial" w:cs="Arial" w:eastAsia="Arial" w:hAnsi="Arial"/>
                <w:sz w:val="15"/>
                <w:szCs w:val="15"/>
                <w:color w:val="auto"/>
              </w:rPr>
              <w:t>Industry Model</w:t>
            </w:r>
          </w:p>
        </w:tc>
        <w:tc>
          <w:tcPr>
            <w:tcW w:w="3220" w:type="dxa"/>
            <w:vAlign w:val="bottom"/>
          </w:tcPr>
          <w:p>
            <w:pPr>
              <w:jc w:val="center"/>
              <w:spacing w:after="0"/>
              <w:rPr>
                <w:sz w:val="20"/>
                <w:szCs w:val="20"/>
                <w:color w:val="auto"/>
              </w:rPr>
            </w:pPr>
            <w:r>
              <w:rPr>
                <w:rFonts w:ascii="Arial" w:cs="Arial" w:eastAsia="Arial" w:hAnsi="Arial"/>
                <w:sz w:val="15"/>
                <w:szCs w:val="15"/>
                <w:color w:val="auto"/>
              </w:rPr>
              <w:t>on AFG’s Shareholders’ Equity</w:t>
            </w:r>
          </w:p>
        </w:tc>
      </w:tr>
      <w:tr>
        <w:trPr>
          <w:trHeight w:val="213"/>
        </w:trPr>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100-year event</w:t>
            </w:r>
          </w:p>
        </w:tc>
        <w:tc>
          <w:tcPr>
            <w:tcW w:w="10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2%</w:t>
            </w:r>
          </w:p>
        </w:tc>
      </w:tr>
      <w:tr>
        <w:trPr>
          <w:trHeight w:val="215"/>
        </w:trPr>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rPr>
              <w:t>250-year event</w:t>
            </w:r>
          </w:p>
        </w:tc>
        <w:tc>
          <w:tcPr>
            <w:tcW w:w="3220" w:type="dxa"/>
            <w:vAlign w:val="bottom"/>
          </w:tcPr>
          <w:p>
            <w:pPr>
              <w:jc w:val="center"/>
              <w:spacing w:after="0"/>
              <w:rPr>
                <w:sz w:val="20"/>
                <w:szCs w:val="20"/>
                <w:color w:val="auto"/>
              </w:rPr>
            </w:pPr>
            <w:r>
              <w:rPr>
                <w:rFonts w:ascii="Arial" w:cs="Arial" w:eastAsia="Arial" w:hAnsi="Arial"/>
                <w:sz w:val="16"/>
                <w:szCs w:val="16"/>
                <w:color w:val="auto"/>
                <w:w w:val="94"/>
              </w:rPr>
              <w:t>2%</w:t>
            </w:r>
          </w:p>
        </w:tc>
      </w:tr>
      <w:tr>
        <w:trPr>
          <w:trHeight w:val="217"/>
        </w:trPr>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500-year event</w:t>
            </w:r>
          </w:p>
        </w:tc>
        <w:tc>
          <w:tcPr>
            <w:tcW w:w="3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r>
    </w:tbl>
    <w:p>
      <w:pPr>
        <w:spacing w:after="0" w:line="16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AFG maintains comprehensive property catastrophe reinsurance coverage for its property and casualty insurance operations, including a $70 million per occurrence net retention, for losses up to $153 million in the vast majority of circumstances. In certain unlikely events, AFG’s ultimate loss under this coverage could be as high as $73 million for a single occurrence. AFG further maintains supplemental fully collateralized reinsurance coverage up to 94% of $324 million for catastrophe losses in excess of $153 million of traditional catastrophe reinsurance through a catastrophe bond.</w:t>
      </w:r>
    </w:p>
    <w:p>
      <w:pPr>
        <w:spacing w:after="0" w:line="200"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Catastrophe losses of $90 million in the third quarter of 2024 resulted primarily from Hurricane Helene. Catastrophe losses of $56 million in the third quarter of 2023 resulted primarily from a higher frequency of lower severity convective storms in multiple regions of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1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AFG’s property and casualty commissions and other underwriting expenses (“U/W Exp”) were $510 million in the third quarter of 2024 compared to $474 million for the third quarter of 2023, an increase of $36 million (8%). AFG’s underwriting expense ratio, calculated as commissions and other underwriting expenses divided by net premiums earned, was 24.8% for the third quarter of 2024 compared to 25.5% for the third quarter of 2023, a decrease of 0.7 percentage points. Detail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of AFG’s property and casualty commissions and other underwriting expenses and underwriting expense ratios is shown below (dollars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8"/>
          </w:tcPr>
          <w:p>
            <w:pPr>
              <w:ind w:left="120"/>
              <w:spacing w:after="0"/>
              <w:rPr>
                <w:sz w:val="20"/>
                <w:szCs w:val="20"/>
                <w:color w:val="auto"/>
              </w:rPr>
            </w:pPr>
            <w:r>
              <w:rPr>
                <w:rFonts w:ascii="Arial" w:cs="Arial" w:eastAsia="Arial" w:hAnsi="Arial"/>
                <w:sz w:val="14"/>
                <w:szCs w:val="14"/>
                <w:color w:val="auto"/>
              </w:rPr>
              <w:t>Three months ended September 30,</w:t>
            </w:r>
          </w:p>
        </w:tc>
        <w:tc>
          <w:tcPr>
            <w:tcW w:w="12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ind w:right="965"/>
              <w:spacing w:after="0"/>
              <w:rPr>
                <w:sz w:val="20"/>
                <w:szCs w:val="20"/>
                <w:color w:val="auto"/>
              </w:rPr>
            </w:pPr>
            <w:r>
              <w:rPr>
                <w:rFonts w:ascii="Arial" w:cs="Arial" w:eastAsia="Arial" w:hAnsi="Arial"/>
                <w:sz w:val="14"/>
                <w:szCs w:val="14"/>
                <w:color w:val="auto"/>
              </w:rPr>
              <w:t>2024</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ind w:right="96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Change in</w:t>
            </w:r>
          </w:p>
        </w:tc>
      </w:tr>
      <w:tr>
        <w:trPr>
          <w:trHeight w:val="198"/>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200" w:type="dxa"/>
            <w:vAlign w:val="bottom"/>
          </w:tcPr>
          <w:p>
            <w:pPr>
              <w:spacing w:after="0"/>
              <w:rPr>
                <w:sz w:val="17"/>
                <w:szCs w:val="17"/>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 of NEP</w:t>
            </w:r>
          </w:p>
        </w:tc>
      </w:tr>
      <w:tr>
        <w:trPr>
          <w:trHeight w:val="21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26.4 %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26.3 %</w:t>
            </w:r>
          </w:p>
        </w:tc>
        <w:tc>
          <w:tcPr>
            <w:tcW w:w="1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0.1 %</w:t>
            </w: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45.8 %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47.8 %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34.9 %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33.6 %</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1.3 %</w:t>
            </w:r>
          </w:p>
        </w:tc>
      </w:tr>
      <w:tr>
        <w:trPr>
          <w:trHeight w:val="230"/>
        </w:trPr>
        <w:tc>
          <w:tcPr>
            <w:tcW w:w="49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1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0.8 percentage points in the third quarter of 2024 compared to the third quarter of 2023. The decrease reflects the impact of higher earned premiums on the ratio, including in the crop business that has a lower commissions and other underwriting expense ratio compared to some of the other businesses in the Property and transportation sub-segment and lower average commission rates in the transportation businesses.</w:t>
      </w:r>
    </w:p>
    <w:p>
      <w:pPr>
        <w:spacing w:after="0" w:line="223" w:lineRule="exact"/>
        <w:rPr>
          <w:sz w:val="20"/>
          <w:szCs w:val="20"/>
          <w:color w:val="auto"/>
        </w:rPr>
      </w:pPr>
    </w:p>
    <w:p>
      <w:pPr>
        <w:ind w:right="40"/>
        <w:spacing w:after="0"/>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increased 0.1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third quarter of 2024 compared to the third quarter of 2023 reflecting the impact of lower earned premiums in the workers’ compensation businesses on the ratio, partially offset by lower overall commission rates due to a change in the mix of business.</w:t>
      </w:r>
    </w:p>
    <w:p>
      <w:pPr>
        <w:spacing w:after="0" w:line="236" w:lineRule="exact"/>
        <w:rPr>
          <w:sz w:val="20"/>
          <w:szCs w:val="20"/>
          <w:color w:val="auto"/>
        </w:rPr>
      </w:pPr>
    </w:p>
    <w:p>
      <w:pPr>
        <w:jc w:val="both"/>
        <w:ind w:right="160"/>
        <w:spacing w:after="0"/>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decreased 2.0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third quarter of 2024 compared to the third quarter of 2023 due primarily to the impact of higher earned premiums in the financial institutions business on the ratio and lower average commission rates in certain businesses.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17" w:lineRule="exact"/>
        <w:rPr>
          <w:sz w:val="20"/>
          <w:szCs w:val="20"/>
          <w:color w:val="auto"/>
        </w:rPr>
      </w:pPr>
    </w:p>
    <w:p>
      <w:pPr>
        <w:jc w:val="both"/>
        <w:ind w:right="160"/>
        <w:spacing w:after="0" w:line="265" w:lineRule="auto"/>
        <w:rPr>
          <w:sz w:val="20"/>
          <w:szCs w:val="20"/>
          <w:color w:val="auto"/>
        </w:rPr>
      </w:pPr>
      <w:r>
        <w:rPr>
          <w:rFonts w:ascii="Arial" w:cs="Arial" w:eastAsia="Arial" w:hAnsi="Arial"/>
          <w:sz w:val="17"/>
          <w:szCs w:val="17"/>
          <w:color w:val="auto"/>
        </w:rPr>
        <w:t>Net investment income in AFG’s property and casualty insurance operations was $195 million in the third quarter of 2024 compared to $170 million in the third quarter of 2023, an increase of $25 million (15%). The average invested assets and overall yield earned on investments held by AFG’s property and casualty insurance operations are provided below (dollars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16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5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 Change</w:t>
            </w: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556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16"/>
        </w:trPr>
        <w:tc>
          <w:tcPr>
            <w:tcW w:w="5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10"/>
        </w:trPr>
        <w:tc>
          <w:tcPr>
            <w:tcW w:w="556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15 %</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15,447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14,899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548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pacing w:after="0" w:line="26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increase in the property and casualty insurance segment’s net investment income for the third quarter of 2024 compared to the third quarter of 2023 reflects the impact of higher balances of invested assets, higher returns on fixed maturity investments and higher returns on AFG’s alternative investments portfolio (partnerships and similar investments and AFG-managed CLOs). The property and casualty insurance segment’s overall yield on investments (net investment income as a percentage of average invested assets) was 5.05% for the third quarter of 2024 compared to 4.56% for the third quarter of 2023, an increase of 0.49 percentage points reflecting higher returns on both alternative investments and fixed maturity investments. The annualized return earned on alternative investments was 5.4% in the third quarter of 2024 compared to 4.2%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0"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$19 million for the third quarter of 2024 compared to $14 million for the third quarter of 2023, an increase of $5 million (36%).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6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80" w:type="dxa"/>
            <w:vAlign w:val="bottom"/>
            <w:tcBorders>
              <w:bottom w:val="single" w:sz="8" w:color="auto"/>
            </w:tcBorders>
          </w:tcPr>
          <w:p>
            <w:pPr>
              <w:spacing w:after="0"/>
              <w:rPr>
                <w:sz w:val="16"/>
                <w:szCs w:val="16"/>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7"/>
                <w:szCs w:val="17"/>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6"/>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06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The decrease in other income in the third quarter of 2024 compared to the third quarter of 2023 is due to death benefits received on a company-owned life insurance policy in the third quarter of 2023. The $4 million (44%) increase in interest expense on funds withheld for the third quarter of 2024 compared to the third quarter of 2023 reflects the impact of higher interest rates paid on funds withheld.</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41"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$60 million in the third quarter of 2024 compared to $56 million in the third quarter of 2023, an increase of $4 million (7%). AFG’s net core pretax loss outside of its property and casualty insurance segment (excluding realized gains and losses) totaled $46 million in the third quarter of 2024 compared to $41 million in the third quarter of 2023, an increase of $5 million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three months ended September 30, 2024 and 2023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10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w w:val="98"/>
              </w:rPr>
              <w:t>(22)</w:t>
            </w:r>
          </w:p>
        </w:tc>
        <w:tc>
          <w:tcPr>
            <w:tcW w:w="126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money</w:t>
            </w:r>
          </w:p>
        </w:tc>
        <w:tc>
          <w:tcPr>
            <w:tcW w:w="10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(41)</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special A&amp;E charge</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GAAP loss before income taxes, excluding realized gains and losses</w:t>
            </w:r>
          </w:p>
        </w:tc>
        <w:tc>
          <w:tcPr>
            <w:tcW w:w="100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(56)</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660" w:hanging="412"/>
        <w:spacing w:after="0" w:line="284" w:lineRule="auto"/>
        <w:tabs>
          <w:tab w:leader="none" w:pos="4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Excludes a pretax non-core special A&amp;E charge of $14 million and $15 million in the third quarter of 2024 and the third quarter of 2023,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$7 million in the third quarter of 2024 compared to $10 million in the third quarter of 2023, a decrease of $3 million (30%) reflecting the impact of lower average investment balances, partially offset by higher interest rates on cash and fixed maturity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1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third quarter of 2024, AFG collected $23 million in fees for these services compared to $22 million in the third quarter of 2023. Management views this fee income, net of the $15 million in the third quarter of 2024 and</w:t>
      </w:r>
    </w:p>
    <w:p>
      <w:pPr>
        <w:spacing w:after="0" w:line="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$14 million in the third quarter of 2023 in expenses incurred to generate such fees, as a reduction in the cost of underwriting its property and casualty insurance policies. In addition, AFG’s property and casualty insurance businesses earned $15 million in fees as compensation for providing services related to the administration of crop insurance business generated by CRS for its former owner prior to the acquisition date during the third quarter of 2023.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3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Other income in the table above includes $3 million in the third quarter of 2024 and $4 million in the third quarter of 2023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 consolidation, AFG recorded other income outside of its property and casualty insurance segment of $1 million in both the third quarter of 2024 and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0" w:lineRule="exact"/>
        <w:rPr>
          <w:sz w:val="20"/>
          <w:szCs w:val="20"/>
          <w:color w:val="auto"/>
        </w:rPr>
      </w:pPr>
    </w:p>
    <w:p>
      <w:pPr>
        <w:jc w:val="both"/>
        <w:ind w:right="220"/>
        <w:spacing w:after="0" w:line="256" w:lineRule="auto"/>
        <w:rPr>
          <w:sz w:val="20"/>
          <w:szCs w:val="20"/>
          <w:color w:val="auto"/>
        </w:rPr>
      </w:pPr>
      <w:r>
        <w:rPr>
          <w:rFonts w:ascii="Arial" w:cs="Arial" w:eastAsia="Arial" w:hAnsi="Arial"/>
          <w:sz w:val="17"/>
          <w:szCs w:val="17"/>
          <w:color w:val="auto"/>
        </w:rPr>
        <w:t>Excluding the non-core special A&amp;E charges recorded in the third quarter of 2024 and 2023 discussed below, AFG’s holding companies and other operations outside of its property and casualty insurance segment recorded other expenses of $38 million in the third quarter of 2024 compared to $37 million in the third quarter of 2023, an increase of $1 million (3%).</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Special A&amp;E Charges</w:t>
      </w:r>
    </w:p>
    <w:p>
      <w:pPr>
        <w:spacing w:after="0" w:line="30"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During the third quarters of 2024 and 2023, AFG performed in-depth internal reviews of A&amp;E exposures as discussed under “</w:t>
      </w:r>
      <w:r>
        <w:rPr>
          <w:rFonts w:ascii="Arial" w:cs="Arial" w:eastAsia="Arial" w:hAnsi="Arial"/>
          <w:sz w:val="17"/>
          <w:szCs w:val="17"/>
          <w:i w:val="1"/>
          <w:iCs w:val="1"/>
          <w:color w:val="auto"/>
        </w:rPr>
        <w:t>Asbestos and</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 reserves</w:t>
      </w:r>
      <w:r>
        <w:rPr>
          <w:rFonts w:ascii="Arial" w:cs="Arial" w:eastAsia="Arial" w:hAnsi="Arial"/>
          <w:sz w:val="17"/>
          <w:szCs w:val="17"/>
          <w:color w:val="auto"/>
        </w:rPr>
        <w:t>” under “</w:t>
      </w:r>
      <w:r>
        <w:rPr>
          <w:rFonts w:ascii="Arial" w:cs="Arial" w:eastAsia="Arial" w:hAnsi="Arial"/>
          <w:sz w:val="17"/>
          <w:szCs w:val="17"/>
          <w:i w:val="1"/>
          <w:iCs w:val="1"/>
          <w:color w:val="auto"/>
        </w:rPr>
        <w:t>Results of Operations — Property and Casualty Insurance Segment — Net prior year reserve development.</w:t>
      </w:r>
      <w:r>
        <w:rPr>
          <w:rFonts w:ascii="Arial" w:cs="Arial" w:eastAsia="Arial" w:hAnsi="Arial"/>
          <w:sz w:val="17"/>
          <w:szCs w:val="17"/>
          <w:color w:val="auto"/>
        </w:rPr>
        <w:t>”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the 2024 and 2023 reviews, AFG’s holding companies and other operations outside of its property and casualty insurance operations recorded pretax special non-core A&amp;E charges of $14 million in the third quarter of 2024 and $15 million in the third quarter of 2023 to increase liabilities related to the A&amp;E exposures of AFG’s former railroad and manufacturing operations. The charges in both periods reflect changes in the scope and costs of investigation and an increase in estimated remediation costs at a limited number of sites.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17"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$19 million in both the third quarter of 2024 and the third quarter of 2023.</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28"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AFG’s realized gains (losses) on securities were net losses of $2 million in the third quarter of 2024 compared to $19 million in the third quarter of 2023, a decrease of $17 million (89%). Realized gains (losses) on securities consisted of the following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Three months ended September 30,</w:t>
            </w:r>
          </w:p>
        </w:tc>
      </w:tr>
      <w:tr>
        <w:trPr>
          <w:trHeight w:val="199"/>
        </w:trPr>
        <w:tc>
          <w:tcPr>
            <w:tcW w:w="8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2023</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197"/>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82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$10 million net realized gain from the change in the fair value of equity securities in the third quarter of 2024 includes gains of $6 million on investments in banks and financing companies and $3 million on investments in media companies. The $8 million net realized loss from the change in the fair value of equity securities in the third quarter of 2023 includes losses of $10 million on investments in media companies and $2 million on investments in banks and financing companies, partially offset by gains of $4 million on investments in energy companies.</w:t>
      </w:r>
    </w:p>
    <w:p>
      <w:pPr>
        <w:spacing w:after="0" w:line="219"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$15 million change in allowance for impairments on securities in the third quarter of 2024 relates primarily to an allowance taken on corporate bonds from a single issuer in the financial sector.</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Loss on Subsidiaries</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During the third quarter of 2023, AFG recorded a realized loss on subsidiary of $4 million, consisting of a $26 million goodwill impairment charge, partially offset by a $22 million reduction in the fair value of a contingent consideration liability, both related to AFG’s investment in Verikai. See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 — “Fair Value Measurements”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I — “Goodwill and Other Intangibles” </w:t>
      </w:r>
      <w:r>
        <w:rPr>
          <w:rFonts w:ascii="Arial" w:cs="Arial" w:eastAsia="Arial" w:hAnsi="Arial"/>
          <w:sz w:val="17"/>
          <w:szCs w:val="17"/>
          <w:color w:val="auto"/>
        </w:rPr>
        <w:t>in AFG’s 2023 Form 10-K.</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28"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 xml:space="preserve">AFG’s consolidated provision for income taxes was $48 million for the third quarter of 2024 compared to $42 million for the third quarter of 2023, an increase of $6 million (14%).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ind w:right="140"/>
        <w:spacing w:after="0" w:line="298" w:lineRule="auto"/>
        <w:rPr>
          <w:sz w:val="20"/>
          <w:szCs w:val="20"/>
          <w:color w:val="auto"/>
        </w:rPr>
      </w:pPr>
      <w:r>
        <w:rPr>
          <w:rFonts w:ascii="Arial" w:cs="Arial" w:eastAsia="Arial" w:hAnsi="Arial"/>
          <w:sz w:val="29"/>
          <w:szCs w:val="29"/>
          <w:b w:val="1"/>
          <w:bCs w:val="1"/>
          <w:color w:val="003366"/>
        </w:rPr>
        <w:t>RESULTS OF OPERATIONS — NINE MONTHS ENDED SEPTEMBER 30, 2024 AND 2023</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4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nine months ended September 30, 2024 and 2023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Nine months ended September 30, 2024</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5,781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6,175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3,279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loss on subsidiary</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Special A&amp;E charge, net of tax</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Nine months ended September 30, 2023</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24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Subsidiary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2,964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loss on subsidiary</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Special A&amp;E charge,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Gain on retirement of debt,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180" w:hanging="412"/>
        <w:spacing w:after="0" w:line="284" w:lineRule="auto"/>
        <w:tabs>
          <w:tab w:leader="none" w:pos="4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See the reconciliation of core earnings to GAAP net earnings under </w:t>
      </w:r>
      <w:r>
        <w:rPr>
          <w:rFonts w:ascii="Arial" w:cs="Arial" w:eastAsia="Arial" w:hAnsi="Arial"/>
          <w:sz w:val="17"/>
          <w:szCs w:val="17"/>
          <w:i w:val="1"/>
          <w:iCs w:val="1"/>
          <w:color w:val="auto"/>
        </w:rPr>
        <w:t>“Results of Operations — General”</w:t>
      </w:r>
      <w:r>
        <w:rPr>
          <w:rFonts w:ascii="Arial" w:cs="Arial" w:eastAsia="Arial" w:hAnsi="Arial"/>
          <w:sz w:val="17"/>
          <w:szCs w:val="17"/>
          <w:color w:val="auto"/>
        </w:rPr>
        <w:t xml:space="preserve"> for details on the tax impacts of these reconciling items.</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41"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AFG’s property and casualty insurance operations contributed $950 million in GAAP pretax earnings in the first nine months of 2024 compared to $943 million in the first nine months of 2023, an increase of $7 million. Property and casualty core pretax earnings were $950 million in the first nine months of 2024 compared to $947 million in the first nine months of 2023, an increase of $3 million. The increase in GAAP pretax earnings reflects higher core pretax net earnings in the first nine months of 2024 compared to the first nine months of 2023 The increase in core pretax net earnings reflects higher investment income outside of alternative investments in the first nine months of 2024 compared to the first nine months of 2023, partially offset by lower underwriting profit, lower investment income from AFG’s alternative investment portfolio (partnerships and similar investments and AFG-managed CLOs), lower other income and higher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400"/>
        <w:spacing w:after="0" w:line="281" w:lineRule="auto"/>
        <w:rPr>
          <w:sz w:val="20"/>
          <w:szCs w:val="20"/>
          <w:color w:val="auto"/>
        </w:rPr>
      </w:pPr>
      <w:r>
        <w:rPr>
          <w:rFonts w:ascii="Arial" w:cs="Arial" w:eastAsia="Arial" w:hAnsi="Arial"/>
          <w:sz w:val="17"/>
          <w:szCs w:val="17"/>
          <w:color w:val="auto"/>
        </w:rPr>
        <w:t>The following table details AFG’s GAAP and core earnings before income taxes from its property and casualty insurance operations for the nine months ended September 30, 2024 and 2023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color w:val="auto"/>
              </w:rPr>
              <w:t>Nine months ended September 30,</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1"/>
        </w:trPr>
        <w:tc>
          <w:tcPr>
            <w:tcW w:w="67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color w:val="auto"/>
              </w:rPr>
              <w:t>% Change</w:t>
            </w: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8,490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7,664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(2,417)</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16 %</w:t>
            </w:r>
          </w:p>
        </w:tc>
      </w:tr>
      <w:tr>
        <w:trPr>
          <w:trHeight w:val="21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5,247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1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(448)</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5,186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4,799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3,274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2,964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6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568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09"/>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Core earnings before income taxes</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loss on subsidiary</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GAAP earnings before income taxes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943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1"/>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970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7" w:lineRule="exact"/>
        <w:rPr>
          <w:sz w:val="20"/>
          <w:szCs w:val="20"/>
          <w:color w:val="auto"/>
        </w:rPr>
      </w:pPr>
    </w:p>
    <w:p>
      <w:pPr>
        <w:ind w:left="600"/>
        <w:spacing w:after="0"/>
        <w:tabs>
          <w:tab w:leader="none" w:pos="2200" w:val="left"/>
          <w:tab w:leader="none" w:pos="3580" w:val="left"/>
        </w:tabs>
        <w:rPr>
          <w:sz w:val="20"/>
          <w:szCs w:val="20"/>
          <w:color w:val="auto"/>
        </w:rPr>
      </w:pPr>
      <w:r>
        <w:rPr>
          <w:rFonts w:ascii="Arial" w:cs="Arial" w:eastAsia="Arial" w:hAnsi="Arial"/>
          <w:sz w:val="15"/>
          <w:szCs w:val="15"/>
          <w:color w:val="auto"/>
        </w:rPr>
        <w:t>2024</w:t>
      </w:r>
      <w:r>
        <w:rPr>
          <w:sz w:val="20"/>
          <w:szCs w:val="20"/>
          <w:color w:val="auto"/>
        </w:rPr>
        <w:tab/>
      </w:r>
      <w:r>
        <w:rPr>
          <w:rFonts w:ascii="Arial" w:cs="Arial" w:eastAsia="Arial" w:hAnsi="Arial"/>
          <w:sz w:val="15"/>
          <w:szCs w:val="15"/>
          <w:color w:val="auto"/>
        </w:rPr>
        <w:t>2023</w:t>
      </w:r>
      <w:r>
        <w:rPr>
          <w:sz w:val="20"/>
          <w:szCs w:val="20"/>
          <w:color w:val="auto"/>
        </w:rPr>
        <w:tab/>
      </w:r>
      <w:r>
        <w:rPr>
          <w:rFonts w:ascii="Arial" w:cs="Arial" w:eastAsia="Arial" w:hAnsi="Arial"/>
          <w:sz w:val="14"/>
          <w:szCs w:val="14"/>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21590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jc w:val="right"/>
              <w:spacing w:after="0"/>
              <w:rPr>
                <w:sz w:val="20"/>
                <w:szCs w:val="20"/>
                <w:color w:val="auto"/>
              </w:rPr>
            </w:pPr>
            <w:r>
              <w:rPr>
                <w:rFonts w:ascii="Arial" w:cs="Arial" w:eastAsia="Arial" w:hAnsi="Arial"/>
                <w:sz w:val="16"/>
                <w:szCs w:val="16"/>
                <w:color w:val="auto"/>
              </w:rPr>
              <w:t>63.1 %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61.8 %</w:t>
            </w:r>
          </w:p>
        </w:tc>
        <w:tc>
          <w:tcPr>
            <w:tcW w:w="132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7"/>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29.5 %</w:t>
            </w:r>
          </w:p>
        </w:tc>
        <w:tc>
          <w:tcPr>
            <w:tcW w:w="132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1"/>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w:t>
            </w:r>
          </w:p>
        </w:tc>
        <w:tc>
          <w:tcPr>
            <w:tcW w:w="132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13"/>
        </w:trPr>
        <w:tc>
          <w:tcPr>
            <w:tcW w:w="1520" w:type="dxa"/>
            <w:vAlign w:val="bottom"/>
          </w:tcPr>
          <w:p>
            <w:pPr>
              <w:jc w:val="right"/>
              <w:spacing w:after="0"/>
              <w:rPr>
                <w:sz w:val="20"/>
                <w:szCs w:val="20"/>
                <w:color w:val="auto"/>
              </w:rPr>
            </w:pPr>
            <w:r>
              <w:rPr>
                <w:rFonts w:ascii="Arial" w:cs="Arial" w:eastAsia="Arial" w:hAnsi="Arial"/>
                <w:sz w:val="16"/>
                <w:szCs w:val="16"/>
                <w:color w:val="auto"/>
              </w:rPr>
              <w:t>63.1 %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61.8 %</w:t>
            </w:r>
          </w:p>
        </w:tc>
        <w:tc>
          <w:tcPr>
            <w:tcW w:w="132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7"/>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29.5 %</w:t>
            </w:r>
          </w:p>
        </w:tc>
        <w:tc>
          <w:tcPr>
            <w:tcW w:w="132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w:t>
            </w:r>
          </w:p>
        </w:tc>
        <w:tc>
          <w:tcPr>
            <w:tcW w:w="132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-1165225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-890905</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-590550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-316230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jc w:val="both"/>
        <w:ind w:right="160"/>
        <w:spacing w:after="0" w:line="256" w:lineRule="auto"/>
        <w:rPr>
          <w:sz w:val="20"/>
          <w:szCs w:val="20"/>
          <w:color w:val="auto"/>
        </w:rPr>
      </w:pPr>
      <w:r>
        <w:rPr>
          <w:rFonts w:ascii="Arial" w:cs="Arial" w:eastAsia="Arial" w:hAnsi="Arial"/>
          <w:sz w:val="17"/>
          <w:szCs w:val="17"/>
          <w:color w:val="auto"/>
        </w:rPr>
        <w:t>Gross written premiums (“GWP”) for AFG’s property and casualty insurance segment were $8.49 billion for the first nine months of 2024 compared to $7.66 billion for the first nine months of 2023, an increase of $826 million (11%). Detail of AFG’s property and casualty gross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color w:val="auto"/>
              </w:rPr>
              <w:t>Nine months ended September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2023</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GWP</w:t>
            </w:r>
          </w:p>
        </w:tc>
        <w:tc>
          <w:tcPr>
            <w:tcW w:w="780" w:type="dxa"/>
            <w:vAlign w:val="bottom"/>
          </w:tcPr>
          <w:p>
            <w:pPr>
              <w:jc w:val="right"/>
              <w:ind w:right="36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GWP</w:t>
            </w:r>
          </w:p>
        </w:tc>
        <w:tc>
          <w:tcPr>
            <w:tcW w:w="760" w:type="dxa"/>
            <w:vAlign w:val="bottom"/>
          </w:tcPr>
          <w:p>
            <w:pPr>
              <w:jc w:val="right"/>
              <w:ind w:right="36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3"/>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3,523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5"/>
        </w:trPr>
        <w:tc>
          <w:tcPr>
            <w:tcW w:w="54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3,417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3,299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1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54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8,490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7,664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jc w:val="both"/>
        <w:ind w:right="28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33% of gross written premiums in the first nine months of 2024 compared to 32% of gross written premiums for the first nine months of 2023, an increase of 1 percentage point.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color w:val="auto"/>
              </w:rPr>
              <w:t>Nine months ended 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 of GWP</w:t>
            </w:r>
          </w:p>
        </w:tc>
      </w:tr>
      <w:tr>
        <w:trPr>
          <w:trHeight w:val="21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2 %</w:t>
            </w: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32 %</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 %</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35"/>
        </w:trPr>
        <w:tc>
          <w:tcPr>
            <w:tcW w:w="5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0"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Net written premiums (“NWP”) for AFG’s property and casualty insurance segment were $5.68 billion for the first nine months of 2024 compared to $5.25 billion for the first nine months of 2023, an increase of $432 million (8%). Detail of AFG’s property and casualty net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color w:val="auto"/>
              </w:rPr>
              <w:t>Nine months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780" w:type="dxa"/>
            <w:vAlign w:val="bottom"/>
          </w:tcPr>
          <w:p>
            <w:pPr>
              <w:jc w:val="right"/>
              <w:ind w:right="36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6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2,412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14 %</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2,318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2,244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43 %</w:t>
            </w:r>
          </w:p>
        </w:tc>
        <w:tc>
          <w:tcPr>
            <w:tcW w:w="1240" w:type="dxa"/>
            <w:vAlign w:val="bottom"/>
            <w:gridSpan w:val="2"/>
          </w:tcPr>
          <w:p>
            <w:pPr>
              <w:jc w:val="right"/>
              <w:ind w:right="4"/>
              <w:spacing w:after="0"/>
              <w:rPr>
                <w:sz w:val="20"/>
                <w:szCs w:val="20"/>
                <w:color w:val="auto"/>
              </w:rPr>
            </w:pPr>
            <w:r>
              <w:rPr>
                <w:rFonts w:ascii="Arial" w:cs="Arial" w:eastAsia="Arial" w:hAnsi="Arial"/>
                <w:sz w:val="16"/>
                <w:szCs w:val="16"/>
                <w:color w:val="auto"/>
              </w:rPr>
              <w:t>3 %</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12 %</w:t>
            </w: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(5 %)</w:t>
            </w:r>
          </w:p>
        </w:tc>
      </w:tr>
      <w:tr>
        <w:trPr>
          <w:trHeight w:val="235"/>
        </w:trPr>
        <w:tc>
          <w:tcPr>
            <w:tcW w:w="5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5,679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4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8 %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Net earned premiums (“NEP”) for AFG’s property and casualty insurance segment were $5.19 billion for the first nine months of 2024 compared to $4.80 billion for the first nine months of 2023, an increase of $387 million (8%). Detail of AFG’s property and casualty net earned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color w:val="auto"/>
              </w:rPr>
              <w:t>Nine months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3"/>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9"/>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ind w:right="204"/>
              <w:spacing w:after="0"/>
              <w:rPr>
                <w:sz w:val="20"/>
                <w:szCs w:val="20"/>
                <w:color w:val="auto"/>
              </w:rPr>
            </w:pPr>
            <w:r>
              <w:rPr>
                <w:rFonts w:ascii="Arial" w:cs="Arial" w:eastAsia="Arial" w:hAnsi="Arial"/>
                <w:sz w:val="14"/>
                <w:szCs w:val="14"/>
                <w:color w:val="auto"/>
              </w:rPr>
              <w:t>% Change</w:t>
            </w:r>
          </w:p>
        </w:tc>
      </w:tr>
      <w:tr>
        <w:trPr>
          <w:trHeight w:val="21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1,837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11 %</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45 %</w:t>
            </w:r>
          </w:p>
        </w:tc>
        <w:tc>
          <w:tcPr>
            <w:tcW w:w="1300" w:type="dxa"/>
            <w:vAlign w:val="bottom"/>
            <w:gridSpan w:val="2"/>
          </w:tcPr>
          <w:p>
            <w:pPr>
              <w:jc w:val="right"/>
              <w:ind w:right="4"/>
              <w:spacing w:after="0"/>
              <w:rPr>
                <w:sz w:val="20"/>
                <w:szCs w:val="20"/>
                <w:color w:val="auto"/>
              </w:rPr>
            </w:pPr>
            <w:r>
              <w:rPr>
                <w:rFonts w:ascii="Arial" w:cs="Arial" w:eastAsia="Arial" w:hAnsi="Arial"/>
                <w:sz w:val="16"/>
                <w:szCs w:val="16"/>
                <w:color w:val="auto"/>
              </w:rPr>
              <w:t>3 %</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21 %</w:t>
            </w:r>
          </w:p>
        </w:tc>
      </w:tr>
      <w:tr>
        <w:trPr>
          <w:trHeight w:val="21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(4 %)</w:t>
            </w:r>
          </w:p>
        </w:tc>
      </w:tr>
      <w:tr>
        <w:trPr>
          <w:trHeight w:val="235"/>
        </w:trPr>
        <w:tc>
          <w:tcPr>
            <w:tcW w:w="5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30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8 %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Gross written premiums for the first nine months of 2024 increased $826 million (11%) compared to the first nine months of 2023. Year-over-year gross written premium growth was reported within each of the Specialty property and casualty sub-segments as a result of additional crop premiums from the CRS acquisition in the Property and transportation sub-segment and new business opportunities, increased exposures and a good renewal rate environment. Overall average renewal rates increased approximately 7% in the first nine months of 2024. Excluding the workers’ compensation businesses, renewal pricing increased approximately 8%.</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$627 million (18%) in the first nine months of 2024 compared to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Year-over-year premium growth resulted from additional crop premium associated with the CRS acquisition as well as new business opportunities, a favorable rate environment and increased exposures in the commercial auto businesses and, to a lesser extent, in the property and inland marine and ocean marine businesses. Excluding crop premium, gross and net written premiums in this group grew by 7% and 6%, respectively. Average renewal rates increased approximately 8% for this group in the first nine months of 2024. Reinsurance premiums ceded as a percentage of gross written premiums increased 2 percentage points in the first nine months of 2024</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compared to the first nine months of 2023 reflecting the impact of higher premiums in the crop business and growth in alternative risk transfer products in the transportation businesses, both of which cede a higher percentage of premiums than some of the other businesses in the Property and transportation sub-segment.</w:t>
      </w:r>
    </w:p>
    <w:p>
      <w:pPr>
        <w:spacing w:after="0" w:line="215"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$118 million (4%) in the first nine months of 2024 compared to the first nine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2023. The higher year-over-year premiums resulted primarily from growth in the excess and surplus, excess liability and certain targeted markets businesses as a result of rate increases, new business opportunities and strong policy retention. The mergers and acquisition business also benefited from an increase in mergers and acquisition activity. Average renewal rates increased approximately 6% for this group in the first nine months of 2024. Excluding overall rate decreases in the workers’ compensation businesses, renewal rates for this group increased approximately 9%. Reinsurance premiums ceded as a percentage of gross written premiums were comparable in the first nine months of 2024 to the first nine months of 2023 reflecting lower cessions in the social services business, offset by the impact of higher premiums in the excess and surplus businesses, which cede a larger percentage of premiums than some of the other businesses in the Specialty casualty sub-segment and higher cessions in the public sector business.</w:t>
      </w:r>
    </w:p>
    <w:p>
      <w:pPr>
        <w:spacing w:after="0" w:line="230"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$81 million (10%) in the first nine months of 2024 compared to the first nine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2023. Year-over-year growth in the financial institutions business was partially offset by a decision to pause writing of new intellectual property-related coverage in the innovative markets business. Average renewal rates increased approximately 7% for this group in the first nine months of 2024. Reinsurance premiums ceded as a percentage of gross written premiums decreased 2 percentage points in the first nine months of 2024 compared to the first nine months of 2023 reflecting lower gross written premiums in the innovative markets business, which cedes a larger percentage of premiums than some of the other businesses in the Specialty financial sub-segment.</w:t>
      </w:r>
    </w:p>
    <w:p>
      <w:pPr>
        <w:spacing w:after="0" w:line="215"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operations that make up AFG’s other Specialty property and casualty insurance sub-segments. Reinsurance premiums assumed decreased $10 million (5%) in the first nine months of 2024 compared to the first nine months of 2023, reflecting a decrease in premiums retained, primarily from businesses in the Specialty casualty sub-segment.</w:t>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6" w:right="47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table below (dollars in millions) details the components of the combined ratio and underwriting profit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30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color w:val="auto"/>
              </w:rPr>
              <w:t>Nine months ended September 30,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99"/>
        </w:trPr>
        <w:tc>
          <w:tcPr>
            <w:tcW w:w="146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5"/>
                <w:szCs w:val="15"/>
                <w:color w:val="auto"/>
              </w:rPr>
              <w:t>Change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411"/>
        </w:trPr>
        <w:tc>
          <w:tcPr>
            <w:tcW w:w="1460" w:type="dxa"/>
            <w:vAlign w:val="bottom"/>
          </w:tcPr>
          <w:p>
            <w:pPr>
              <w:jc w:val="right"/>
              <w:spacing w:after="0"/>
              <w:rPr>
                <w:sz w:val="20"/>
                <w:szCs w:val="20"/>
                <w:color w:val="auto"/>
              </w:rPr>
            </w:pPr>
            <w:r>
              <w:rPr>
                <w:rFonts w:ascii="Arial" w:cs="Arial" w:eastAsia="Arial" w:hAnsi="Arial"/>
                <w:sz w:val="16"/>
                <w:szCs w:val="16"/>
                <w:color w:val="auto"/>
              </w:rPr>
              <w:t>70.1 %</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69.2 %</w:t>
            </w:r>
          </w:p>
        </w:tc>
        <w:tc>
          <w:tcPr>
            <w:tcW w:w="1240" w:type="dxa"/>
            <w:vAlign w:val="bottom"/>
            <w:gridSpan w:val="2"/>
          </w:tcPr>
          <w:p>
            <w:pPr>
              <w:jc w:val="right"/>
              <w:ind w:right="1"/>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93.6 %</w:t>
            </w:r>
          </w:p>
        </w:tc>
        <w:tc>
          <w:tcPr>
            <w:tcW w:w="10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6"/>
                <w:szCs w:val="16"/>
                <w:color w:val="auto"/>
              </w:rPr>
              <w:t>—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61.4 %</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60.5 %</w:t>
            </w:r>
          </w:p>
        </w:tc>
        <w:tc>
          <w:tcPr>
            <w:tcW w:w="124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87.8 %</w:t>
            </w:r>
          </w:p>
        </w:tc>
        <w:tc>
          <w:tcPr>
            <w:tcW w:w="1240" w:type="dxa"/>
            <w:vAlign w:val="bottom"/>
            <w:gridSpan w:val="2"/>
          </w:tcPr>
          <w:p>
            <w:pPr>
              <w:jc w:val="right"/>
              <w:ind w:right="1"/>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42.9 %</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39.0 %</w:t>
            </w:r>
          </w:p>
        </w:tc>
        <w:tc>
          <w:tcPr>
            <w:tcW w:w="124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63.1 %</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61.8 %</w:t>
            </w:r>
          </w:p>
        </w:tc>
        <w:tc>
          <w:tcPr>
            <w:tcW w:w="124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w:t>
            </w:r>
          </w:p>
        </w:tc>
        <w:tc>
          <w:tcPr>
            <w:tcW w:w="1240" w:type="dxa"/>
            <w:vAlign w:val="bottom"/>
            <w:gridSpan w:val="2"/>
          </w:tcPr>
          <w:p>
            <w:pPr>
              <w:jc w:val="right"/>
              <w:ind w:right="1"/>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63.1 %</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61.8 %</w:t>
            </w:r>
          </w:p>
        </w:tc>
        <w:tc>
          <w:tcPr>
            <w:tcW w:w="124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w:t>
            </w:r>
          </w:p>
        </w:tc>
        <w:tc>
          <w:tcPr>
            <w:tcW w:w="1240" w:type="dxa"/>
            <w:vAlign w:val="bottom"/>
            <w:gridSpan w:val="2"/>
          </w:tcPr>
          <w:p>
            <w:pPr>
              <w:jc w:val="right"/>
              <w:ind w:right="1"/>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-4208145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-3933825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-3634105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-3342640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-3068320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-2767965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-2476500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-2202180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-1902460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-1610995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-1336675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-1036320</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-745490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-471170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-170815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120"/>
          </w:cols>
          <w:pgMar w:left="320" w:top="116" w:right="339" w:bottom="1440" w:gutter="0" w:footer="0" w:header="0"/>
          <w:type w:val="continuous"/>
        </w:sectPr>
      </w:pP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Specialty property and casualty insurance operations generated an underwriting profit of $422 million for the first nine months of 2024 compared to $421 million for the first nine months of 2023, an increase of $1 million. Higher underwriting profits in the Property and transportation and Specialty financial sub-segments were partially offset by lower underwriting profit in the Specialty casualty sub-segment and higher losses in the business assumed by AFG’s internal reinsurance program. Overall catastrophe losses were $161 million (3.1 points on the combined ratio), including $1 million in net reinstatement premiums in the first nine months of 2024 compared to catastrophe losses of $140 million (2.9 points), including $2 million in net reinstatement premiums in the first nine months of 2023.</w:t>
      </w:r>
    </w:p>
    <w:p>
      <w:pPr>
        <w:spacing w:after="0" w:line="206"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$129 million for the first nine months of 2024 compared to $117 million for</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nine months of 2023, an increase of $12 million (10%). Higher year-over-year underwriting profits in the property and inland marine and crop businesses were partially offset by lower underwriting profitability in the transportation businesses. Catastrophe losses were $55 million (2.7 points on the combined ratio) in the first nine months of 2024 compared to $48 million (2.7 points) in the first nine months of 2023.</w:t>
      </w:r>
    </w:p>
    <w:p>
      <w:pPr>
        <w:spacing w:after="0" w:line="231"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$258 million for the first nine months of 2024 compared to $261 million for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a decrease of $3 million (1%). Higher year-over-year underwriting profits in the workers’ compensation and the targeted markets businesses were more than offset by lower levels of favorable prior year reserve development in the executive liability business and social inflation driven adverse development in the umbrella and excess business. Catastrophe losses were $37 million (1.8 points on the combined ratio), including $1 million in net reinstatement premiums in the first nine months of 2024 compared to catastrophe losses of $28 million (1.2 points), including $2 million in net reinstatement premiums in the first nine months of 2023.</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$80 million for the first nine months of 2024 compared to $65 million for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an increase of $15 million (23%). This year over year increase reflects higher underwriting profit in the financial institutions business, partially offset by lower profitability in the innovative markets business. Catastrophe losses were $64 million (8.4 points on the combined ratio) in the first nine months of 2024 compared to $45 million (7.2 points) in the first nine months of 2023.</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This group reported an underwriting loss of $45 million in the first nine months of 2024 compared to $22 million in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an increase of $23 million (105%), reflecting higher losses in the business assumed by AFG’s internal reinsurance program from the operations that make up AFG’s other Specialty sub-segments in the first nine months of 2024 compared to the first nine months of 2023. Catastrophe losses were $5 million in the first nine months of 2024 compared to $19 million in the first nine months of 2023.</w:t>
      </w:r>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$4 million in the first nine months of 2024 and $1 million in the first nine months of 2023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63.1% for the first nine months of 2024 compared to 61.8% for the first nine months of 2023,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1.3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color w:val="auto"/>
              </w:rPr>
              <w:t>Nine months ended 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Amount</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Ratio</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45"/>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1,465</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70.4 %</w:t>
            </w:r>
          </w:p>
        </w:tc>
        <w:tc>
          <w:tcPr>
            <w:tcW w:w="1180" w:type="dxa"/>
            <w:vAlign w:val="bottom"/>
            <w:gridSpan w:val="2"/>
          </w:tcPr>
          <w:p>
            <w:pPr>
              <w:jc w:val="right"/>
              <w:ind w:right="5"/>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2.7 %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2.7 %</w:t>
            </w:r>
          </w:p>
        </w:tc>
        <w:tc>
          <w:tcPr>
            <w:tcW w:w="80" w:type="dxa"/>
            <w:vAlign w:val="bottom"/>
          </w:tcPr>
          <w:p>
            <w:pPr>
              <w:spacing w:after="0"/>
              <w:rPr>
                <w:sz w:val="14"/>
                <w:szCs w:val="14"/>
                <w:color w:val="auto"/>
              </w:rPr>
            </w:pPr>
          </w:p>
        </w:tc>
        <w:tc>
          <w:tcPr>
            <w:tcW w:w="1100" w:type="dxa"/>
            <w:vAlign w:val="bottom"/>
            <w:vMerge w:val="restart"/>
          </w:tcPr>
          <w:p>
            <w:pPr>
              <w:jc w:val="right"/>
              <w:ind w:right="5"/>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69.2 %</w:t>
            </w:r>
          </w:p>
        </w:tc>
        <w:tc>
          <w:tcPr>
            <w:tcW w:w="118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1,368</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61.7 %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62.7 %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18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1.8 %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18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60.5 %</w:t>
            </w:r>
          </w:p>
        </w:tc>
        <w:tc>
          <w:tcPr>
            <w:tcW w:w="118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262</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35.6 %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18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8.4 %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7.2 %</w:t>
            </w:r>
          </w:p>
        </w:tc>
        <w:tc>
          <w:tcPr>
            <w:tcW w:w="118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39.0 %</w:t>
            </w:r>
          </w:p>
        </w:tc>
        <w:tc>
          <w:tcPr>
            <w:tcW w:w="118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3,214</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62.4 %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18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3.1 %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2.9 %</w:t>
            </w:r>
          </w:p>
        </w:tc>
        <w:tc>
          <w:tcPr>
            <w:tcW w:w="118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61.8 %</w:t>
            </w:r>
          </w:p>
        </w:tc>
        <w:tc>
          <w:tcPr>
            <w:tcW w:w="118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3,214</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62.4 %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18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2.9 %</w:t>
            </w:r>
          </w:p>
        </w:tc>
        <w:tc>
          <w:tcPr>
            <w:tcW w:w="118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61.8 %</w:t>
            </w:r>
          </w:p>
        </w:tc>
        <w:tc>
          <w:tcPr>
            <w:tcW w:w="118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62.0% for the first nine months of 2024 compared to 62.4% for the first nine months of 2023, a decrease of 0.4 percentage points.</w:t>
      </w:r>
    </w:p>
    <w:p>
      <w:pPr>
        <w:spacing w:after="0" w:line="18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1.4 percentage points increase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growth in the crop business, which has a higher loss and LAE ratio than some of the other businesses in the Property and transportation sub-segment, higher reported losses in the commercial auto businesses and the impact of unusually low losses in the ocean marine business in the 2023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6"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1.0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in the targeted markets and workers’ compensation businesses, partially offset by higher losses in the excess and surplus businesses.</w:t>
      </w:r>
    </w:p>
    <w:p>
      <w:pPr>
        <w:spacing w:after="0" w:line="216"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0.7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growth in the financial institutions business, which has a lower loss and LAE ratio than some of the other businesses in the Specialty financial sub-segment, partially offset by lower growth in the fidelity and surety businesses and higher reported losses in the fidelity business.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82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$104 million in the first nine months of 2024 compared to $169 million in the first nine months of 2023, a decrease of $65 million (38%).</w:t>
      </w:r>
    </w:p>
    <w:p>
      <w:pPr>
        <w:spacing w:after="0" w:line="216"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$91 million in the first nine months of 2024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losses in the crop business, lower than expected claim severity in the property and inland marine and aviation businesses and lower than anticipated claim severity and frequency in the ocean marine business. Net favorable reserve development of $72 million in the first nine months of 2023 reflects lower than anticipated losses in the crop business, lower than expected claim frequency and severity across the transportation businesses and lower than anticipated claim frequency in the property and inland marine business.</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$46 million in the first nine months of 2024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severity in the workers’ compensation businesses and lower than expected claim frequency and severity in the executive liability business, partially offset by higher than anticipated claim severity in the umbrella and excess liability businesses, public sector and general liability businesses and higher than expected claim frequency and severity in the social services business. Net favorable reserve development of $73 million in the first nine months of 2023 reflects lower than anticipated claim severity in the workers’ compensation businesses, lower than expected claim frequency in the executive liability and environmental businesses and favorable reserve development related to COVID-19 losses across several businesses, partially offset by higher than anticipated claim severity in the public sector and excess liability businesses.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$3 million in the first nine months of 2024 reflects lower than anticipated claim</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frequency and severity in the fidelity and financial institutions businesses and lower than expected claim frequency in the trade credit business,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 higher than anticipated claim severity in the innovative markets and surety businesses. Net favorable reserve development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$24 million in the first nine months of 2023 reflects lower than anticipated claim frequency in the trade credit and financial institutions businesses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lower than expected claim frequency and severity in the surety business.</w:t>
      </w:r>
    </w:p>
    <w:p>
      <w:pPr>
        <w:spacing w:after="0" w:line="235"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In addition to the development discussed above, total Specialty prior year reserve development includes net adverse reserve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development of $36 million in the first nine months of 2024 and net favorable reserve development of less than $1 million in the first nine months of 2023 associated with AFG’s internal reinsurance program and the amortization of the deferred gain on the retroactive reinsurance transaction entered into in connection with the sale of a business in 1998. The net adverse reserve development in 2024 is primarily related to social inflation exposed business assumed from the Specialty casualty sub-segment.</w:t>
      </w:r>
    </w:p>
    <w:p>
      <w:pPr>
        <w:spacing w:after="0" w:line="219" w:lineRule="exact"/>
        <w:rPr>
          <w:sz w:val="20"/>
          <w:szCs w:val="20"/>
          <w:color w:val="auto"/>
        </w:rPr>
      </w:pPr>
    </w:p>
    <w:p>
      <w:pPr>
        <w:jc w:val="both"/>
        <w:ind w:right="40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$4 million in the first nine months of 2024 and $1 million in the first nine months of 2023 related to business outside the Specialty group that AFG no longer writes.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Catastrophe losses of $160 million in the first nine months of 2024 (before $1 million in net reinstatement premiums) resulted primarily from Hurricane Helene and storms in multiple regions of the United States. Catastrophe losses of $138 million in the first nine months of 2023 (before $2 million in net reinstatement premiums) resulted primarily from storms in multiple regions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AFG’s property and casualty commissions and other underwriting expenses (“U/W Exp”) were $1.49 billion in the first nine months of 2024 compared to $1.42 billion for the first nine months of 2023, an increase of $79 million (6%). AFG’s underwriting expense ratio was 28.8% for the first nine months of 2024 compared to 29.5% for the first nine months of 2023, a decrease of 0.7 percentage points. Detail of AFG’s property and casualty commissions and other underwriting expenses and underwriting expense ratios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color w:val="auto"/>
              </w:rPr>
              <w:t>Nine months ended September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448"/>
              <w:spacing w:after="0"/>
              <w:rPr>
                <w:sz w:val="20"/>
                <w:szCs w:val="20"/>
                <w:color w:val="auto"/>
              </w:rPr>
            </w:pPr>
            <w:r>
              <w:rPr>
                <w:rFonts w:ascii="Arial" w:cs="Arial" w:eastAsia="Arial" w:hAnsi="Arial"/>
                <w:sz w:val="14"/>
                <w:szCs w:val="14"/>
                <w:color w:val="auto"/>
              </w:rPr>
              <w:t>U/W Exp</w:t>
            </w:r>
          </w:p>
        </w:tc>
        <w:tc>
          <w:tcPr>
            <w:tcW w:w="1000" w:type="dxa"/>
            <w:vAlign w:val="bottom"/>
            <w:gridSpan w:val="2"/>
          </w:tcPr>
          <w:p>
            <w:pPr>
              <w:spacing w:after="0"/>
              <w:rPr>
                <w:sz w:val="20"/>
                <w:szCs w:val="20"/>
                <w:color w:val="auto"/>
              </w:rPr>
            </w:pPr>
            <w:r>
              <w:rPr>
                <w:rFonts w:ascii="Arial" w:cs="Arial" w:eastAsia="Arial" w:hAnsi="Arial"/>
                <w:sz w:val="14"/>
                <w:szCs w:val="14"/>
                <w:color w:val="auto"/>
              </w:rPr>
              <w:t>% of NEP</w:t>
            </w:r>
          </w:p>
        </w:tc>
        <w:tc>
          <w:tcPr>
            <w:tcW w:w="120" w:type="dxa"/>
            <w:vAlign w:val="bottom"/>
          </w:tcPr>
          <w:p>
            <w:pPr>
              <w:spacing w:after="0"/>
              <w:rPr>
                <w:sz w:val="17"/>
                <w:szCs w:val="17"/>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color w:val="auto"/>
              </w:rPr>
              <w:t>U/W Exp</w:t>
            </w: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 of NEP</w:t>
            </w:r>
          </w:p>
        </w:tc>
        <w:tc>
          <w:tcPr>
            <w:tcW w:w="1140" w:type="dxa"/>
            <w:vAlign w:val="bottom"/>
          </w:tcPr>
          <w:p>
            <w:pPr>
              <w:jc w:val="right"/>
              <w:ind w:right="182"/>
              <w:spacing w:after="0"/>
              <w:rPr>
                <w:sz w:val="20"/>
                <w:szCs w:val="20"/>
                <w:color w:val="auto"/>
              </w:rPr>
            </w:pPr>
            <w:r>
              <w:rPr>
                <w:rFonts w:ascii="Arial" w:cs="Arial" w:eastAsia="Arial" w:hAnsi="Arial"/>
                <w:sz w:val="14"/>
                <w:szCs w:val="14"/>
                <w:color w:val="auto"/>
              </w:rPr>
              <w:t>% of NEP</w:t>
            </w:r>
          </w:p>
        </w:tc>
      </w:tr>
      <w:tr>
        <w:trPr>
          <w:trHeight w:val="21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1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36.5 %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33.0 %</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3.5 %</w:t>
            </w:r>
          </w:p>
        </w:tc>
      </w:tr>
      <w:tr>
        <w:trPr>
          <w:trHeight w:val="235"/>
        </w:trPr>
        <w:tc>
          <w:tcPr>
            <w:tcW w:w="5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15"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0.9 percentage points in the first nine months of 2024 compared to the first nine months of 2023 reflecting the impact of higher earned premiums on the ratio, including in the crop business that has a lower commissions and other underwriting expense ratio compared to some of the other businesses in the Property and transportation sub-segment and lower average commission rates in the transportation businesses.</w:t>
      </w:r>
    </w:p>
    <w:p>
      <w:pPr>
        <w:spacing w:after="0" w:line="201"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decreased 0.3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first nine months of 2024 compared to the first nine months of 2023 reflecting lower overall commission rates due to a change in the mix of business, partially offset by the impact of lower earned premiums in the workers’ compensation businesses on the ratio.</w:t>
      </w:r>
    </w:p>
    <w:p>
      <w:pPr>
        <w:spacing w:after="0" w:line="216"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decreased 4.1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first nine months of 2024 compared to the first nine months of 2023 due primarily to the impact of higher earned premiums in the financial institutions business on the ratio and lower average commission rates in certain businesses.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$589 million in the first nine months of 2024 compared to</w:t>
      </w:r>
    </w:p>
    <w:p>
      <w:pPr>
        <w:spacing w:after="0" w:line="1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$568 million in the first nine months of 2023, an increase of $21 million (4%). The average invested assets and overall yield earned on investments held by AFG’s property and casualty insurance operations are provided below (dollars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color w:val="auto"/>
              </w:rPr>
              <w:t>Nine months ended September 30,</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56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5"/>
                <w:szCs w:val="15"/>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color w:val="auto"/>
              </w:rPr>
              <w:t>Change</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 Change</w:t>
            </w:r>
          </w:p>
        </w:tc>
      </w:tr>
      <w:tr>
        <w:trPr>
          <w:trHeight w:val="19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560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54</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13 %</w:t>
            </w:r>
          </w:p>
        </w:tc>
      </w:tr>
      <w:tr>
        <w:trPr>
          <w:trHeight w:val="216"/>
        </w:trPr>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0"/>
        </w:trPr>
        <w:tc>
          <w:tcPr>
            <w:tcW w:w="560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21</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4 %</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15,389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14,624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765</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5 %</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pacing w:after="0" w:line="250"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The increase in the property and casualty insurance segment’s net investment income for the first nine months of 2024 compared to the first nine months of 2023 reflects the impact of higher balances of invested assets and higher returns on fixed maturity investments, partially offset by lower returns on AFG’s alternative investments portfolio (partnerships and similar investments and AFG-managed CLOs). The property and casualty insurance segment’s overall yield 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investments (net investment income as a percentage of average invested assets) was 5.10% for the first nine months of 2024 compared to 5.18% for the first nine months of 2023, a decrease of 0.08 percentage points reflecting lower returns on alternative investments, partially offset by higher returns on fixed maturity investments. The annualized return earned on alternative investments (partnerships and similar investments and AFG-managed CLOs) was 6.5% in the first nine months of 2024 compared to 9.2%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17"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$57 million for the first nine months of 2024 compared to $41 million for the first nine months of 2023, an increase of $16 million (39%). The table below details the items included in other income and expenses, net for AFG’s property and casualty insurance operations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340" w:type="dxa"/>
            <w:vAlign w:val="bottom"/>
            <w:tcBorders>
              <w:bottom w:val="single" w:sz="8" w:color="auto"/>
            </w:tcBorders>
          </w:tcPr>
          <w:p>
            <w:pPr>
              <w:spacing w:after="0"/>
              <w:rPr>
                <w:sz w:val="16"/>
                <w:szCs w:val="16"/>
                <w:color w:val="auto"/>
              </w:rPr>
            </w:pPr>
          </w:p>
        </w:tc>
      </w:tr>
      <w:tr>
        <w:trPr>
          <w:trHeight w:val="199"/>
        </w:trPr>
        <w:tc>
          <w:tcPr>
            <w:tcW w:w="83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rPr>
              <w:t>2023</w:t>
            </w:r>
          </w:p>
        </w:tc>
        <w:tc>
          <w:tcPr>
            <w:tcW w:w="340" w:type="dxa"/>
            <w:vAlign w:val="bottom"/>
            <w:tcBorders>
              <w:bottom w:val="single" w:sz="8" w:color="auto"/>
            </w:tcBorders>
          </w:tcPr>
          <w:p>
            <w:pPr>
              <w:spacing w:after="0"/>
              <w:rPr>
                <w:sz w:val="17"/>
                <w:szCs w:val="17"/>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832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expenses related to CRS</w:t>
            </w:r>
          </w:p>
        </w:tc>
        <w:tc>
          <w:tcPr>
            <w:tcW w:w="9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83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expenses</w:t>
            </w:r>
          </w:p>
        </w:tc>
        <w:tc>
          <w:tcPr>
            <w:tcW w:w="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decrease in other income in the first nine months of 2024 compared to the first nine months of 2023 is due primarily to death benefits received on a company-owned life insurance policy in the first quarter and third quarter of 2023. The higher amortization of intangibles in the first nine months of 2024 compared to the first nine months of 2023 reflects the acquisition of CRS in July 2023. The $9 million (31%) increase in interest expense on funds withheld in the first nine months of 2024 compared to the first nine months of 2023 reflects the impact of higher interest rates paid on funds withheld.</w:t>
      </w: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4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$156 million in the first nine months of 2024 compared to $138 million in the first nine months of 2023, an increase of $18 million (13%). AFG’s net core pretax loss outside of its property and casualty insurance segment (excluding realized gains and losses) totaled $142 million in the first nine months of 2024 compared to $124 million in the first nine months of 2023, an increase of $18 million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nine months ended September 30, 2024 and 2023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color w:val="auto"/>
              </w:rPr>
              <w:t>Nine months ended September 30,</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color w:val="auto"/>
              </w:rPr>
              <w:t>2023</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rPr>
              <w:t>% Change</w:t>
            </w: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6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142"/>
        </w:trPr>
        <w:tc>
          <w:tcPr>
            <w:tcW w:w="710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9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126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money</w:t>
            </w:r>
          </w:p>
        </w:tc>
        <w:tc>
          <w:tcPr>
            <w:tcW w:w="9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special A&amp;E charge</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Pretax non-core gain on retirement of debt</w:t>
            </w:r>
          </w:p>
        </w:tc>
        <w:tc>
          <w:tcPr>
            <w:tcW w:w="9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5"/>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loss before income taxes, excluding realized gains and losses</w:t>
            </w:r>
          </w:p>
        </w:tc>
        <w:tc>
          <w:tcPr>
            <w:tcW w:w="92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60" w:type="dxa"/>
            <w:vAlign w:val="bottom"/>
            <w:tcBorders>
              <w:top w:val="single" w:sz="8" w:color="CCEEFF"/>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20" w:right="340" w:hanging="412"/>
        <w:spacing w:after="0" w:line="284" w:lineRule="auto"/>
        <w:tabs>
          <w:tab w:leader="none" w:pos="411"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Excludes a pretax non-core special A&amp;E charge of $14 million in the first nine months of 2024 and a pretax non-core special A&amp;E charge of $15 million and a pretax non-core gain on retirement of debt of $1 million in the first nine months of 2023.</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jc w:val="both"/>
        <w:ind w:right="440"/>
        <w:spacing w:after="0" w:line="256"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$22 million in the first nine months of 2024 compared to $33 million in the first nine months of 2023, a decrease of $11 million (33%) reflecting the impact of lower average investment balances.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1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first nine months of 2024, AFG collected $72 million in fees for these services compared to $68 million in the first nine months of 2023. Management views this fee income, net of the $45 million in the first nine months of 2024 and $43 million in the first nine months of 2023 in expenses incurred to generate such fees, as a reduction in the cost of underwriting its property and casualty insurance policies. In addition, AFG’s property and casualty insurance businesses earned $11 million and $15 million during the first nine months of 2024 and 2023, respectively, in fees as compensation for providing services related to the administration of crop insurance business generated by CRS for its former owner prior to the acquisition date.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3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Other income in the table above includes $9 million and $12 million in the first nine months of 2024 and the first nine months of 2023, respectively,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Earnings.” </w:t>
      </w:r>
      <w:r>
        <w:rPr>
          <w:rFonts w:ascii="Arial" w:cs="Arial" w:eastAsia="Arial" w:hAnsi="Arial"/>
          <w:sz w:val="17"/>
          <w:szCs w:val="17"/>
          <w:color w:val="auto"/>
        </w:rPr>
        <w:t>Excluding amounts eliminated in consolidation, AFG recorded other income outside of its property and casualty insurance segment of</w:t>
      </w:r>
      <w:r>
        <w:rPr>
          <w:rFonts w:ascii="Arial" w:cs="Arial" w:eastAsia="Arial" w:hAnsi="Arial"/>
          <w:sz w:val="17"/>
          <w:szCs w:val="17"/>
          <w:i w:val="1"/>
          <w:iCs w:val="1"/>
          <w:color w:val="auto"/>
        </w:rPr>
        <w:t xml:space="preserve"> </w:t>
      </w:r>
      <w:r>
        <w:rPr>
          <w:rFonts w:ascii="Arial" w:cs="Arial" w:eastAsia="Arial" w:hAnsi="Arial"/>
          <w:sz w:val="17"/>
          <w:szCs w:val="17"/>
          <w:color w:val="auto"/>
        </w:rPr>
        <w:t>$3 million in the first nine months of 2024 compared to $4 million in the first nine months of 2023, a decrease of $1 million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0"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Excluding the non-core special A&amp;E charges and the non-core gain on retirement of debt discussed below, AFG’s holding companies and other operations outside of its property and casualty insurance segment recorded other expenses of $119 million in the first nine months of 2024 compared to $116 million in the first nine months of 2023, an increase of $3 million (3%). Other expenses for the 2024 period includes a $4 million charge to increase liabilities related to AFG’s former railroad and manufacturing operations.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3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$57 million in both the first nine months of 2024 and the first nine months of 2023.</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Special A&amp;E Charges</w:t>
      </w:r>
    </w:p>
    <w:p>
      <w:pPr>
        <w:spacing w:after="0" w:line="30"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Holding Company and Other — Special A&amp;E Charges</w:t>
      </w:r>
      <w:r>
        <w:rPr>
          <w:rFonts w:ascii="Arial" w:cs="Arial" w:eastAsia="Arial" w:hAnsi="Arial"/>
          <w:sz w:val="17"/>
          <w:szCs w:val="17"/>
          <w:color w:val="auto"/>
        </w:rPr>
        <w:t>” under “</w:t>
      </w:r>
      <w:r>
        <w:rPr>
          <w:rFonts w:ascii="Arial" w:cs="Arial" w:eastAsia="Arial" w:hAnsi="Arial"/>
          <w:sz w:val="17"/>
          <w:szCs w:val="17"/>
          <w:i w:val="1"/>
          <w:iCs w:val="1"/>
          <w:color w:val="auto"/>
        </w:rPr>
        <w:t>Results of Operations — Holding Company, Other and Unallocated”</w:t>
      </w:r>
      <w:r>
        <w:rPr>
          <w:rFonts w:ascii="Arial" w:cs="Arial" w:eastAsia="Arial" w:hAnsi="Arial"/>
          <w:sz w:val="17"/>
          <w:szCs w:val="17"/>
          <w:color w:val="auto"/>
        </w:rPr>
        <w:t xml:space="preserve"> for the quarters ended September 30, 2024 and 2023 for a discussion of the $14 million and $15 million pretax non-core special A&amp;E charges recorded in the third quarter of 2024 and the third quarter of 2023,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Gain on Retirement of Debt</w:t>
      </w:r>
    </w:p>
    <w:p>
      <w:pPr>
        <w:spacing w:after="0" w:line="3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During the first nine months of 2023, AFG repurchased $23 million principal amount of its senior notes, which resulted in a $2 million pretax non-core gain and recorded a $1 million pretax non-core loss related to the write-off of debt issue costs associated with its previous revolving credit facility, which was replaced in June 2023.</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28"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AFG’s realized gains (losses) on securities were net gains of $10 million in the first nine months of 2024 compared to net losses of $67 million in the first nine months of 2023, a change of $77 million (115%). Realized gains (losses) on securities consisted of the following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Nine months ended September 30,</w:t>
            </w:r>
          </w:p>
        </w:tc>
      </w:tr>
      <w:tr>
        <w:trPr>
          <w:trHeight w:val="199"/>
        </w:trPr>
        <w:tc>
          <w:tcPr>
            <w:tcW w:w="8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color w:val="auto"/>
              </w:rPr>
              <w:t>2023</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83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8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197"/>
        </w:trPr>
        <w:tc>
          <w:tcPr>
            <w:tcW w:w="8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83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The $31 million net realized loss from disposals in the first nine months of 2023 includes losses of $15 million from the sale of investments in banks and $5 million from the sale of municipal bonds.</w:t>
      </w:r>
    </w:p>
    <w:p>
      <w:pPr>
        <w:spacing w:after="0" w:line="26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$29 million net realized gain from the change in the fair value of equity securities in the first nine months of 2024 includes gains of $19 million on investments in banks and financing companies, $5 million on investments in natural gas companies and $5 million on investments in healthcare companies. The $23 million net realized loss from the change in the fair value of equity securities in the first nine months of 2023 includes losses of $13 million on investments in media companies, $8 million on investments in banks and financing companies, $8 million on investments in healthcare companies and $3 million on investments in energy companies, partially offset by gains of $3 million on investments in capital goods companies and $3 million on investments in natural gas companies.</w:t>
      </w:r>
    </w:p>
    <w:p>
      <w:pPr>
        <w:spacing w:after="0" w:line="206"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The $17 million change in allowance for impairments on securities in the first nine months of 2024 relates primarily to an allowance taken on corporate bonds from a single issuer in the financial sector.</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Loss on Subsidiaries</w:t>
      </w:r>
    </w:p>
    <w:p>
      <w:pPr>
        <w:spacing w:after="0" w:line="4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 the second quarter of 2024, AFG recorded $4 million in net tax expense related to a pending IRS settlement regarding the sale of a subsidiary in a prior year.</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During the third quarter of 2023, AFG recorded a realized loss on subsidiary of $4 million, consisting of a $26 million goodwill impairment charge, partially offset by a $22 million reduction in the fair value contingent consideration liability, both related to AFG’s investment in Verikai.</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4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 xml:space="preserve">AFG’s consolidated provision for income taxes was $172 million for the first nine months of 2024 compared to $149 million for the first nine months of 2023, an increase of $23 million (15%).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ACCOUNTING STANDARDS TO BE ADOPTED</w:t>
      </w:r>
    </w:p>
    <w:p>
      <w:pPr>
        <w:spacing w:after="0" w:line="27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In November 2023, the Financial Accounting Standards Board (“FASB”) issued Accounting Standards Update No. 2023-07 (“ASU 2023-07”), </w:t>
      </w:r>
      <w:r>
        <w:rPr>
          <w:rFonts w:ascii="Arial" w:cs="Arial" w:eastAsia="Arial" w:hAnsi="Arial"/>
          <w:sz w:val="17"/>
          <w:szCs w:val="17"/>
          <w:i w:val="1"/>
          <w:iCs w:val="1"/>
          <w:color w:val="auto"/>
        </w:rPr>
        <w:t>Improvements to Reportable Segment Disclosures</w:t>
      </w:r>
      <w:r>
        <w:rPr>
          <w:rFonts w:ascii="Arial" w:cs="Arial" w:eastAsia="Arial" w:hAnsi="Arial"/>
          <w:sz w:val="17"/>
          <w:szCs w:val="17"/>
          <w:color w:val="auto"/>
        </w:rPr>
        <w:t>. ASU 2023-07 will require enhanced disclosures about significant segment expenses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description of the composition of other segment expenses by business segment. ASU 2023-07 also requires disclosure of the title and position of the chief operating decision maker (“CODM”) and an explanation of how the CODM uses the reported measures of segment profit or loss in assessing segment performance and deciding how to allocate resources. ASU 2023-07 is effective for fiscal years beginning after December 15, 2023, and interim periods within fiscal years beginning after December 15, 2024, with early adoption permitted, and is to be applied on a retrospective basis. As of September 30, 2024, AFG has not adopted ASU 2023-07. Management is evaluating the impact of the standard to the segment reporting disclosures. Since ASU 2023-07 only requires additional disclosure, the adoption of this guidance will not have an impact on AFG’s results of operations or financial condition.</w:t>
      </w:r>
    </w:p>
    <w:p>
      <w:pPr>
        <w:spacing w:after="0" w:line="22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 xml:space="preserve">In December 2023, the FASB issued ASU No. 2023-09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ASU 2023-09 is intended to improve income tax disclosures by requiring (i) consistent categories and greater disaggregation of information in the rate reconciliation presented in both dollar and percentage terms; (ii) the disaggregation of income taxes paid (net of refunds received), income (loss) before income taxes and income taxes by jurisdiction (federal, state and foreign taxes); and (iii) further disaggregation of income taxes paid by any individual jurisdiction equal to or exceeding five percent of total income taxes paid. ASU 2023-09 is effective for fiscal years beginning after December 15, 2024, with early adoption permitted, and is required to be applied prospectively with the option of retrospective application. As of September 30, 2024, AFG has not adopted ASU 2023-09. Management is evaluating the impact of the standard to the income tax disclosures. Since ASU 2023-09 only requires additional disclosure, the adoption of this guidance will not have an impact on AFG’s results of operations or financial condition.</w:t>
      </w:r>
    </w:p>
    <w:p>
      <w:pPr>
        <w:spacing w:after="0" w:line="206" w:lineRule="exact"/>
        <w:rPr>
          <w:sz w:val="20"/>
          <w:szCs w:val="20"/>
          <w:color w:val="auto"/>
        </w:rPr>
      </w:pPr>
    </w:p>
    <w:p>
      <w:pPr>
        <w:ind w:right="840"/>
        <w:spacing w:after="0" w:line="297" w:lineRule="auto"/>
        <w:rPr>
          <w:sz w:val="20"/>
          <w:szCs w:val="20"/>
          <w:color w:val="auto"/>
        </w:rPr>
      </w:pPr>
      <w:r>
        <w:rPr>
          <w:rFonts w:ascii="Arial" w:cs="Arial" w:eastAsia="Arial" w:hAnsi="Arial"/>
          <w:sz w:val="36"/>
          <w:szCs w:val="36"/>
          <w:b w:val="1"/>
          <w:bCs w:val="1"/>
          <w:color w:val="003366"/>
        </w:rPr>
        <w:t>ITEM 3. Quantitative and Qualitative Disclosure about Market Risk</w:t>
      </w:r>
    </w:p>
    <w:p>
      <w:pPr>
        <w:spacing w:after="0" w:line="8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 xml:space="preserve">As of September 30, 2024, there were no material changes to the information provided in </w:t>
      </w:r>
      <w:r>
        <w:rPr>
          <w:rFonts w:ascii="Arial" w:cs="Arial" w:eastAsia="Arial" w:hAnsi="Arial"/>
          <w:sz w:val="17"/>
          <w:szCs w:val="17"/>
          <w:i w:val="1"/>
          <w:iCs w:val="1"/>
          <w:color w:val="auto"/>
        </w:rPr>
        <w:t>Item 7A — 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of AFG’s 2023 Form 10-K.</w:t>
      </w:r>
    </w:p>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Consistent with the discussion in </w:t>
      </w:r>
      <w:r>
        <w:rPr>
          <w:rFonts w:ascii="Arial" w:cs="Arial" w:eastAsia="Arial" w:hAnsi="Arial"/>
          <w:sz w:val="17"/>
          <w:szCs w:val="17"/>
          <w:i w:val="1"/>
          <w:iCs w:val="1"/>
          <w:color w:val="auto"/>
        </w:rPr>
        <w:t>Item 2 — Management’s Discussion and Analysis — “Investments,”</w:t>
      </w:r>
      <w:r>
        <w:rPr>
          <w:rFonts w:ascii="Arial" w:cs="Arial" w:eastAsia="Arial" w:hAnsi="Arial"/>
          <w:sz w:val="17"/>
          <w:szCs w:val="17"/>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at September 30, 2024 (based on the duration of the portfolio, dollars in millions). Effects of increases or decreases from the 100 basis points illustrated would be approximately proportional.</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10,513</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4. Controls and Procedures</w:t>
      </w:r>
    </w:p>
    <w:p>
      <w:pPr>
        <w:spacing w:after="0" w:line="26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third fiscal quarter of 2024 that materially affected, or are reasonably likely to materially affect, AFG’s internal control over financial reporting.</w:t>
      </w:r>
    </w:p>
    <w:p>
      <w:pPr>
        <w:spacing w:after="0" w:line="206"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In the ordinary course of business, AFG and its subsidiaries routinely enhance their information systems by either upgrading current systems or implementing new systems. There have been no changes in AFG’s business processes and procedures during the third fiscal quarter of 2024 that have materially affected, or are reasonably likely to materially affect, AFG’s internal control over financial reporting.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PART II</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OTHER INFORMATION</w:t>
      </w:r>
    </w:p>
    <w:p>
      <w:pPr>
        <w:spacing w:after="0" w:line="23" w:lineRule="exact"/>
        <w:rPr>
          <w:sz w:val="20"/>
          <w:szCs w:val="20"/>
          <w:color w:val="auto"/>
        </w:rPr>
      </w:pPr>
    </w:p>
    <w:p>
      <w:pPr>
        <w:ind w:right="1200"/>
        <w:spacing w:after="0" w:line="280" w:lineRule="auto"/>
        <w:rPr>
          <w:sz w:val="20"/>
          <w:szCs w:val="20"/>
          <w:color w:val="auto"/>
        </w:rPr>
      </w:pPr>
      <w:r>
        <w:rPr>
          <w:rFonts w:ascii="Arial" w:cs="Arial" w:eastAsia="Arial" w:hAnsi="Arial"/>
          <w:sz w:val="36"/>
          <w:szCs w:val="36"/>
          <w:b w:val="1"/>
          <w:bCs w:val="1"/>
          <w:color w:val="003366"/>
        </w:rPr>
        <w:t>ITEM 2. Unregistered Sales of Equity Securities and Use of Proceeds</w:t>
      </w:r>
    </w:p>
    <w:p>
      <w:pPr>
        <w:spacing w:after="0" w:line="111"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b w:val="1"/>
          <w:bCs w:val="1"/>
          <w:color w:val="003366"/>
        </w:rPr>
        <w:t xml:space="preserve">Issuer Purchases of Equity Securities </w:t>
      </w:r>
      <w:r>
        <w:rPr>
          <w:rFonts w:ascii="Arial" w:cs="Arial" w:eastAsia="Arial" w:hAnsi="Arial"/>
          <w:sz w:val="17"/>
          <w:szCs w:val="17"/>
          <w:color w:val="000000"/>
        </w:rPr>
        <w:t>AFG did not repurchase any shares of its Common Stock during the first nine months of 2024. As</w:t>
      </w:r>
      <w:r>
        <w:rPr>
          <w:rFonts w:ascii="Arial" w:cs="Arial" w:eastAsia="Arial" w:hAnsi="Arial"/>
          <w:sz w:val="20"/>
          <w:szCs w:val="20"/>
          <w:b w:val="1"/>
          <w:bCs w:val="1"/>
          <w:color w:val="003366"/>
        </w:rPr>
        <w:t xml:space="preserve"> </w:t>
      </w:r>
      <w:r>
        <w:rPr>
          <w:rFonts w:ascii="Arial" w:cs="Arial" w:eastAsia="Arial" w:hAnsi="Arial"/>
          <w:sz w:val="17"/>
          <w:szCs w:val="17"/>
          <w:color w:val="000000"/>
        </w:rPr>
        <w:t>of September 30, 2024, there are 5,729,010 remaining shares that may be repurchased until December 31, 2025 under the Plans authorized by AFG’s Board of Directors in October 2020 and May 2021.</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AFG acquired 47,870 shares of its Common Stock (at an average of $126.38 per share) in the first quarter of 2024, 21 shares (at $129.03 per share) in the second quarter of 2024, 4,184 shares (at an average of $123.59 per share) in July 2024, 319 shares (at $131.82 per share) in August 2024 and 968 shares (at an average of $133.63 per share) in September 2024 in connection with its stock incentive plans.</w:t>
      </w:r>
    </w:p>
    <w:p>
      <w:pPr>
        <w:spacing w:after="0" w:line="199"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5. Other Information</w:t>
      </w:r>
    </w:p>
    <w:p>
      <w:pPr>
        <w:spacing w:after="0" w:line="36"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During the three months ended September 30, 2024, none of the Company’s directors or officers adopted, terminated or modified a “Rule 10b5-1 trading arrangement” or “non-Rule 10b5-1 trading arrangement,” as those terms are defined in Regulation S-K, Item 408.</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316"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6. Exhibits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6"/>
                <w:szCs w:val="16"/>
                <w:color w:val="0000FF"/>
              </w:rPr>
              <w:t>31(a)</w:t>
            </w:r>
          </w:p>
        </w:tc>
        <w:tc>
          <w:tcPr>
            <w:tcW w:w="300" w:type="dxa"/>
            <w:vAlign w:val="bottom"/>
          </w:tcPr>
          <w:p>
            <w:pPr>
              <w:spacing w:after="0"/>
              <w:rPr>
                <w:sz w:val="20"/>
                <w:szCs w:val="20"/>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31(c)</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Chief Financial Officer pursuant to section 302(a) of the Sarbanes-Oxley Act of 2002.</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0000FF"/>
              </w:rPr>
              <w:t>32</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Officers and Chief Financial Officer pursuant to section 906 of the Sarbanes-Oxley Act of 2002.</w:t>
            </w:r>
          </w:p>
        </w:tc>
      </w:tr>
      <w:tr>
        <w:trPr>
          <w:trHeight w:val="164"/>
        </w:trPr>
        <w:tc>
          <w:tcPr>
            <w:tcW w:w="880" w:type="dxa"/>
            <w:vAlign w:val="bottom"/>
            <w:gridSpan w:val="2"/>
          </w:tcPr>
          <w:p>
            <w:pPr>
              <w:spacing w:after="0" w:line="164" w:lineRule="exact"/>
              <w:rPr>
                <w:sz w:val="20"/>
                <w:szCs w:val="20"/>
                <w:color w:val="auto"/>
              </w:rPr>
            </w:pPr>
            <w:r>
              <w:rPr>
                <w:rFonts w:ascii="Arial" w:cs="Arial" w:eastAsia="Arial" w:hAnsi="Arial"/>
                <w:sz w:val="16"/>
                <w:szCs w:val="16"/>
                <w:color w:val="auto"/>
              </w:rPr>
              <w:t>101.INS</w:t>
            </w:r>
          </w:p>
        </w:tc>
        <w:tc>
          <w:tcPr>
            <w:tcW w:w="10240" w:type="dxa"/>
            <w:vAlign w:val="bottom"/>
            <w:gridSpan w:val="3"/>
          </w:tcPr>
          <w:p>
            <w:pPr>
              <w:ind w:left="220"/>
              <w:spacing w:after="0" w:line="164"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15"/>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the Inline XBRL document.</w:t>
            </w:r>
          </w:p>
        </w:tc>
      </w:tr>
      <w:tr>
        <w:trPr>
          <w:trHeight w:val="215"/>
        </w:trPr>
        <w:tc>
          <w:tcPr>
            <w:tcW w:w="8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Signature</w:t>
      </w:r>
    </w:p>
    <w:p>
      <w:pPr>
        <w:spacing w:after="0" w:line="16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8060" w:type="dxa"/>
            <w:vAlign w:val="bottom"/>
            <w:gridSpan w:val="2"/>
          </w:tcPr>
          <w:p>
            <w:pPr>
              <w:ind w:left="1780"/>
              <w:spacing w:after="0"/>
              <w:rPr>
                <w:sz w:val="20"/>
                <w:szCs w:val="20"/>
                <w:color w:val="auto"/>
              </w:rPr>
            </w:pPr>
            <w:r>
              <w:rPr>
                <w:rFonts w:ascii="Arial" w:cs="Arial" w:eastAsia="Arial" w:hAnsi="Arial"/>
                <w:sz w:val="16"/>
                <w:szCs w:val="16"/>
                <w:color w:val="auto"/>
              </w:rPr>
              <w:t>American Financial Group, Inc.</w:t>
            </w:r>
          </w:p>
        </w:tc>
      </w:tr>
      <w:tr>
        <w:trPr>
          <w:trHeight w:val="487"/>
        </w:trPr>
        <w:tc>
          <w:tcPr>
            <w:tcW w:w="3120" w:type="dxa"/>
            <w:vAlign w:val="bottom"/>
          </w:tcPr>
          <w:p>
            <w:pPr>
              <w:spacing w:after="0"/>
              <w:rPr>
                <w:sz w:val="20"/>
                <w:szCs w:val="20"/>
                <w:color w:val="auto"/>
              </w:rPr>
            </w:pPr>
            <w:r>
              <w:rPr>
                <w:rFonts w:ascii="Arial" w:cs="Arial" w:eastAsia="Arial" w:hAnsi="Arial"/>
                <w:sz w:val="16"/>
                <w:szCs w:val="16"/>
                <w:color w:val="auto"/>
              </w:rPr>
              <w:t>November 8, 2024</w:t>
            </w:r>
          </w:p>
        </w:tc>
        <w:tc>
          <w:tcPr>
            <w:tcW w:w="2540" w:type="dxa"/>
            <w:vAlign w:val="bottom"/>
          </w:tcPr>
          <w:p>
            <w:pPr>
              <w:ind w:left="1780"/>
              <w:spacing w:after="0"/>
              <w:rPr>
                <w:sz w:val="20"/>
                <w:szCs w:val="20"/>
                <w:color w:val="auto"/>
              </w:rPr>
            </w:pPr>
            <w:r>
              <w:rPr>
                <w:rFonts w:ascii="Arial" w:cs="Arial" w:eastAsia="Arial" w:hAnsi="Arial"/>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S. Hertzman</w:t>
            </w:r>
          </w:p>
        </w:tc>
      </w:tr>
      <w:tr>
        <w:trPr>
          <w:trHeight w:val="209"/>
        </w:trPr>
        <w:tc>
          <w:tcPr>
            <w:tcW w:w="3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Brian S. Hertzman</w:t>
            </w:r>
          </w:p>
        </w:tc>
      </w:tr>
      <w:tr>
        <w:trPr>
          <w:trHeight w:val="215"/>
        </w:trPr>
        <w:tc>
          <w:tcPr>
            <w:tcW w:w="3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00"/>
          </w:cols>
          <w:pgMar w:left="320" w:top="116" w:right="37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003366"/>
        </w:rPr>
        <w:t>Exhibit 31(a)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Carl H. Lindner III, certify that:</w:t>
      </w:r>
    </w:p>
    <w:p>
      <w:pPr>
        <w:spacing w:after="0" w:line="24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8, 2024</w:t>
      </w:r>
      <w:r>
        <w:rPr>
          <w:sz w:val="20"/>
          <w:szCs w:val="20"/>
          <w:color w:val="auto"/>
        </w:rPr>
        <w:tab/>
      </w: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240"/>
          </w:cols>
          <w:pgMar w:left="320" w:top="89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003366"/>
        </w:rPr>
        <w:t>Exhibit 31(b)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S. Craig Lindner, certify that:</w:t>
      </w:r>
    </w:p>
    <w:p>
      <w:pPr>
        <w:spacing w:after="0" w:line="24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8, 2024</w:t>
      </w:r>
      <w:r>
        <w:rPr>
          <w:sz w:val="20"/>
          <w:szCs w:val="20"/>
          <w:color w:val="auto"/>
        </w:rPr>
        <w:tab/>
      </w: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240"/>
          </w:cols>
          <w:pgMar w:left="320" w:top="89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003366"/>
        </w:rPr>
        <w:t>Exhibit 31(c)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Brian S. Hertzman, certify that:</w:t>
      </w:r>
    </w:p>
    <w:p>
      <w:pPr>
        <w:spacing w:after="0" w:line="24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8, 2024</w:t>
      </w:r>
      <w:r>
        <w:rPr>
          <w:sz w:val="20"/>
          <w:szCs w:val="20"/>
          <w:color w:val="auto"/>
        </w:rPr>
        <w:tab/>
      </w: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240"/>
          </w:cols>
          <w:pgMar w:left="320" w:top="89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003366"/>
        </w:rPr>
        <w:t>Exhibit 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CERTIFICATION OF CHIEF EXECUTIVE OFFICERS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PURSUANT TO SECTION 906 OF THE SARBANES-OXLEY ACT OF 2002</w:t>
      </w:r>
    </w:p>
    <w:p>
      <w:pPr>
        <w:spacing w:after="0" w:line="200" w:lineRule="exact"/>
        <w:rPr>
          <w:sz w:val="20"/>
          <w:szCs w:val="20"/>
          <w:color w:val="auto"/>
        </w:rPr>
      </w:pPr>
    </w:p>
    <w:p>
      <w:pPr>
        <w:spacing w:after="0" w:line="275"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In connection with the filing with the Securities and Exchange Commission of the Quarterly Report of American Financial Group, Inc. (the “Company”) on Form 10-Q for the period ended September 30, 2024 (the “Report”), the undersigned officers of the Company, certify, pursuant to section 906 of the Sarbanes-Oxley Act of 2002, that to the best of their knowledge:</w:t>
      </w:r>
    </w:p>
    <w:p>
      <w:pPr>
        <w:spacing w:after="0" w:line="19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895"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4500" w:space="720"/>
            <w:col w:w="602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560" w:right="2540"/>
        <w:spacing w:after="0" w:line="296" w:lineRule="auto"/>
        <w:rPr>
          <w:sz w:val="20"/>
          <w:szCs w:val="20"/>
          <w:color w:val="auto"/>
        </w:rPr>
      </w:pPr>
      <w:r>
        <w:rPr>
          <w:rFonts w:ascii="Arial" w:cs="Arial" w:eastAsia="Arial" w:hAnsi="Arial"/>
          <w:sz w:val="16"/>
          <w:szCs w:val="16"/>
          <w:b w:val="1"/>
          <w:bCs w:val="1"/>
          <w:color w:val="auto"/>
        </w:rPr>
        <w:t>A signed original of this written statement will be retained by the Registrant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E-4</w:t>
      </w:r>
    </w:p>
    <w:sectPr>
      <w:pgSz w:w="11900" w:h="16838" w:orient="portrait"/>
      <w:cols w:equalWidth="0" w:num="1">
        <w:col w:w="11240"/>
      </w:cols>
      <w:pgMar w:left="320" w:top="8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upperLetter"/>
      <w:start w:val="7"/>
    </w:lvl>
  </w:abstractNum>
  <w:abstractNum w:abstractNumId="3">
    <w:nsid w:val="2D1D5AE9"/>
    <w:multiLevelType w:val="hybridMultilevel"/>
    <w:lvl w:ilvl="0">
      <w:lvlJc w:val="left"/>
      <w:lvlText w:val="%1."/>
      <w:numFmt w:val="upperLetter"/>
      <w:start w:val="1"/>
    </w:lvl>
  </w:abstractNum>
  <w:abstractNum w:abstractNumId="4">
    <w:nsid w:val="6763845E"/>
    <w:multiLevelType w:val="hybridMultilevel"/>
    <w:lvl w:ilvl="0">
      <w:lvlJc w:val="left"/>
      <w:lvlText w:val="(%1)"/>
      <w:numFmt w:val="lowerRoman"/>
      <w:start w:val="3"/>
    </w:lvl>
  </w:abstractNum>
  <w:abstractNum w:abstractNumId="5">
    <w:nsid w:val="75A2A8D4"/>
    <w:multiLevelType w:val="hybridMultilevel"/>
    <w:lvl w:ilvl="0">
      <w:lvlJc w:val="left"/>
      <w:lvlText w:val="%1."/>
      <w:numFmt w:val="upperLetter"/>
      <w:start w:val="2"/>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upperLetter"/>
      <w:start w:val="3"/>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upperLetter"/>
      <w:start w:val="4"/>
    </w:lvl>
  </w:abstractNum>
  <w:abstractNum w:abstractNumId="10">
    <w:nsid w:val="189A769B"/>
    <w:multiLevelType w:val="hybridMultilevel"/>
    <w:lvl w:ilvl="0">
      <w:lvlJc w:val="left"/>
      <w:lvlText w:val="%1."/>
      <w:numFmt w:val="upperLetter"/>
      <w:start w:val="5"/>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upperLetter"/>
      <w:start w:val="6"/>
    </w:lvl>
  </w:abstractNum>
  <w:abstractNum w:abstractNumId="16">
    <w:nsid w:val="3A95F874"/>
    <w:multiLevelType w:val="hybridMultilevel"/>
    <w:lvl w:ilvl="0">
      <w:lvlJc w:val="left"/>
      <w:lvlText w:val="%1."/>
      <w:numFmt w:val="upperLetter"/>
      <w:start w:val="7"/>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upperLetter"/>
      <w:start w:val="8"/>
    </w:lvl>
  </w:abstractNum>
  <w:abstractNum w:abstractNumId="20">
    <w:nsid w:val="737B8DDC"/>
    <w:multiLevelType w:val="hybridMultilevel"/>
    <w:lvl w:ilvl="0">
      <w:lvlJc w:val="left"/>
      <w:lvlText w:val="%1."/>
      <w:numFmt w:val="upperLetter"/>
      <w:start w:val="10"/>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upperLetter"/>
      <w:start w:val="11"/>
    </w:lvl>
  </w:abstractNum>
  <w:abstractNum w:abstractNumId="23">
    <w:nsid w:val="4516DDE9"/>
    <w:multiLevelType w:val="hybridMultilevel"/>
    <w:lvl w:ilvl="0">
      <w:lvlJc w:val="left"/>
      <w:lvlText w:val="%1."/>
      <w:numFmt w:val="upperLetter"/>
      <w:start w:val="12"/>
    </w:lvl>
  </w:abstractNum>
  <w:abstractNum w:abstractNumId="24">
    <w:nsid w:val="3006C83E"/>
    <w:multiLevelType w:val="hybridMultilevel"/>
    <w:lvl w:ilvl="0">
      <w:lvlJc w:val="left"/>
      <w:lvlText w:val="%1."/>
      <w:numFmt w:val="upperLetter"/>
      <w:start w:val="13"/>
    </w:lvl>
  </w:abstractNum>
  <w:abstractNum w:abstractNumId="25">
    <w:nsid w:val="614FD4A1"/>
    <w:multiLevelType w:val="hybridMultilevel"/>
    <w:lvl w:ilvl="0">
      <w:lvlJc w:val="left"/>
      <w:lvlText w:val="(%1)"/>
      <w:numFmt w:val="lowerRoman"/>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emdash "/>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2024-11-08T11:01:28Z</dcterms:created>
  <dcterms:modified xsi:type="dcterms:W3CDTF">2024-11-08T11:01:28Z</dcterms:modified>
</cp:coreProperties>
</file>