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259715</wp:posOffset>
            </wp:positionH>
            <wp:positionV relativeFrom="page">
              <wp:posOffset>586105</wp:posOffset>
            </wp:positionV>
            <wp:extent cx="70294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29450" cy="8255"/>
                    </a:xfrm>
                    <a:prstGeom prst="rect">
                      <a:avLst/>
                    </a:prstGeom>
                    <a:noFill/>
                  </pic:spPr>
                </pic:pic>
              </a:graphicData>
            </a:graphic>
          </wp:anchor>
        </w:drawing>
        <w:t>UNITED STATES SECURITIES AND EXCHANGE COMMISSION</w:t>
      </w:r>
    </w:p>
    <w:p>
      <w:pPr>
        <w:spacing w:after="0" w:line="135"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Washington, D.C. 20549</w:t>
      </w:r>
    </w:p>
    <w:p>
      <w:pPr>
        <w:spacing w:after="0" w:line="55"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FORM 10-K</w:t>
      </w:r>
    </w:p>
    <w:p>
      <w:pPr>
        <w:spacing w:after="0" w:line="87" w:lineRule="exact"/>
        <w:rPr>
          <w:sz w:val="24"/>
          <w:szCs w:val="24"/>
          <w:color w:val="auto"/>
        </w:rPr>
      </w:pPr>
    </w:p>
    <w:p>
      <w:pPr>
        <w:ind w:left="2440" w:hanging="218"/>
        <w:spacing w:after="0"/>
        <w:tabs>
          <w:tab w:leader="none" w:pos="244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For the Fiscal Year Ended December 31, 2023</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or</w:t>
      </w:r>
    </w:p>
    <w:p>
      <w:pPr>
        <w:spacing w:after="0" w:line="23" w:lineRule="exact"/>
        <w:rPr>
          <w:sz w:val="24"/>
          <w:szCs w:val="24"/>
          <w:color w:val="auto"/>
        </w:rPr>
      </w:pPr>
    </w:p>
    <w:p>
      <w:pPr>
        <w:ind w:left="2340" w:hanging="234"/>
        <w:spacing w:after="0"/>
        <w:tabs>
          <w:tab w:leader="none" w:pos="234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29" w:lineRule="exact"/>
        <w:rPr>
          <w:rFonts w:ascii="MS PGothic" w:cs="MS PGothic" w:eastAsia="MS PGothic" w:hAnsi="MS PGothic"/>
          <w:sz w:val="20"/>
          <w:szCs w:val="20"/>
          <w:color w:val="auto"/>
          <w:highlight w:val="black"/>
        </w:rPr>
      </w:pPr>
    </w:p>
    <w:p>
      <w:pPr>
        <w:ind w:left="4260"/>
        <w:spacing w:after="0"/>
        <w:rPr>
          <w:rFonts w:ascii="MS PGothic" w:cs="MS PGothic" w:eastAsia="MS PGothic" w:hAnsi="MS PGothic"/>
          <w:sz w:val="20"/>
          <w:szCs w:val="20"/>
          <w:color w:val="auto"/>
          <w:highlight w:val="black"/>
        </w:rPr>
      </w:pPr>
      <w:r>
        <w:rPr>
          <w:rFonts w:ascii="Arial" w:cs="Arial" w:eastAsia="Arial" w:hAnsi="Arial"/>
          <w:sz w:val="14"/>
          <w:szCs w:val="14"/>
          <w:color w:val="auto"/>
        </w:rPr>
        <w:t>For the transition period from ____ to ____</w:t>
      </w:r>
    </w:p>
    <w:p>
      <w:pPr>
        <w:spacing w:after="0" w:line="36" w:lineRule="exact"/>
        <w:rPr>
          <w:rFonts w:ascii="MS PGothic" w:cs="MS PGothic" w:eastAsia="MS PGothic" w:hAnsi="MS PGothic"/>
          <w:sz w:val="20"/>
          <w:szCs w:val="20"/>
          <w:color w:val="auto"/>
          <w:highlight w:val="black"/>
        </w:rPr>
      </w:pPr>
    </w:p>
    <w:p>
      <w:pPr>
        <w:ind w:left="4500"/>
        <w:spacing w:after="0"/>
        <w:rPr>
          <w:rFonts w:ascii="MS PGothic" w:cs="MS PGothic" w:eastAsia="MS PGothic" w:hAnsi="MS PGothic"/>
          <w:sz w:val="20"/>
          <w:szCs w:val="20"/>
          <w:color w:val="auto"/>
          <w:highlight w:val="black"/>
        </w:rPr>
      </w:pPr>
      <w:r>
        <w:rPr>
          <w:rFonts w:ascii="Arial" w:cs="Arial" w:eastAsia="Arial" w:hAnsi="Arial"/>
          <w:sz w:val="16"/>
          <w:szCs w:val="16"/>
          <w:b w:val="1"/>
          <w:bCs w:val="1"/>
          <w:color w:val="auto"/>
        </w:rPr>
        <w:t>Commission File No. 1-13653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38100</wp:posOffset>
            </wp:positionV>
            <wp:extent cx="1783080" cy="908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9086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00274E"/>
        </w:rPr>
        <w:t>AMERICAN FINANCIAL GROUP, INC.</w:t>
      </w:r>
    </w:p>
    <w:p>
      <w:pPr>
        <w:spacing w:after="0" w:line="41" w:lineRule="exact"/>
        <w:rPr>
          <w:sz w:val="24"/>
          <w:szCs w:val="24"/>
          <w:color w:val="auto"/>
        </w:rPr>
      </w:pPr>
    </w:p>
    <w:p>
      <w:pPr>
        <w:ind w:left="840"/>
        <w:spacing w:after="0"/>
        <w:tabs>
          <w:tab w:leader="none" w:pos="7840" w:val="left"/>
        </w:tabs>
        <w:rPr>
          <w:sz w:val="20"/>
          <w:szCs w:val="20"/>
          <w:color w:val="auto"/>
        </w:rPr>
      </w:pPr>
      <w:r>
        <w:rPr>
          <w:rFonts w:ascii="Arial" w:cs="Arial" w:eastAsia="Arial" w:hAnsi="Arial"/>
          <w:sz w:val="16"/>
          <w:szCs w:val="16"/>
          <w:b w:val="1"/>
          <w:bCs w:val="1"/>
          <w:color w:val="auto"/>
        </w:rPr>
        <w:t>Incorporated under the Laws of Ohio</w:t>
      </w:r>
      <w:r>
        <w:rPr>
          <w:sz w:val="20"/>
          <w:szCs w:val="20"/>
          <w:color w:val="auto"/>
        </w:rPr>
        <w:tab/>
      </w:r>
      <w:r>
        <w:rPr>
          <w:rFonts w:ascii="Arial" w:cs="Arial" w:eastAsia="Arial" w:hAnsi="Arial"/>
          <w:sz w:val="16"/>
          <w:szCs w:val="16"/>
          <w:b w:val="1"/>
          <w:bCs w:val="1"/>
          <w:color w:val="auto"/>
        </w:rPr>
        <w:t>IRS Employer I.D. No. 31-1544320</w:t>
      </w:r>
    </w:p>
    <w:p>
      <w:pPr>
        <w:spacing w:after="0" w:line="5"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301 East Fourth Street, Cincinnati, Ohio 45202</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(513) 579-2121</w:t>
      </w:r>
    </w:p>
    <w:p>
      <w:pPr>
        <w:spacing w:after="0" w:line="132"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Securities Registered Pursuant to Section 12(b) of the Act:</w:t>
      </w:r>
    </w:p>
    <w:p>
      <w:pPr>
        <w:spacing w:after="0" w:line="64" w:lineRule="exact"/>
        <w:rPr>
          <w:sz w:val="24"/>
          <w:szCs w:val="24"/>
          <w:color w:val="auto"/>
        </w:rPr>
      </w:pPr>
    </w:p>
    <w:tbl>
      <w:tblPr>
        <w:tblLayout w:type="fixed"/>
        <w:tblInd w:w="280" w:type="dxa"/>
        <w:tblCellMar>
          <w:top w:w="0" w:type="dxa"/>
          <w:left w:w="0" w:type="dxa"/>
          <w:bottom w:w="0" w:type="dxa"/>
          <w:right w:w="0" w:type="dxa"/>
        </w:tblCellMar>
      </w:tblPr>
      <w:tr>
        <w:trPr>
          <w:trHeight w:val="161"/>
        </w:trPr>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Title of Each Class</w:t>
            </w:r>
          </w:p>
        </w:tc>
        <w:tc>
          <w:tcPr>
            <w:tcW w:w="3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Trading Symbol(s)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 of Each Exchange on Which Registered</w:t>
            </w:r>
          </w:p>
        </w:tc>
      </w:tr>
      <w:tr>
        <w:trPr>
          <w:trHeight w:val="242"/>
        </w:trPr>
        <w:tc>
          <w:tcPr>
            <w:tcW w:w="4320" w:type="dxa"/>
            <w:vAlign w:val="bottom"/>
            <w:gridSpan w:val="3"/>
          </w:tcPr>
          <w:p>
            <w:pPr>
              <w:spacing w:after="0"/>
              <w:rPr>
                <w:sz w:val="20"/>
                <w:szCs w:val="20"/>
                <w:color w:val="auto"/>
              </w:rPr>
            </w:pPr>
            <w:r>
              <w:rPr>
                <w:rFonts w:ascii="Arial" w:cs="Arial" w:eastAsia="Arial" w:hAnsi="Arial"/>
                <w:sz w:val="14"/>
                <w:szCs w:val="14"/>
                <w:color w:val="auto"/>
              </w:rPr>
              <w:t>Common Stock</w:t>
            </w:r>
          </w:p>
        </w:tc>
        <w:tc>
          <w:tcPr>
            <w:tcW w:w="1920" w:type="dxa"/>
            <w:vAlign w:val="bottom"/>
            <w:gridSpan w:val="3"/>
          </w:tcPr>
          <w:p>
            <w:pPr>
              <w:ind w:left="560"/>
              <w:spacing w:after="0"/>
              <w:rPr>
                <w:sz w:val="20"/>
                <w:szCs w:val="20"/>
                <w:color w:val="auto"/>
              </w:rPr>
            </w:pPr>
            <w:r>
              <w:rPr>
                <w:rFonts w:ascii="Arial" w:cs="Arial" w:eastAsia="Arial" w:hAnsi="Arial"/>
                <w:sz w:val="14"/>
                <w:szCs w:val="14"/>
                <w:color w:val="auto"/>
              </w:rPr>
              <w:t>AFG</w:t>
            </w:r>
          </w:p>
        </w:tc>
        <w:tc>
          <w:tcPr>
            <w:tcW w:w="3160" w:type="dxa"/>
            <w:vAlign w:val="bottom"/>
            <w:gridSpan w:val="2"/>
          </w:tcPr>
          <w:p>
            <w:pPr>
              <w:ind w:left="180"/>
              <w:spacing w:after="0"/>
              <w:rPr>
                <w:sz w:val="20"/>
                <w:szCs w:val="20"/>
                <w:color w:val="auto"/>
              </w:rPr>
            </w:pPr>
            <w:r>
              <w:rPr>
                <w:rFonts w:ascii="Arial" w:cs="Arial" w:eastAsia="Arial" w:hAnsi="Arial"/>
                <w:sz w:val="14"/>
                <w:szCs w:val="14"/>
                <w:color w:val="auto"/>
              </w:rPr>
              <w:t>New York Stock Exchange</w:t>
            </w:r>
          </w:p>
        </w:tc>
      </w:tr>
      <w:tr>
        <w:trPr>
          <w:trHeight w:val="230"/>
        </w:trPr>
        <w:tc>
          <w:tcPr>
            <w:tcW w:w="520" w:type="dxa"/>
            <w:vAlign w:val="bottom"/>
          </w:tcPr>
          <w:p>
            <w:pPr>
              <w:spacing w:after="0"/>
              <w:rPr>
                <w:sz w:val="20"/>
                <w:szCs w:val="20"/>
                <w:color w:val="auto"/>
              </w:rPr>
            </w:pPr>
            <w:r>
              <w:rPr>
                <w:rFonts w:ascii="Arial" w:cs="Arial" w:eastAsia="Arial" w:hAnsi="Arial"/>
                <w:sz w:val="14"/>
                <w:szCs w:val="14"/>
                <w:color w:val="auto"/>
              </w:rPr>
              <w:t>5.875%</w:t>
            </w:r>
          </w:p>
        </w:tc>
        <w:tc>
          <w:tcPr>
            <w:tcW w:w="3800" w:type="dxa"/>
            <w:vAlign w:val="bottom"/>
            <w:gridSpan w:val="2"/>
          </w:tcPr>
          <w:p>
            <w:pPr>
              <w:ind w:left="20"/>
              <w:spacing w:after="0"/>
              <w:rPr>
                <w:sz w:val="20"/>
                <w:szCs w:val="20"/>
                <w:color w:val="auto"/>
              </w:rPr>
            </w:pPr>
            <w:r>
              <w:rPr>
                <w:rFonts w:ascii="Arial" w:cs="Arial" w:eastAsia="Arial" w:hAnsi="Arial"/>
                <w:sz w:val="14"/>
                <w:szCs w:val="14"/>
                <w:color w:val="auto"/>
              </w:rPr>
              <w:t>Subordinated Debentures due March 30, 2059</w:t>
            </w:r>
          </w:p>
        </w:tc>
        <w:tc>
          <w:tcPr>
            <w:tcW w:w="1920" w:type="dxa"/>
            <w:vAlign w:val="bottom"/>
            <w:gridSpan w:val="3"/>
          </w:tcPr>
          <w:p>
            <w:pPr>
              <w:ind w:left="560"/>
              <w:spacing w:after="0"/>
              <w:rPr>
                <w:sz w:val="20"/>
                <w:szCs w:val="20"/>
                <w:color w:val="auto"/>
              </w:rPr>
            </w:pPr>
            <w:r>
              <w:rPr>
                <w:rFonts w:ascii="Arial" w:cs="Arial" w:eastAsia="Arial" w:hAnsi="Arial"/>
                <w:sz w:val="14"/>
                <w:szCs w:val="14"/>
                <w:color w:val="auto"/>
              </w:rPr>
              <w:t>AFGB</w:t>
            </w:r>
          </w:p>
        </w:tc>
        <w:tc>
          <w:tcPr>
            <w:tcW w:w="3160" w:type="dxa"/>
            <w:vAlign w:val="bottom"/>
            <w:gridSpan w:val="2"/>
          </w:tcPr>
          <w:p>
            <w:pPr>
              <w:ind w:left="180"/>
              <w:spacing w:after="0"/>
              <w:rPr>
                <w:sz w:val="20"/>
                <w:szCs w:val="20"/>
                <w:color w:val="auto"/>
              </w:rPr>
            </w:pPr>
            <w:r>
              <w:rPr>
                <w:rFonts w:ascii="Arial" w:cs="Arial" w:eastAsia="Arial" w:hAnsi="Arial"/>
                <w:sz w:val="14"/>
                <w:szCs w:val="14"/>
                <w:color w:val="auto"/>
              </w:rPr>
              <w:t>New York Stock Exchange</w:t>
            </w:r>
          </w:p>
        </w:tc>
      </w:tr>
      <w:tr>
        <w:trPr>
          <w:trHeight w:val="229"/>
        </w:trPr>
        <w:tc>
          <w:tcPr>
            <w:tcW w:w="520" w:type="dxa"/>
            <w:vAlign w:val="bottom"/>
          </w:tcPr>
          <w:p>
            <w:pPr>
              <w:spacing w:after="0"/>
              <w:rPr>
                <w:sz w:val="20"/>
                <w:szCs w:val="20"/>
                <w:color w:val="auto"/>
              </w:rPr>
            </w:pPr>
            <w:r>
              <w:rPr>
                <w:rFonts w:ascii="Arial" w:cs="Arial" w:eastAsia="Arial" w:hAnsi="Arial"/>
                <w:sz w:val="14"/>
                <w:szCs w:val="14"/>
                <w:color w:val="auto"/>
              </w:rPr>
              <w:t>5.625%</w:t>
            </w:r>
          </w:p>
        </w:tc>
        <w:tc>
          <w:tcPr>
            <w:tcW w:w="3800" w:type="dxa"/>
            <w:vAlign w:val="bottom"/>
            <w:gridSpan w:val="2"/>
          </w:tcPr>
          <w:p>
            <w:pPr>
              <w:ind w:left="20"/>
              <w:spacing w:after="0"/>
              <w:rPr>
                <w:sz w:val="20"/>
                <w:szCs w:val="20"/>
                <w:color w:val="auto"/>
              </w:rPr>
            </w:pPr>
            <w:r>
              <w:rPr>
                <w:rFonts w:ascii="Arial" w:cs="Arial" w:eastAsia="Arial" w:hAnsi="Arial"/>
                <w:sz w:val="14"/>
                <w:szCs w:val="14"/>
                <w:color w:val="auto"/>
              </w:rPr>
              <w:t>Subordinated Debentures due June 1, 2060</w:t>
            </w:r>
          </w:p>
        </w:tc>
        <w:tc>
          <w:tcPr>
            <w:tcW w:w="1920" w:type="dxa"/>
            <w:vAlign w:val="bottom"/>
            <w:gridSpan w:val="3"/>
          </w:tcPr>
          <w:p>
            <w:pPr>
              <w:ind w:left="560"/>
              <w:spacing w:after="0"/>
              <w:rPr>
                <w:sz w:val="20"/>
                <w:szCs w:val="20"/>
                <w:color w:val="auto"/>
              </w:rPr>
            </w:pPr>
            <w:r>
              <w:rPr>
                <w:rFonts w:ascii="Arial" w:cs="Arial" w:eastAsia="Arial" w:hAnsi="Arial"/>
                <w:sz w:val="14"/>
                <w:szCs w:val="14"/>
                <w:color w:val="auto"/>
              </w:rPr>
              <w:t>AFGD</w:t>
            </w:r>
          </w:p>
        </w:tc>
        <w:tc>
          <w:tcPr>
            <w:tcW w:w="3160" w:type="dxa"/>
            <w:vAlign w:val="bottom"/>
            <w:gridSpan w:val="2"/>
          </w:tcPr>
          <w:p>
            <w:pPr>
              <w:ind w:left="180"/>
              <w:spacing w:after="0"/>
              <w:rPr>
                <w:sz w:val="20"/>
                <w:szCs w:val="20"/>
                <w:color w:val="auto"/>
              </w:rPr>
            </w:pPr>
            <w:r>
              <w:rPr>
                <w:rFonts w:ascii="Arial" w:cs="Arial" w:eastAsia="Arial" w:hAnsi="Arial"/>
                <w:sz w:val="14"/>
                <w:szCs w:val="14"/>
                <w:color w:val="auto"/>
              </w:rPr>
              <w:t>New York Stock Exchange</w:t>
            </w:r>
          </w:p>
        </w:tc>
      </w:tr>
      <w:tr>
        <w:trPr>
          <w:trHeight w:val="216"/>
        </w:trPr>
        <w:tc>
          <w:tcPr>
            <w:tcW w:w="520" w:type="dxa"/>
            <w:vAlign w:val="bottom"/>
          </w:tcPr>
          <w:p>
            <w:pPr>
              <w:spacing w:after="0"/>
              <w:rPr>
                <w:sz w:val="20"/>
                <w:szCs w:val="20"/>
                <w:color w:val="auto"/>
              </w:rPr>
            </w:pPr>
            <w:r>
              <w:rPr>
                <w:rFonts w:ascii="Arial" w:cs="Arial" w:eastAsia="Arial" w:hAnsi="Arial"/>
                <w:sz w:val="14"/>
                <w:szCs w:val="14"/>
                <w:color w:val="auto"/>
              </w:rPr>
              <w:t>5.125%</w:t>
            </w:r>
          </w:p>
        </w:tc>
        <w:tc>
          <w:tcPr>
            <w:tcW w:w="3800" w:type="dxa"/>
            <w:vAlign w:val="bottom"/>
            <w:gridSpan w:val="2"/>
          </w:tcPr>
          <w:p>
            <w:pPr>
              <w:ind w:left="20"/>
              <w:spacing w:after="0"/>
              <w:rPr>
                <w:sz w:val="20"/>
                <w:szCs w:val="20"/>
                <w:color w:val="auto"/>
              </w:rPr>
            </w:pPr>
            <w:r>
              <w:rPr>
                <w:rFonts w:ascii="Arial" w:cs="Arial" w:eastAsia="Arial" w:hAnsi="Arial"/>
                <w:sz w:val="14"/>
                <w:szCs w:val="14"/>
                <w:color w:val="auto"/>
              </w:rPr>
              <w:t>Subordinated Debentures due December 15, 2059</w:t>
            </w:r>
          </w:p>
        </w:tc>
        <w:tc>
          <w:tcPr>
            <w:tcW w:w="1920" w:type="dxa"/>
            <w:vAlign w:val="bottom"/>
            <w:gridSpan w:val="3"/>
          </w:tcPr>
          <w:p>
            <w:pPr>
              <w:ind w:left="560"/>
              <w:spacing w:after="0"/>
              <w:rPr>
                <w:sz w:val="20"/>
                <w:szCs w:val="20"/>
                <w:color w:val="auto"/>
              </w:rPr>
            </w:pPr>
            <w:r>
              <w:rPr>
                <w:rFonts w:ascii="Arial" w:cs="Arial" w:eastAsia="Arial" w:hAnsi="Arial"/>
                <w:sz w:val="14"/>
                <w:szCs w:val="14"/>
                <w:color w:val="auto"/>
              </w:rPr>
              <w:t>AFGC</w:t>
            </w:r>
          </w:p>
        </w:tc>
        <w:tc>
          <w:tcPr>
            <w:tcW w:w="3160" w:type="dxa"/>
            <w:vAlign w:val="bottom"/>
            <w:gridSpan w:val="2"/>
          </w:tcPr>
          <w:p>
            <w:pPr>
              <w:ind w:left="180"/>
              <w:spacing w:after="0"/>
              <w:rPr>
                <w:sz w:val="20"/>
                <w:szCs w:val="20"/>
                <w:color w:val="auto"/>
              </w:rPr>
            </w:pPr>
            <w:r>
              <w:rPr>
                <w:rFonts w:ascii="Arial" w:cs="Arial" w:eastAsia="Arial" w:hAnsi="Arial"/>
                <w:sz w:val="14"/>
                <w:szCs w:val="14"/>
                <w:color w:val="auto"/>
              </w:rPr>
              <w:t>New York Stock Exchange</w:t>
            </w:r>
          </w:p>
        </w:tc>
      </w:tr>
      <w:tr>
        <w:trPr>
          <w:trHeight w:val="216"/>
        </w:trPr>
        <w:tc>
          <w:tcPr>
            <w:tcW w:w="4320" w:type="dxa"/>
            <w:vAlign w:val="bottom"/>
            <w:gridSpan w:val="3"/>
          </w:tcPr>
          <w:p>
            <w:pPr>
              <w:spacing w:after="0"/>
              <w:rPr>
                <w:sz w:val="20"/>
                <w:szCs w:val="20"/>
                <w:color w:val="auto"/>
              </w:rPr>
            </w:pPr>
            <w:r>
              <w:rPr>
                <w:rFonts w:ascii="Arial" w:cs="Arial" w:eastAsia="Arial" w:hAnsi="Arial"/>
                <w:sz w:val="14"/>
                <w:szCs w:val="14"/>
                <w:color w:val="auto"/>
              </w:rPr>
              <w:t>4.50% Subordinated Debentures due September 15, 2060</w:t>
            </w:r>
          </w:p>
        </w:tc>
        <w:tc>
          <w:tcPr>
            <w:tcW w:w="1920" w:type="dxa"/>
            <w:vAlign w:val="bottom"/>
            <w:gridSpan w:val="3"/>
          </w:tcPr>
          <w:p>
            <w:pPr>
              <w:ind w:left="560"/>
              <w:spacing w:after="0"/>
              <w:rPr>
                <w:sz w:val="20"/>
                <w:szCs w:val="20"/>
                <w:color w:val="auto"/>
              </w:rPr>
            </w:pPr>
            <w:r>
              <w:rPr>
                <w:rFonts w:ascii="Arial" w:cs="Arial" w:eastAsia="Arial" w:hAnsi="Arial"/>
                <w:sz w:val="14"/>
                <w:szCs w:val="14"/>
                <w:color w:val="auto"/>
              </w:rPr>
              <w:t>AFGE</w:t>
            </w:r>
          </w:p>
        </w:tc>
        <w:tc>
          <w:tcPr>
            <w:tcW w:w="3160" w:type="dxa"/>
            <w:vAlign w:val="bottom"/>
            <w:gridSpan w:val="2"/>
          </w:tcPr>
          <w:p>
            <w:pPr>
              <w:ind w:left="180"/>
              <w:spacing w:after="0"/>
              <w:rPr>
                <w:sz w:val="20"/>
                <w:szCs w:val="20"/>
                <w:color w:val="auto"/>
              </w:rPr>
            </w:pPr>
            <w:r>
              <w:rPr>
                <w:rFonts w:ascii="Arial" w:cs="Arial" w:eastAsia="Arial" w:hAnsi="Arial"/>
                <w:sz w:val="14"/>
                <w:szCs w:val="14"/>
                <w:color w:val="auto"/>
              </w:rPr>
              <w:t>New York Stock Exchange</w:t>
            </w:r>
          </w:p>
        </w:tc>
      </w:tr>
    </w:tbl>
    <w:p>
      <w:pPr>
        <w:spacing w:after="0" w:line="12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Securities Registered Pursuant to Section 12(g) of the Act: </w:t>
      </w:r>
      <w:r>
        <w:rPr>
          <w:rFonts w:ascii="Arial" w:cs="Arial" w:eastAsia="Arial" w:hAnsi="Arial"/>
          <w:sz w:val="16"/>
          <w:szCs w:val="16"/>
          <w:color w:val="auto"/>
        </w:rPr>
        <w:t>None</w:t>
      </w:r>
    </w:p>
    <w:p>
      <w:pPr>
        <w:spacing w:after="0" w:line="50" w:lineRule="exact"/>
        <w:rPr>
          <w:sz w:val="24"/>
          <w:szCs w:val="24"/>
          <w:color w:val="auto"/>
        </w:rPr>
      </w:pPr>
    </w:p>
    <w:p>
      <w:pPr>
        <w:ind w:right="1780"/>
        <w:spacing w:after="0" w:line="271"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35" w:lineRule="exact"/>
        <w:rPr>
          <w:sz w:val="24"/>
          <w:szCs w:val="24"/>
          <w:color w:val="auto"/>
        </w:rPr>
      </w:pPr>
    </w:p>
    <w:p>
      <w:pPr>
        <w:ind w:right="420"/>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34" w:lineRule="exact"/>
        <w:rPr>
          <w:sz w:val="24"/>
          <w:szCs w:val="24"/>
          <w:color w:val="auto"/>
        </w:rPr>
      </w:pPr>
    </w:p>
    <w:p>
      <w:pPr>
        <w:ind w:right="400"/>
        <w:spacing w:after="0" w:line="21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34" w:lineRule="exact"/>
        <w:rPr>
          <w:sz w:val="24"/>
          <w:szCs w:val="24"/>
          <w:color w:val="auto"/>
        </w:rPr>
      </w:pPr>
    </w:p>
    <w:p>
      <w:pPr>
        <w:ind w:right="280"/>
        <w:spacing w:after="0" w:line="26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w:t>
      </w:r>
    </w:p>
    <w:tbl>
      <w:tblPr>
        <w:tblLayout w:type="fixed"/>
        <w:tblInd w:w="0" w:type="dxa"/>
        <w:tblCellMar>
          <w:top w:w="0" w:type="dxa"/>
          <w:left w:w="0" w:type="dxa"/>
          <w:bottom w:w="0" w:type="dxa"/>
          <w:right w:w="0" w:type="dxa"/>
        </w:tblCellMar>
      </w:tblPr>
      <w:tr>
        <w:trPr>
          <w:trHeight w:val="155"/>
        </w:trPr>
        <w:tc>
          <w:tcPr>
            <w:tcW w:w="4440" w:type="dxa"/>
            <w:vAlign w:val="bottom"/>
          </w:tcPr>
          <w:p>
            <w:pPr>
              <w:spacing w:after="0" w:line="155" w:lineRule="exact"/>
              <w:rPr>
                <w:sz w:val="20"/>
                <w:szCs w:val="20"/>
                <w:color w:val="auto"/>
              </w:rPr>
            </w:pPr>
            <w:r>
              <w:rPr>
                <w:rFonts w:ascii="Arial" w:cs="Arial" w:eastAsia="Arial" w:hAnsi="Arial"/>
                <w:sz w:val="16"/>
                <w:szCs w:val="16"/>
                <w:color w:val="auto"/>
              </w:rPr>
              <w:t>Rule 12b-2 of the Exchange Act.</w:t>
            </w:r>
          </w:p>
        </w:tc>
        <w:tc>
          <w:tcPr>
            <w:tcW w:w="1720" w:type="dxa"/>
            <w:vAlign w:val="bottom"/>
          </w:tcPr>
          <w:p>
            <w:pPr>
              <w:spacing w:after="0"/>
              <w:rPr>
                <w:sz w:val="13"/>
                <w:szCs w:val="13"/>
                <w:color w:val="auto"/>
              </w:rPr>
            </w:pPr>
          </w:p>
        </w:tc>
        <w:tc>
          <w:tcPr>
            <w:tcW w:w="76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2260" w:type="dxa"/>
            <w:vAlign w:val="bottom"/>
            <w:vMerge w:val="restart"/>
          </w:tcPr>
          <w:p>
            <w:pPr>
              <w:ind w:left="5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highlight w:val="black"/>
              </w:rPr>
              <w:t>☐</w:t>
            </w:r>
          </w:p>
        </w:tc>
        <w:tc>
          <w:tcPr>
            <w:tcW w:w="0" w:type="dxa"/>
            <w:vAlign w:val="bottom"/>
          </w:tcPr>
          <w:p>
            <w:pPr>
              <w:spacing w:after="0"/>
              <w:rPr>
                <w:sz w:val="1"/>
                <w:szCs w:val="1"/>
                <w:color w:val="auto"/>
              </w:rPr>
            </w:pPr>
          </w:p>
        </w:tc>
      </w:tr>
      <w:tr>
        <w:trPr>
          <w:trHeight w:val="203"/>
        </w:trPr>
        <w:tc>
          <w:tcPr>
            <w:tcW w:w="4440" w:type="dxa"/>
            <w:vAlign w:val="bottom"/>
          </w:tcPr>
          <w:p>
            <w:pPr>
              <w:ind w:left="20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highlight w:val="black"/>
              </w:rPr>
              <w:t>☑</w:t>
            </w:r>
          </w:p>
        </w:tc>
        <w:tc>
          <w:tcPr>
            <w:tcW w:w="1720" w:type="dxa"/>
            <w:vAlign w:val="bottom"/>
          </w:tcPr>
          <w:p>
            <w:pPr>
              <w:ind w:left="540"/>
              <w:spacing w:after="0"/>
              <w:rPr>
                <w:sz w:val="20"/>
                <w:szCs w:val="20"/>
                <w:color w:val="auto"/>
              </w:rPr>
            </w:pPr>
            <w:r>
              <w:rPr>
                <w:rFonts w:ascii="Arial" w:cs="Arial" w:eastAsia="Arial" w:hAnsi="Arial"/>
                <w:sz w:val="16"/>
                <w:szCs w:val="16"/>
                <w:color w:val="auto"/>
              </w:rPr>
              <w:t>Accelerated filer</w:t>
            </w:r>
          </w:p>
        </w:tc>
        <w:tc>
          <w:tcPr>
            <w:tcW w:w="760" w:type="dxa"/>
            <w:vAlign w:val="bottom"/>
            <w:vMerge w:val="continue"/>
          </w:tcPr>
          <w:p>
            <w:pPr>
              <w:spacing w:after="0"/>
              <w:rPr>
                <w:sz w:val="17"/>
                <w:szCs w:val="17"/>
                <w:color w:val="auto"/>
              </w:rPr>
            </w:pPr>
          </w:p>
        </w:tc>
        <w:tc>
          <w:tcPr>
            <w:tcW w:w="2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6160" w:type="dxa"/>
            <w:vAlign w:val="bottom"/>
            <w:gridSpan w:val="2"/>
          </w:tcPr>
          <w:p>
            <w:pPr>
              <w:ind w:left="292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highlight w:val="black"/>
              </w:rPr>
              <w:t>☐</w:t>
            </w:r>
          </w:p>
        </w:tc>
        <w:tc>
          <w:tcPr>
            <w:tcW w:w="3020" w:type="dxa"/>
            <w:vAlign w:val="bottom"/>
            <w:gridSpan w:val="2"/>
          </w:tcPr>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highlight w:val="black"/>
              </w:rPr>
              <w:t>☐</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right="10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spacing w:after="0" w:line="21"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highlight w:val="black"/>
        </w:rPr>
        <w:t>☑</w:t>
      </w:r>
    </w:p>
    <w:p>
      <w:pPr>
        <w:spacing w:after="0" w:line="34" w:lineRule="exact"/>
        <w:rPr>
          <w:sz w:val="24"/>
          <w:szCs w:val="24"/>
          <w:color w:val="auto"/>
        </w:rPr>
      </w:pPr>
    </w:p>
    <w:p>
      <w:pPr>
        <w:jc w:val="both"/>
        <w:spacing w:after="0" w:line="213"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highlight w:val="black"/>
        </w:rPr>
        <w:t>☐</w:t>
      </w:r>
    </w:p>
    <w:p>
      <w:pPr>
        <w:spacing w:after="0" w:line="34" w:lineRule="exact"/>
        <w:rPr>
          <w:sz w:val="24"/>
          <w:szCs w:val="24"/>
          <w:color w:val="auto"/>
        </w:rPr>
      </w:pPr>
    </w:p>
    <w:p>
      <w:pPr>
        <w:ind w:right="40"/>
        <w:spacing w:after="0" w:line="213"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highlight w:val="black"/>
        </w:rPr>
        <w:t>☐</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119" w:lineRule="exact"/>
        <w:rPr>
          <w:sz w:val="24"/>
          <w:szCs w:val="24"/>
          <w:color w:val="auto"/>
        </w:rPr>
      </w:pPr>
    </w:p>
    <w:p>
      <w:pPr>
        <w:jc w:val="both"/>
        <w:ind w:right="540"/>
        <w:spacing w:after="0" w:line="275" w:lineRule="auto"/>
        <w:rPr>
          <w:sz w:val="20"/>
          <w:szCs w:val="20"/>
          <w:color w:val="auto"/>
        </w:rPr>
      </w:pPr>
      <w:r>
        <w:rPr>
          <w:rFonts w:ascii="Arial" w:cs="Arial" w:eastAsia="Arial" w:hAnsi="Arial"/>
          <w:sz w:val="16"/>
          <w:szCs w:val="16"/>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$8.59 billion.</w:t>
      </w:r>
    </w:p>
    <w:p>
      <w:pPr>
        <w:spacing w:after="0" w:line="16" w:lineRule="exact"/>
        <w:rPr>
          <w:sz w:val="24"/>
          <w:szCs w:val="24"/>
          <w:color w:val="auto"/>
        </w:rPr>
      </w:pPr>
    </w:p>
    <w:p>
      <w:pPr>
        <w:ind w:right="680"/>
        <w:spacing w:after="0" w:line="259" w:lineRule="auto"/>
        <w:rPr>
          <w:sz w:val="20"/>
          <w:szCs w:val="20"/>
          <w:color w:val="auto"/>
        </w:rPr>
      </w:pPr>
      <w:r>
        <w:rPr>
          <w:rFonts w:ascii="Arial" w:cs="Arial" w:eastAsia="Arial" w:hAnsi="Arial"/>
          <w:sz w:val="16"/>
          <w:szCs w:val="16"/>
          <w:color w:val="auto"/>
        </w:rPr>
        <w:t>Indicate the number of shares outstanding of each of the registrant’s classes of common stock, as of the latest practicable date: 83,661,691 shares (excluding 14.9 million shares owned by subsidiaries) as of February 1, 2024.</w:t>
      </w:r>
    </w:p>
    <w:p>
      <w:pPr>
        <w:ind w:left="4100"/>
        <w:spacing w:after="0"/>
        <w:rPr>
          <w:sz w:val="20"/>
          <w:szCs w:val="20"/>
          <w:color w:val="auto"/>
        </w:rPr>
      </w:pPr>
      <w:r>
        <w:rPr>
          <w:rFonts w:ascii="Arial" w:cs="Arial" w:eastAsia="Arial" w:hAnsi="Arial"/>
          <w:sz w:val="5"/>
          <w:szCs w:val="5"/>
          <w:color w:val="auto"/>
        </w:rPr>
        <w:t>_____________________________________________________________________________________________________</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Documents Incorporated by Reference:</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Proxy Statement for 2024 Annual Meeting of Stockholders (portions of which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25400</wp:posOffset>
            </wp:positionV>
            <wp:extent cx="6943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ectPr>
          <w:pgSz w:w="11900" w:h="16838" w:orient="portrait"/>
          <w:cols w:equalWidth="0" w:num="1">
            <w:col w:w="11200"/>
          </w:cols>
          <w:pgMar w:left="320" w:top="944" w:right="379"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00274E"/>
        </w:rPr>
        <w:t>AMERICAN FINANCIAL GROUP, INC.</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00274E"/>
        </w:rPr>
        <w:t>INDEX TO ANNUAL REPORT ON FORM 10-K</w:t>
      </w: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4120" w:type="dxa"/>
            <w:vAlign w:val="bottom"/>
            <w:gridSpan w:val="2"/>
          </w:tcPr>
          <w:p>
            <w:pPr>
              <w:jc w:val="right"/>
              <w:spacing w:after="0"/>
              <w:rPr>
                <w:sz w:val="20"/>
                <w:szCs w:val="20"/>
                <w:color w:val="auto"/>
              </w:rPr>
            </w:pPr>
            <w:r>
              <w:rPr>
                <w:rFonts w:ascii="Arial" w:cs="Arial" w:eastAsia="Arial" w:hAnsi="Arial"/>
                <w:sz w:val="17"/>
                <w:szCs w:val="17"/>
                <w:b w:val="1"/>
                <w:bCs w:val="1"/>
                <w:color w:val="auto"/>
              </w:rPr>
              <w:t>Page</w:t>
            </w:r>
          </w:p>
        </w:tc>
      </w:tr>
      <w:tr>
        <w:trPr>
          <w:trHeight w:val="318"/>
        </w:trPr>
        <w:tc>
          <w:tcPr>
            <w:tcW w:w="7080" w:type="dxa"/>
            <w:vAlign w:val="bottom"/>
          </w:tcPr>
          <w:p>
            <w:pPr>
              <w:spacing w:after="0"/>
              <w:rPr>
                <w:sz w:val="20"/>
                <w:szCs w:val="20"/>
                <w:color w:val="auto"/>
              </w:rPr>
            </w:pPr>
            <w:r>
              <w:rPr>
                <w:rFonts w:ascii="Arial" w:cs="Arial" w:eastAsia="Arial" w:hAnsi="Arial"/>
                <w:sz w:val="20"/>
                <w:szCs w:val="20"/>
                <w:b w:val="1"/>
                <w:bCs w:val="1"/>
                <w:color w:val="00274E"/>
              </w:rPr>
              <w:t>FORWARD-LOOKING STATEMENTS</w:t>
            </w:r>
          </w:p>
        </w:tc>
        <w:tc>
          <w:tcPr>
            <w:tcW w:w="3720" w:type="dxa"/>
            <w:vAlign w:val="bottom"/>
          </w:tcPr>
          <w:p>
            <w:pPr>
              <w:spacing w:after="0"/>
              <w:rPr>
                <w:sz w:val="24"/>
                <w:szCs w:val="24"/>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0000FF"/>
              </w:rPr>
              <w:t>1</w:t>
            </w:r>
          </w:p>
        </w:tc>
      </w:tr>
    </w:tbl>
    <w:p>
      <w:pPr>
        <w:spacing w:after="0" w:line="232"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274E"/>
        </w:rPr>
        <w:t>Part I</w:t>
      </w:r>
    </w:p>
    <w:p>
      <w:pPr>
        <w:spacing w:after="0" w:line="61" w:lineRule="exact"/>
        <w:rPr>
          <w:sz w:val="20"/>
          <w:szCs w:val="20"/>
          <w:color w:val="auto"/>
        </w:rPr>
      </w:pPr>
    </w:p>
    <w:tbl>
      <w:tblPr>
        <w:tblLayout w:type="fixed"/>
        <w:tblInd w:w="140" w:type="dxa"/>
        <w:tblCellMar>
          <w:top w:w="0" w:type="dxa"/>
          <w:left w:w="0" w:type="dxa"/>
          <w:bottom w:w="0" w:type="dxa"/>
          <w:right w:w="0" w:type="dxa"/>
        </w:tblCellMar>
      </w:tblPr>
      <w:tr>
        <w:trPr>
          <w:trHeight w:val="221"/>
        </w:trPr>
        <w:tc>
          <w:tcPr>
            <w:tcW w:w="800" w:type="dxa"/>
            <w:vAlign w:val="bottom"/>
          </w:tcPr>
          <w:p>
            <w:pPr>
              <w:spacing w:after="0"/>
              <w:rPr>
                <w:sz w:val="20"/>
                <w:szCs w:val="20"/>
                <w:color w:val="auto"/>
              </w:rPr>
            </w:pPr>
            <w:r>
              <w:rPr>
                <w:rFonts w:ascii="Arial" w:cs="Arial" w:eastAsia="Arial" w:hAnsi="Arial"/>
                <w:sz w:val="17"/>
                <w:szCs w:val="17"/>
                <w:color w:val="auto"/>
              </w:rPr>
              <w:t>Item 1</w:t>
            </w:r>
          </w:p>
        </w:tc>
        <w:tc>
          <w:tcPr>
            <w:tcW w:w="6360" w:type="dxa"/>
            <w:vAlign w:val="bottom"/>
            <w:gridSpan w:val="2"/>
          </w:tcPr>
          <w:p>
            <w:pPr>
              <w:ind w:left="200"/>
              <w:spacing w:after="0"/>
              <w:rPr>
                <w:sz w:val="20"/>
                <w:szCs w:val="20"/>
                <w:color w:val="auto"/>
              </w:rPr>
            </w:pPr>
            <w:r>
              <w:rPr>
                <w:rFonts w:ascii="Arial" w:cs="Arial" w:eastAsia="Arial" w:hAnsi="Arial"/>
                <w:sz w:val="17"/>
                <w:szCs w:val="17"/>
                <w:color w:val="auto"/>
              </w:rPr>
              <w:t>— Business</w:t>
            </w:r>
          </w:p>
        </w:tc>
        <w:tc>
          <w:tcPr>
            <w:tcW w:w="3920" w:type="dxa"/>
            <w:vAlign w:val="bottom"/>
          </w:tcPr>
          <w:p>
            <w:pPr>
              <w:jc w:val="right"/>
              <w:spacing w:after="0"/>
              <w:rPr>
                <w:sz w:val="20"/>
                <w:szCs w:val="20"/>
                <w:color w:val="auto"/>
              </w:rPr>
            </w:pPr>
            <w:r>
              <w:rPr>
                <w:rFonts w:ascii="Arial" w:cs="Arial" w:eastAsia="Arial" w:hAnsi="Arial"/>
                <w:sz w:val="17"/>
                <w:szCs w:val="17"/>
                <w:color w:val="0000FF"/>
              </w:rPr>
              <w:t>2</w:t>
            </w:r>
          </w:p>
        </w:tc>
      </w:tr>
      <w:tr>
        <w:trPr>
          <w:trHeight w:val="225"/>
        </w:trPr>
        <w:tc>
          <w:tcPr>
            <w:tcW w:w="800" w:type="dxa"/>
            <w:vAlign w:val="bottom"/>
          </w:tcPr>
          <w:p>
            <w:pPr>
              <w:spacing w:after="0"/>
              <w:rPr>
                <w:sz w:val="20"/>
                <w:szCs w:val="20"/>
                <w:color w:val="auto"/>
              </w:rPr>
            </w:pPr>
            <w:r>
              <w:rPr>
                <w:rFonts w:ascii="Arial" w:cs="Arial" w:eastAsia="Arial" w:hAnsi="Arial"/>
                <w:sz w:val="17"/>
                <w:szCs w:val="17"/>
                <w:color w:val="auto"/>
              </w:rPr>
              <w:t>Item 1A</w:t>
            </w:r>
          </w:p>
        </w:tc>
        <w:tc>
          <w:tcPr>
            <w:tcW w:w="420" w:type="dxa"/>
            <w:vAlign w:val="bottom"/>
          </w:tcPr>
          <w:p>
            <w:pPr>
              <w:ind w:left="200"/>
              <w:spacing w:after="0"/>
              <w:rPr>
                <w:sz w:val="20"/>
                <w:szCs w:val="20"/>
                <w:color w:val="auto"/>
              </w:rPr>
            </w:pPr>
            <w:r>
              <w:rPr>
                <w:rFonts w:ascii="Arial" w:cs="Arial" w:eastAsia="Arial" w:hAnsi="Arial"/>
                <w:sz w:val="17"/>
                <w:szCs w:val="17"/>
                <w:color w:val="auto"/>
              </w:rPr>
              <w:t>—</w:t>
            </w:r>
          </w:p>
        </w:tc>
        <w:tc>
          <w:tcPr>
            <w:tcW w:w="5940" w:type="dxa"/>
            <w:vAlign w:val="bottom"/>
          </w:tcPr>
          <w:p>
            <w:pPr>
              <w:ind w:left="60"/>
              <w:spacing w:after="0"/>
              <w:rPr>
                <w:sz w:val="20"/>
                <w:szCs w:val="20"/>
                <w:color w:val="auto"/>
              </w:rPr>
            </w:pPr>
            <w:r>
              <w:rPr>
                <w:rFonts w:ascii="Arial" w:cs="Arial" w:eastAsia="Arial" w:hAnsi="Arial"/>
                <w:sz w:val="17"/>
                <w:szCs w:val="17"/>
                <w:color w:val="auto"/>
              </w:rPr>
              <w:t>Risk Factors</w:t>
            </w:r>
          </w:p>
        </w:tc>
        <w:tc>
          <w:tcPr>
            <w:tcW w:w="3920" w:type="dxa"/>
            <w:vAlign w:val="bottom"/>
          </w:tcPr>
          <w:p>
            <w:pPr>
              <w:jc w:val="right"/>
              <w:spacing w:after="0"/>
              <w:rPr>
                <w:sz w:val="20"/>
                <w:szCs w:val="20"/>
                <w:color w:val="auto"/>
              </w:rPr>
            </w:pPr>
            <w:r>
              <w:rPr>
                <w:rFonts w:ascii="Arial" w:cs="Arial" w:eastAsia="Arial" w:hAnsi="Arial"/>
                <w:sz w:val="17"/>
                <w:szCs w:val="17"/>
                <w:color w:val="0000FF"/>
              </w:rPr>
              <w:t>18</w:t>
            </w:r>
          </w:p>
        </w:tc>
      </w:tr>
      <w:tr>
        <w:trPr>
          <w:trHeight w:val="229"/>
        </w:trPr>
        <w:tc>
          <w:tcPr>
            <w:tcW w:w="800" w:type="dxa"/>
            <w:vAlign w:val="bottom"/>
          </w:tcPr>
          <w:p>
            <w:pPr>
              <w:spacing w:after="0"/>
              <w:rPr>
                <w:sz w:val="20"/>
                <w:szCs w:val="20"/>
                <w:color w:val="auto"/>
              </w:rPr>
            </w:pPr>
            <w:r>
              <w:rPr>
                <w:rFonts w:ascii="Arial" w:cs="Arial" w:eastAsia="Arial" w:hAnsi="Arial"/>
                <w:sz w:val="17"/>
                <w:szCs w:val="17"/>
                <w:color w:val="auto"/>
              </w:rPr>
              <w:t>Item 1B</w:t>
            </w:r>
          </w:p>
        </w:tc>
        <w:tc>
          <w:tcPr>
            <w:tcW w:w="420" w:type="dxa"/>
            <w:vAlign w:val="bottom"/>
          </w:tcPr>
          <w:p>
            <w:pPr>
              <w:ind w:left="200"/>
              <w:spacing w:after="0"/>
              <w:rPr>
                <w:sz w:val="20"/>
                <w:szCs w:val="20"/>
                <w:color w:val="auto"/>
              </w:rPr>
            </w:pPr>
            <w:r>
              <w:rPr>
                <w:rFonts w:ascii="Arial" w:cs="Arial" w:eastAsia="Arial" w:hAnsi="Arial"/>
                <w:sz w:val="17"/>
                <w:szCs w:val="17"/>
                <w:color w:val="auto"/>
              </w:rPr>
              <w:t>—</w:t>
            </w:r>
          </w:p>
        </w:tc>
        <w:tc>
          <w:tcPr>
            <w:tcW w:w="5940" w:type="dxa"/>
            <w:vAlign w:val="bottom"/>
          </w:tcPr>
          <w:p>
            <w:pPr>
              <w:ind w:left="60"/>
              <w:spacing w:after="0"/>
              <w:rPr>
                <w:sz w:val="20"/>
                <w:szCs w:val="20"/>
                <w:color w:val="auto"/>
              </w:rPr>
            </w:pPr>
            <w:r>
              <w:rPr>
                <w:rFonts w:ascii="Arial" w:cs="Arial" w:eastAsia="Arial" w:hAnsi="Arial"/>
                <w:sz w:val="17"/>
                <w:szCs w:val="17"/>
                <w:color w:val="auto"/>
              </w:rPr>
              <w:t>Unresolved Staff Comments</w:t>
            </w:r>
          </w:p>
        </w:tc>
        <w:tc>
          <w:tcPr>
            <w:tcW w:w="3920" w:type="dxa"/>
            <w:vAlign w:val="bottom"/>
          </w:tcPr>
          <w:p>
            <w:pPr>
              <w:jc w:val="right"/>
              <w:spacing w:after="0"/>
              <w:rPr>
                <w:sz w:val="20"/>
                <w:szCs w:val="20"/>
                <w:color w:val="auto"/>
              </w:rPr>
            </w:pPr>
            <w:r>
              <w:rPr>
                <w:rFonts w:ascii="Arial" w:cs="Arial" w:eastAsia="Arial" w:hAnsi="Arial"/>
                <w:sz w:val="17"/>
                <w:szCs w:val="17"/>
                <w:color w:val="0000FF"/>
              </w:rPr>
              <w:t>26</w:t>
            </w:r>
          </w:p>
        </w:tc>
      </w:tr>
      <w:tr>
        <w:trPr>
          <w:trHeight w:val="230"/>
        </w:trPr>
        <w:tc>
          <w:tcPr>
            <w:tcW w:w="800" w:type="dxa"/>
            <w:vAlign w:val="bottom"/>
          </w:tcPr>
          <w:p>
            <w:pPr>
              <w:spacing w:after="0"/>
              <w:rPr>
                <w:sz w:val="20"/>
                <w:szCs w:val="20"/>
                <w:color w:val="auto"/>
              </w:rPr>
            </w:pPr>
            <w:r>
              <w:rPr>
                <w:rFonts w:ascii="Arial" w:cs="Arial" w:eastAsia="Arial" w:hAnsi="Arial"/>
                <w:sz w:val="17"/>
                <w:szCs w:val="17"/>
                <w:color w:val="auto"/>
              </w:rPr>
              <w:t>Item 1C</w:t>
            </w:r>
          </w:p>
        </w:tc>
        <w:tc>
          <w:tcPr>
            <w:tcW w:w="420" w:type="dxa"/>
            <w:vAlign w:val="bottom"/>
          </w:tcPr>
          <w:p>
            <w:pPr>
              <w:ind w:left="200"/>
              <w:spacing w:after="0"/>
              <w:rPr>
                <w:sz w:val="20"/>
                <w:szCs w:val="20"/>
                <w:color w:val="auto"/>
              </w:rPr>
            </w:pPr>
            <w:r>
              <w:rPr>
                <w:rFonts w:ascii="Arial" w:cs="Arial" w:eastAsia="Arial" w:hAnsi="Arial"/>
                <w:sz w:val="17"/>
                <w:szCs w:val="17"/>
                <w:color w:val="auto"/>
              </w:rPr>
              <w:t>—</w:t>
            </w:r>
          </w:p>
        </w:tc>
        <w:tc>
          <w:tcPr>
            <w:tcW w:w="5940" w:type="dxa"/>
            <w:vAlign w:val="bottom"/>
          </w:tcPr>
          <w:p>
            <w:pPr>
              <w:ind w:left="60"/>
              <w:spacing w:after="0"/>
              <w:rPr>
                <w:sz w:val="20"/>
                <w:szCs w:val="20"/>
                <w:color w:val="auto"/>
              </w:rPr>
            </w:pPr>
            <w:r>
              <w:rPr>
                <w:rFonts w:ascii="Arial" w:cs="Arial" w:eastAsia="Arial" w:hAnsi="Arial"/>
                <w:sz w:val="17"/>
                <w:szCs w:val="17"/>
                <w:color w:val="auto"/>
              </w:rPr>
              <w:t>Cybersecurity</w:t>
            </w:r>
          </w:p>
        </w:tc>
        <w:tc>
          <w:tcPr>
            <w:tcW w:w="3920" w:type="dxa"/>
            <w:vAlign w:val="bottom"/>
          </w:tcPr>
          <w:p>
            <w:pPr>
              <w:jc w:val="right"/>
              <w:spacing w:after="0"/>
              <w:rPr>
                <w:sz w:val="20"/>
                <w:szCs w:val="20"/>
                <w:color w:val="auto"/>
              </w:rPr>
            </w:pPr>
            <w:r>
              <w:rPr>
                <w:rFonts w:ascii="Arial" w:cs="Arial" w:eastAsia="Arial" w:hAnsi="Arial"/>
                <w:sz w:val="17"/>
                <w:szCs w:val="17"/>
                <w:color w:val="0000FF"/>
              </w:rPr>
              <w:t>26</w:t>
            </w:r>
          </w:p>
        </w:tc>
      </w:tr>
      <w:tr>
        <w:trPr>
          <w:trHeight w:val="229"/>
        </w:trPr>
        <w:tc>
          <w:tcPr>
            <w:tcW w:w="800" w:type="dxa"/>
            <w:vAlign w:val="bottom"/>
          </w:tcPr>
          <w:p>
            <w:pPr>
              <w:spacing w:after="0"/>
              <w:rPr>
                <w:sz w:val="20"/>
                <w:szCs w:val="20"/>
                <w:color w:val="auto"/>
              </w:rPr>
            </w:pPr>
            <w:r>
              <w:rPr>
                <w:rFonts w:ascii="Arial" w:cs="Arial" w:eastAsia="Arial" w:hAnsi="Arial"/>
                <w:sz w:val="17"/>
                <w:szCs w:val="17"/>
                <w:color w:val="auto"/>
              </w:rPr>
              <w:t>Item 2</w:t>
            </w:r>
          </w:p>
        </w:tc>
        <w:tc>
          <w:tcPr>
            <w:tcW w:w="420" w:type="dxa"/>
            <w:vAlign w:val="bottom"/>
          </w:tcPr>
          <w:p>
            <w:pPr>
              <w:ind w:left="200"/>
              <w:spacing w:after="0"/>
              <w:rPr>
                <w:sz w:val="20"/>
                <w:szCs w:val="20"/>
                <w:color w:val="auto"/>
              </w:rPr>
            </w:pPr>
            <w:r>
              <w:rPr>
                <w:rFonts w:ascii="Arial" w:cs="Arial" w:eastAsia="Arial" w:hAnsi="Arial"/>
                <w:sz w:val="17"/>
                <w:szCs w:val="17"/>
                <w:color w:val="auto"/>
              </w:rPr>
              <w:t>—</w:t>
            </w:r>
          </w:p>
        </w:tc>
        <w:tc>
          <w:tcPr>
            <w:tcW w:w="5940" w:type="dxa"/>
            <w:vAlign w:val="bottom"/>
          </w:tcPr>
          <w:p>
            <w:pPr>
              <w:ind w:left="60"/>
              <w:spacing w:after="0"/>
              <w:rPr>
                <w:sz w:val="20"/>
                <w:szCs w:val="20"/>
                <w:color w:val="auto"/>
              </w:rPr>
            </w:pPr>
            <w:r>
              <w:rPr>
                <w:rFonts w:ascii="Arial" w:cs="Arial" w:eastAsia="Arial" w:hAnsi="Arial"/>
                <w:sz w:val="17"/>
                <w:szCs w:val="17"/>
                <w:color w:val="auto"/>
              </w:rPr>
              <w:t>Properties</w:t>
            </w:r>
          </w:p>
        </w:tc>
        <w:tc>
          <w:tcPr>
            <w:tcW w:w="3920" w:type="dxa"/>
            <w:vAlign w:val="bottom"/>
          </w:tcPr>
          <w:p>
            <w:pPr>
              <w:jc w:val="right"/>
              <w:spacing w:after="0"/>
              <w:rPr>
                <w:sz w:val="20"/>
                <w:szCs w:val="20"/>
                <w:color w:val="auto"/>
              </w:rPr>
            </w:pPr>
            <w:r>
              <w:rPr>
                <w:rFonts w:ascii="Arial" w:cs="Arial" w:eastAsia="Arial" w:hAnsi="Arial"/>
                <w:sz w:val="17"/>
                <w:szCs w:val="17"/>
                <w:color w:val="0000FF"/>
              </w:rPr>
              <w:t>28</w:t>
            </w:r>
          </w:p>
        </w:tc>
      </w:tr>
      <w:tr>
        <w:trPr>
          <w:trHeight w:val="230"/>
        </w:trPr>
        <w:tc>
          <w:tcPr>
            <w:tcW w:w="800" w:type="dxa"/>
            <w:vAlign w:val="bottom"/>
          </w:tcPr>
          <w:p>
            <w:pPr>
              <w:spacing w:after="0"/>
              <w:rPr>
                <w:sz w:val="20"/>
                <w:szCs w:val="20"/>
                <w:color w:val="auto"/>
              </w:rPr>
            </w:pPr>
            <w:r>
              <w:rPr>
                <w:rFonts w:ascii="Arial" w:cs="Arial" w:eastAsia="Arial" w:hAnsi="Arial"/>
                <w:sz w:val="17"/>
                <w:szCs w:val="17"/>
                <w:color w:val="auto"/>
              </w:rPr>
              <w:t>Item 3</w:t>
            </w:r>
          </w:p>
        </w:tc>
        <w:tc>
          <w:tcPr>
            <w:tcW w:w="420" w:type="dxa"/>
            <w:vAlign w:val="bottom"/>
          </w:tcPr>
          <w:p>
            <w:pPr>
              <w:ind w:left="200"/>
              <w:spacing w:after="0"/>
              <w:rPr>
                <w:sz w:val="20"/>
                <w:szCs w:val="20"/>
                <w:color w:val="auto"/>
              </w:rPr>
            </w:pPr>
            <w:r>
              <w:rPr>
                <w:rFonts w:ascii="Arial" w:cs="Arial" w:eastAsia="Arial" w:hAnsi="Arial"/>
                <w:sz w:val="17"/>
                <w:szCs w:val="17"/>
                <w:color w:val="auto"/>
              </w:rPr>
              <w:t>—</w:t>
            </w:r>
          </w:p>
        </w:tc>
        <w:tc>
          <w:tcPr>
            <w:tcW w:w="5940" w:type="dxa"/>
            <w:vAlign w:val="bottom"/>
          </w:tcPr>
          <w:p>
            <w:pPr>
              <w:ind w:left="60"/>
              <w:spacing w:after="0"/>
              <w:rPr>
                <w:sz w:val="20"/>
                <w:szCs w:val="20"/>
                <w:color w:val="auto"/>
              </w:rPr>
            </w:pPr>
            <w:r>
              <w:rPr>
                <w:rFonts w:ascii="Arial" w:cs="Arial" w:eastAsia="Arial" w:hAnsi="Arial"/>
                <w:sz w:val="17"/>
                <w:szCs w:val="17"/>
                <w:color w:val="auto"/>
              </w:rPr>
              <w:t>Legal Proceedings</w:t>
            </w:r>
          </w:p>
        </w:tc>
        <w:tc>
          <w:tcPr>
            <w:tcW w:w="3920" w:type="dxa"/>
            <w:vAlign w:val="bottom"/>
          </w:tcPr>
          <w:p>
            <w:pPr>
              <w:jc w:val="right"/>
              <w:spacing w:after="0"/>
              <w:rPr>
                <w:sz w:val="20"/>
                <w:szCs w:val="20"/>
                <w:color w:val="auto"/>
              </w:rPr>
            </w:pPr>
            <w:r>
              <w:rPr>
                <w:rFonts w:ascii="Arial" w:cs="Arial" w:eastAsia="Arial" w:hAnsi="Arial"/>
                <w:sz w:val="17"/>
                <w:szCs w:val="17"/>
                <w:color w:val="0000FF"/>
              </w:rPr>
              <w:t>28</w:t>
            </w:r>
          </w:p>
        </w:tc>
      </w:tr>
      <w:tr>
        <w:trPr>
          <w:trHeight w:val="229"/>
        </w:trPr>
        <w:tc>
          <w:tcPr>
            <w:tcW w:w="800" w:type="dxa"/>
            <w:vAlign w:val="bottom"/>
          </w:tcPr>
          <w:p>
            <w:pPr>
              <w:spacing w:after="0"/>
              <w:rPr>
                <w:sz w:val="20"/>
                <w:szCs w:val="20"/>
                <w:color w:val="auto"/>
              </w:rPr>
            </w:pPr>
            <w:r>
              <w:rPr>
                <w:rFonts w:ascii="Arial" w:cs="Arial" w:eastAsia="Arial" w:hAnsi="Arial"/>
                <w:sz w:val="17"/>
                <w:szCs w:val="17"/>
                <w:color w:val="auto"/>
              </w:rPr>
              <w:t>Item 4</w:t>
            </w:r>
          </w:p>
        </w:tc>
        <w:tc>
          <w:tcPr>
            <w:tcW w:w="420" w:type="dxa"/>
            <w:vAlign w:val="bottom"/>
          </w:tcPr>
          <w:p>
            <w:pPr>
              <w:ind w:left="200"/>
              <w:spacing w:after="0"/>
              <w:rPr>
                <w:sz w:val="20"/>
                <w:szCs w:val="20"/>
                <w:color w:val="auto"/>
              </w:rPr>
            </w:pPr>
            <w:r>
              <w:rPr>
                <w:rFonts w:ascii="Arial" w:cs="Arial" w:eastAsia="Arial" w:hAnsi="Arial"/>
                <w:sz w:val="17"/>
                <w:szCs w:val="17"/>
                <w:color w:val="auto"/>
              </w:rPr>
              <w:t>—</w:t>
            </w:r>
          </w:p>
        </w:tc>
        <w:tc>
          <w:tcPr>
            <w:tcW w:w="5940" w:type="dxa"/>
            <w:vAlign w:val="bottom"/>
          </w:tcPr>
          <w:p>
            <w:pPr>
              <w:ind w:left="60"/>
              <w:spacing w:after="0"/>
              <w:rPr>
                <w:sz w:val="20"/>
                <w:szCs w:val="20"/>
                <w:color w:val="auto"/>
              </w:rPr>
            </w:pPr>
            <w:r>
              <w:rPr>
                <w:rFonts w:ascii="Arial" w:cs="Arial" w:eastAsia="Arial" w:hAnsi="Arial"/>
                <w:sz w:val="17"/>
                <w:szCs w:val="17"/>
                <w:color w:val="auto"/>
              </w:rPr>
              <w:t>Mine Safety Disclosures</w:t>
            </w:r>
          </w:p>
        </w:tc>
        <w:tc>
          <w:tcPr>
            <w:tcW w:w="3920" w:type="dxa"/>
            <w:vAlign w:val="bottom"/>
          </w:tcPr>
          <w:p>
            <w:pPr>
              <w:jc w:val="right"/>
              <w:spacing w:after="0"/>
              <w:rPr>
                <w:sz w:val="20"/>
                <w:szCs w:val="20"/>
                <w:color w:val="auto"/>
              </w:rPr>
            </w:pPr>
            <w:r>
              <w:rPr>
                <w:rFonts w:ascii="Arial" w:cs="Arial" w:eastAsia="Arial" w:hAnsi="Arial"/>
                <w:sz w:val="17"/>
                <w:szCs w:val="17"/>
                <w:color w:val="0000FF"/>
              </w:rPr>
              <w:t>28</w:t>
            </w:r>
          </w:p>
        </w:tc>
      </w:tr>
    </w:tbl>
    <w:p>
      <w:pPr>
        <w:spacing w:after="0" w:line="232"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274E"/>
        </w:rPr>
        <w:t>Part II</w:t>
      </w:r>
    </w:p>
    <w:p>
      <w:pPr>
        <w:spacing w:after="0" w:line="28" w:lineRule="exact"/>
        <w:rPr>
          <w:sz w:val="20"/>
          <w:szCs w:val="20"/>
          <w:color w:val="auto"/>
        </w:rPr>
      </w:pPr>
    </w:p>
    <w:tbl>
      <w:tblPr>
        <w:tblLayout w:type="fixed"/>
        <w:tblInd w:w="140" w:type="dxa"/>
        <w:tblCellMar>
          <w:top w:w="0" w:type="dxa"/>
          <w:left w:w="0" w:type="dxa"/>
          <w:bottom w:w="0" w:type="dxa"/>
          <w:right w:w="0" w:type="dxa"/>
        </w:tblCellMar>
      </w:tblPr>
      <w:tr>
        <w:trPr>
          <w:trHeight w:val="195"/>
        </w:trPr>
        <w:tc>
          <w:tcPr>
            <w:tcW w:w="800" w:type="dxa"/>
            <w:vAlign w:val="bottom"/>
            <w:vMerge w:val="restart"/>
          </w:tcPr>
          <w:p>
            <w:pPr>
              <w:spacing w:after="0"/>
              <w:rPr>
                <w:sz w:val="20"/>
                <w:szCs w:val="20"/>
                <w:color w:val="auto"/>
              </w:rPr>
            </w:pPr>
            <w:r>
              <w:rPr>
                <w:rFonts w:ascii="Arial" w:cs="Arial" w:eastAsia="Arial" w:hAnsi="Arial"/>
                <w:sz w:val="17"/>
                <w:szCs w:val="17"/>
                <w:color w:val="auto"/>
              </w:rPr>
              <w:t>Item 5</w:t>
            </w:r>
          </w:p>
        </w:tc>
        <w:tc>
          <w:tcPr>
            <w:tcW w:w="420" w:type="dxa"/>
            <w:vAlign w:val="bottom"/>
            <w:vMerge w:val="restart"/>
          </w:tcPr>
          <w:p>
            <w:pPr>
              <w:ind w:left="200"/>
              <w:spacing w:after="0"/>
              <w:rPr>
                <w:sz w:val="20"/>
                <w:szCs w:val="20"/>
                <w:color w:val="auto"/>
              </w:rPr>
            </w:pPr>
            <w:r>
              <w:rPr>
                <w:rFonts w:ascii="Arial" w:cs="Arial" w:eastAsia="Arial" w:hAnsi="Arial"/>
                <w:sz w:val="17"/>
                <w:szCs w:val="17"/>
                <w:color w:val="auto"/>
              </w:rPr>
              <w:t>—</w:t>
            </w:r>
          </w:p>
        </w:tc>
        <w:tc>
          <w:tcPr>
            <w:tcW w:w="8680" w:type="dxa"/>
            <w:vAlign w:val="bottom"/>
          </w:tcPr>
          <w:p>
            <w:pPr>
              <w:ind w:left="60"/>
              <w:spacing w:after="0"/>
              <w:rPr>
                <w:sz w:val="20"/>
                <w:szCs w:val="20"/>
                <w:color w:val="auto"/>
              </w:rPr>
            </w:pPr>
            <w:r>
              <w:rPr>
                <w:rFonts w:ascii="Arial" w:cs="Arial" w:eastAsia="Arial" w:hAnsi="Arial"/>
                <w:sz w:val="17"/>
                <w:szCs w:val="17"/>
                <w:color w:val="auto"/>
              </w:rPr>
              <w:t>Market for Registrant’s Common Equity, Related Stockholder Matters and Issuer Purchases of Equity</w:t>
            </w:r>
          </w:p>
        </w:tc>
        <w:tc>
          <w:tcPr>
            <w:tcW w:w="1180" w:type="dxa"/>
            <w:vAlign w:val="bottom"/>
            <w:vMerge w:val="restart"/>
          </w:tcPr>
          <w:p>
            <w:pPr>
              <w:jc w:val="right"/>
              <w:spacing w:after="0"/>
              <w:rPr>
                <w:sz w:val="20"/>
                <w:szCs w:val="20"/>
                <w:color w:val="auto"/>
              </w:rPr>
            </w:pPr>
            <w:r>
              <w:rPr>
                <w:rFonts w:ascii="Arial" w:cs="Arial" w:eastAsia="Arial" w:hAnsi="Arial"/>
                <w:sz w:val="17"/>
                <w:szCs w:val="17"/>
                <w:color w:val="0000FF"/>
              </w:rPr>
              <w:t>29</w:t>
            </w:r>
          </w:p>
        </w:tc>
        <w:tc>
          <w:tcPr>
            <w:tcW w:w="0" w:type="dxa"/>
            <w:vAlign w:val="bottom"/>
          </w:tcPr>
          <w:p>
            <w:pPr>
              <w:spacing w:after="0"/>
              <w:rPr>
                <w:sz w:val="1"/>
                <w:szCs w:val="1"/>
                <w:color w:val="auto"/>
              </w:rPr>
            </w:pPr>
          </w:p>
        </w:tc>
      </w:tr>
      <w:tr>
        <w:trPr>
          <w:trHeight w:val="221"/>
        </w:trPr>
        <w:tc>
          <w:tcPr>
            <w:tcW w:w="80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8680" w:type="dxa"/>
            <w:vAlign w:val="bottom"/>
          </w:tcPr>
          <w:p>
            <w:pPr>
              <w:ind w:left="300"/>
              <w:spacing w:after="0"/>
              <w:rPr>
                <w:sz w:val="20"/>
                <w:szCs w:val="20"/>
                <w:color w:val="auto"/>
              </w:rPr>
            </w:pPr>
            <w:r>
              <w:rPr>
                <w:rFonts w:ascii="Arial" w:cs="Arial" w:eastAsia="Arial" w:hAnsi="Arial"/>
                <w:sz w:val="17"/>
                <w:szCs w:val="17"/>
                <w:color w:val="auto"/>
              </w:rPr>
              <w:t>Securities</w:t>
            </w: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0" w:type="dxa"/>
            <w:vAlign w:val="bottom"/>
          </w:tcPr>
          <w:p>
            <w:pPr>
              <w:spacing w:after="0"/>
              <w:rPr>
                <w:sz w:val="20"/>
                <w:szCs w:val="20"/>
                <w:color w:val="auto"/>
              </w:rPr>
            </w:pPr>
            <w:r>
              <w:rPr>
                <w:rFonts w:ascii="Arial" w:cs="Arial" w:eastAsia="Arial" w:hAnsi="Arial"/>
                <w:sz w:val="17"/>
                <w:szCs w:val="17"/>
                <w:color w:val="auto"/>
              </w:rPr>
              <w:t>Item 6</w:t>
            </w:r>
          </w:p>
        </w:tc>
        <w:tc>
          <w:tcPr>
            <w:tcW w:w="9100" w:type="dxa"/>
            <w:vAlign w:val="bottom"/>
            <w:gridSpan w:val="2"/>
          </w:tcPr>
          <w:p>
            <w:pPr>
              <w:ind w:left="200"/>
              <w:spacing w:after="0"/>
              <w:rPr>
                <w:sz w:val="20"/>
                <w:szCs w:val="20"/>
                <w:color w:val="auto"/>
              </w:rPr>
            </w:pPr>
            <w:r>
              <w:rPr>
                <w:rFonts w:ascii="Arial" w:cs="Arial" w:eastAsia="Arial" w:hAnsi="Arial"/>
                <w:sz w:val="17"/>
                <w:szCs w:val="17"/>
                <w:color w:val="auto"/>
              </w:rPr>
              <w:t>— Reserved</w:t>
            </w:r>
          </w:p>
        </w:tc>
        <w:tc>
          <w:tcPr>
            <w:tcW w:w="1180" w:type="dxa"/>
            <w:vAlign w:val="bottom"/>
          </w:tcPr>
          <w:p>
            <w:pPr>
              <w:jc w:val="right"/>
              <w:spacing w:after="0"/>
              <w:rPr>
                <w:sz w:val="20"/>
                <w:szCs w:val="20"/>
                <w:color w:val="auto"/>
              </w:rPr>
            </w:pPr>
            <w:r>
              <w:rPr>
                <w:rFonts w:ascii="Arial" w:cs="Arial" w:eastAsia="Arial" w:hAnsi="Arial"/>
                <w:sz w:val="17"/>
                <w:szCs w:val="17"/>
                <w:color w:val="0000FF"/>
              </w:rPr>
              <w:t>30</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7"/>
                <w:szCs w:val="17"/>
                <w:color w:val="auto"/>
              </w:rPr>
              <w:t>Item 7</w:t>
            </w:r>
          </w:p>
        </w:tc>
        <w:tc>
          <w:tcPr>
            <w:tcW w:w="420" w:type="dxa"/>
            <w:vAlign w:val="bottom"/>
          </w:tcPr>
          <w:p>
            <w:pPr>
              <w:ind w:left="200"/>
              <w:spacing w:after="0"/>
              <w:rPr>
                <w:sz w:val="20"/>
                <w:szCs w:val="20"/>
                <w:color w:val="auto"/>
              </w:rPr>
            </w:pPr>
            <w:r>
              <w:rPr>
                <w:rFonts w:ascii="Arial" w:cs="Arial" w:eastAsia="Arial" w:hAnsi="Arial"/>
                <w:sz w:val="17"/>
                <w:szCs w:val="17"/>
                <w:color w:val="auto"/>
              </w:rPr>
              <w:t>—</w:t>
            </w:r>
          </w:p>
        </w:tc>
        <w:tc>
          <w:tcPr>
            <w:tcW w:w="8680" w:type="dxa"/>
            <w:vAlign w:val="bottom"/>
          </w:tcPr>
          <w:p>
            <w:pPr>
              <w:ind w:left="60"/>
              <w:spacing w:after="0"/>
              <w:rPr>
                <w:sz w:val="20"/>
                <w:szCs w:val="20"/>
                <w:color w:val="auto"/>
              </w:rPr>
            </w:pPr>
            <w:r>
              <w:rPr>
                <w:rFonts w:ascii="Arial" w:cs="Arial" w:eastAsia="Arial" w:hAnsi="Arial"/>
                <w:sz w:val="17"/>
                <w:szCs w:val="17"/>
                <w:color w:val="auto"/>
              </w:rPr>
              <w:t>Management’s Discussion and Analysis of Financial Condition and Results of Operations</w:t>
            </w:r>
          </w:p>
        </w:tc>
        <w:tc>
          <w:tcPr>
            <w:tcW w:w="1180" w:type="dxa"/>
            <w:vAlign w:val="bottom"/>
          </w:tcPr>
          <w:p>
            <w:pPr>
              <w:jc w:val="right"/>
              <w:spacing w:after="0"/>
              <w:rPr>
                <w:sz w:val="20"/>
                <w:szCs w:val="20"/>
                <w:color w:val="auto"/>
              </w:rPr>
            </w:pPr>
            <w:r>
              <w:rPr>
                <w:rFonts w:ascii="Arial" w:cs="Arial" w:eastAsia="Arial" w:hAnsi="Arial"/>
                <w:sz w:val="17"/>
                <w:szCs w:val="17"/>
                <w:color w:val="0000FF"/>
              </w:rPr>
              <w:t>31</w:t>
            </w:r>
          </w:p>
        </w:tc>
        <w:tc>
          <w:tcPr>
            <w:tcW w:w="0" w:type="dxa"/>
            <w:vAlign w:val="bottom"/>
          </w:tcPr>
          <w:p>
            <w:pPr>
              <w:spacing w:after="0"/>
              <w:rPr>
                <w:sz w:val="1"/>
                <w:szCs w:val="1"/>
                <w:color w:val="auto"/>
              </w:rPr>
            </w:pPr>
          </w:p>
        </w:tc>
      </w:tr>
      <w:tr>
        <w:trPr>
          <w:trHeight w:val="229"/>
        </w:trPr>
        <w:tc>
          <w:tcPr>
            <w:tcW w:w="800" w:type="dxa"/>
            <w:vAlign w:val="bottom"/>
          </w:tcPr>
          <w:p>
            <w:pPr>
              <w:spacing w:after="0"/>
              <w:rPr>
                <w:sz w:val="20"/>
                <w:szCs w:val="20"/>
                <w:color w:val="auto"/>
              </w:rPr>
            </w:pPr>
            <w:r>
              <w:rPr>
                <w:rFonts w:ascii="Arial" w:cs="Arial" w:eastAsia="Arial" w:hAnsi="Arial"/>
                <w:sz w:val="17"/>
                <w:szCs w:val="17"/>
                <w:color w:val="auto"/>
              </w:rPr>
              <w:t>Item 7A</w:t>
            </w:r>
          </w:p>
        </w:tc>
        <w:tc>
          <w:tcPr>
            <w:tcW w:w="420" w:type="dxa"/>
            <w:vAlign w:val="bottom"/>
          </w:tcPr>
          <w:p>
            <w:pPr>
              <w:ind w:left="200"/>
              <w:spacing w:after="0"/>
              <w:rPr>
                <w:sz w:val="20"/>
                <w:szCs w:val="20"/>
                <w:color w:val="auto"/>
              </w:rPr>
            </w:pPr>
            <w:r>
              <w:rPr>
                <w:rFonts w:ascii="Arial" w:cs="Arial" w:eastAsia="Arial" w:hAnsi="Arial"/>
                <w:sz w:val="17"/>
                <w:szCs w:val="17"/>
                <w:color w:val="auto"/>
              </w:rPr>
              <w:t>—</w:t>
            </w:r>
          </w:p>
        </w:tc>
        <w:tc>
          <w:tcPr>
            <w:tcW w:w="8680" w:type="dxa"/>
            <w:vAlign w:val="bottom"/>
          </w:tcPr>
          <w:p>
            <w:pPr>
              <w:ind w:left="60"/>
              <w:spacing w:after="0"/>
              <w:rPr>
                <w:sz w:val="20"/>
                <w:szCs w:val="20"/>
                <w:color w:val="auto"/>
              </w:rPr>
            </w:pPr>
            <w:r>
              <w:rPr>
                <w:rFonts w:ascii="Arial" w:cs="Arial" w:eastAsia="Arial" w:hAnsi="Arial"/>
                <w:sz w:val="17"/>
                <w:szCs w:val="17"/>
                <w:color w:val="auto"/>
              </w:rPr>
              <w:t>Quantitative and Qualitative Disclosure About Market Risk</w:t>
            </w:r>
          </w:p>
        </w:tc>
        <w:tc>
          <w:tcPr>
            <w:tcW w:w="1180" w:type="dxa"/>
            <w:vAlign w:val="bottom"/>
          </w:tcPr>
          <w:p>
            <w:pPr>
              <w:jc w:val="right"/>
              <w:spacing w:after="0"/>
              <w:rPr>
                <w:sz w:val="20"/>
                <w:szCs w:val="20"/>
                <w:color w:val="auto"/>
              </w:rPr>
            </w:pPr>
            <w:r>
              <w:rPr>
                <w:rFonts w:ascii="Arial" w:cs="Arial" w:eastAsia="Arial" w:hAnsi="Arial"/>
                <w:sz w:val="17"/>
                <w:szCs w:val="17"/>
                <w:color w:val="0000FF"/>
              </w:rPr>
              <w:t>82</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7"/>
                <w:szCs w:val="17"/>
                <w:color w:val="auto"/>
              </w:rPr>
              <w:t>Item 8</w:t>
            </w:r>
          </w:p>
        </w:tc>
        <w:tc>
          <w:tcPr>
            <w:tcW w:w="420" w:type="dxa"/>
            <w:vAlign w:val="bottom"/>
          </w:tcPr>
          <w:p>
            <w:pPr>
              <w:ind w:left="200"/>
              <w:spacing w:after="0"/>
              <w:rPr>
                <w:sz w:val="20"/>
                <w:szCs w:val="20"/>
                <w:color w:val="auto"/>
              </w:rPr>
            </w:pPr>
            <w:r>
              <w:rPr>
                <w:rFonts w:ascii="Arial" w:cs="Arial" w:eastAsia="Arial" w:hAnsi="Arial"/>
                <w:sz w:val="17"/>
                <w:szCs w:val="17"/>
                <w:color w:val="auto"/>
              </w:rPr>
              <w:t>—</w:t>
            </w:r>
          </w:p>
        </w:tc>
        <w:tc>
          <w:tcPr>
            <w:tcW w:w="8680" w:type="dxa"/>
            <w:vAlign w:val="bottom"/>
          </w:tcPr>
          <w:p>
            <w:pPr>
              <w:ind w:left="60"/>
              <w:spacing w:after="0"/>
              <w:rPr>
                <w:sz w:val="20"/>
                <w:szCs w:val="20"/>
                <w:color w:val="auto"/>
              </w:rPr>
            </w:pPr>
            <w:r>
              <w:rPr>
                <w:rFonts w:ascii="Arial" w:cs="Arial" w:eastAsia="Arial" w:hAnsi="Arial"/>
                <w:sz w:val="17"/>
                <w:szCs w:val="17"/>
                <w:color w:val="auto"/>
              </w:rPr>
              <w:t>Financial Statements and Supplementary Data</w:t>
            </w:r>
          </w:p>
        </w:tc>
        <w:tc>
          <w:tcPr>
            <w:tcW w:w="1180" w:type="dxa"/>
            <w:vAlign w:val="bottom"/>
          </w:tcPr>
          <w:p>
            <w:pPr>
              <w:jc w:val="right"/>
              <w:spacing w:after="0"/>
              <w:rPr>
                <w:sz w:val="20"/>
                <w:szCs w:val="20"/>
                <w:color w:val="auto"/>
              </w:rPr>
            </w:pPr>
            <w:r>
              <w:rPr>
                <w:rFonts w:ascii="Arial" w:cs="Arial" w:eastAsia="Arial" w:hAnsi="Arial"/>
                <w:sz w:val="17"/>
                <w:szCs w:val="17"/>
                <w:color w:val="0000FF"/>
              </w:rPr>
              <w:t>83</w:t>
            </w:r>
          </w:p>
        </w:tc>
        <w:tc>
          <w:tcPr>
            <w:tcW w:w="0" w:type="dxa"/>
            <w:vAlign w:val="bottom"/>
          </w:tcPr>
          <w:p>
            <w:pPr>
              <w:spacing w:after="0"/>
              <w:rPr>
                <w:sz w:val="1"/>
                <w:szCs w:val="1"/>
                <w:color w:val="auto"/>
              </w:rPr>
            </w:pPr>
          </w:p>
        </w:tc>
      </w:tr>
      <w:tr>
        <w:trPr>
          <w:trHeight w:val="229"/>
        </w:trPr>
        <w:tc>
          <w:tcPr>
            <w:tcW w:w="800" w:type="dxa"/>
            <w:vAlign w:val="bottom"/>
          </w:tcPr>
          <w:p>
            <w:pPr>
              <w:spacing w:after="0"/>
              <w:rPr>
                <w:sz w:val="20"/>
                <w:szCs w:val="20"/>
                <w:color w:val="auto"/>
              </w:rPr>
            </w:pPr>
            <w:r>
              <w:rPr>
                <w:rFonts w:ascii="Arial" w:cs="Arial" w:eastAsia="Arial" w:hAnsi="Arial"/>
                <w:sz w:val="17"/>
                <w:szCs w:val="17"/>
                <w:color w:val="auto"/>
              </w:rPr>
              <w:t>Item 9</w:t>
            </w:r>
          </w:p>
        </w:tc>
        <w:tc>
          <w:tcPr>
            <w:tcW w:w="420" w:type="dxa"/>
            <w:vAlign w:val="bottom"/>
          </w:tcPr>
          <w:p>
            <w:pPr>
              <w:ind w:left="200"/>
              <w:spacing w:after="0"/>
              <w:rPr>
                <w:sz w:val="20"/>
                <w:szCs w:val="20"/>
                <w:color w:val="auto"/>
              </w:rPr>
            </w:pPr>
            <w:r>
              <w:rPr>
                <w:rFonts w:ascii="Arial" w:cs="Arial" w:eastAsia="Arial" w:hAnsi="Arial"/>
                <w:sz w:val="17"/>
                <w:szCs w:val="17"/>
                <w:color w:val="auto"/>
              </w:rPr>
              <w:t>—</w:t>
            </w:r>
          </w:p>
        </w:tc>
        <w:tc>
          <w:tcPr>
            <w:tcW w:w="8680" w:type="dxa"/>
            <w:vAlign w:val="bottom"/>
          </w:tcPr>
          <w:p>
            <w:pPr>
              <w:ind w:left="60"/>
              <w:spacing w:after="0"/>
              <w:rPr>
                <w:sz w:val="20"/>
                <w:szCs w:val="20"/>
                <w:color w:val="auto"/>
              </w:rPr>
            </w:pPr>
            <w:r>
              <w:rPr>
                <w:rFonts w:ascii="Arial" w:cs="Arial" w:eastAsia="Arial" w:hAnsi="Arial"/>
                <w:sz w:val="17"/>
                <w:szCs w:val="17"/>
                <w:color w:val="auto"/>
              </w:rPr>
              <w:t>Changes in and Disagreements With Accountants on Accounting and Financial Disclosure</w:t>
            </w:r>
          </w:p>
        </w:tc>
        <w:tc>
          <w:tcPr>
            <w:tcW w:w="1180" w:type="dxa"/>
            <w:vAlign w:val="bottom"/>
          </w:tcPr>
          <w:p>
            <w:pPr>
              <w:jc w:val="right"/>
              <w:spacing w:after="0"/>
              <w:rPr>
                <w:sz w:val="20"/>
                <w:szCs w:val="20"/>
                <w:color w:val="auto"/>
              </w:rPr>
            </w:pPr>
            <w:r>
              <w:rPr>
                <w:rFonts w:ascii="Arial" w:cs="Arial" w:eastAsia="Arial" w:hAnsi="Arial"/>
                <w:sz w:val="17"/>
                <w:szCs w:val="17"/>
                <w:color w:val="0000FF"/>
              </w:rPr>
              <w:t>83</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7"/>
                <w:szCs w:val="17"/>
                <w:color w:val="auto"/>
              </w:rPr>
              <w:t>Item 9A</w:t>
            </w:r>
          </w:p>
        </w:tc>
        <w:tc>
          <w:tcPr>
            <w:tcW w:w="420" w:type="dxa"/>
            <w:vAlign w:val="bottom"/>
          </w:tcPr>
          <w:p>
            <w:pPr>
              <w:ind w:left="200"/>
              <w:spacing w:after="0"/>
              <w:rPr>
                <w:sz w:val="20"/>
                <w:szCs w:val="20"/>
                <w:color w:val="auto"/>
              </w:rPr>
            </w:pPr>
            <w:r>
              <w:rPr>
                <w:rFonts w:ascii="Arial" w:cs="Arial" w:eastAsia="Arial" w:hAnsi="Arial"/>
                <w:sz w:val="17"/>
                <w:szCs w:val="17"/>
                <w:color w:val="auto"/>
              </w:rPr>
              <w:t>—</w:t>
            </w:r>
          </w:p>
        </w:tc>
        <w:tc>
          <w:tcPr>
            <w:tcW w:w="8680" w:type="dxa"/>
            <w:vAlign w:val="bottom"/>
          </w:tcPr>
          <w:p>
            <w:pPr>
              <w:ind w:left="60"/>
              <w:spacing w:after="0"/>
              <w:rPr>
                <w:sz w:val="20"/>
                <w:szCs w:val="20"/>
                <w:color w:val="auto"/>
              </w:rPr>
            </w:pPr>
            <w:r>
              <w:rPr>
                <w:rFonts w:ascii="Arial" w:cs="Arial" w:eastAsia="Arial" w:hAnsi="Arial"/>
                <w:sz w:val="17"/>
                <w:szCs w:val="17"/>
                <w:color w:val="auto"/>
              </w:rPr>
              <w:t>Controls and Procedures</w:t>
            </w:r>
          </w:p>
        </w:tc>
        <w:tc>
          <w:tcPr>
            <w:tcW w:w="1180" w:type="dxa"/>
            <w:vAlign w:val="bottom"/>
          </w:tcPr>
          <w:p>
            <w:pPr>
              <w:jc w:val="right"/>
              <w:spacing w:after="0"/>
              <w:rPr>
                <w:sz w:val="20"/>
                <w:szCs w:val="20"/>
                <w:color w:val="auto"/>
              </w:rPr>
            </w:pPr>
            <w:r>
              <w:rPr>
                <w:rFonts w:ascii="Arial" w:cs="Arial" w:eastAsia="Arial" w:hAnsi="Arial"/>
                <w:sz w:val="17"/>
                <w:szCs w:val="17"/>
                <w:color w:val="0000FF"/>
              </w:rPr>
              <w:t>83</w:t>
            </w:r>
          </w:p>
        </w:tc>
        <w:tc>
          <w:tcPr>
            <w:tcW w:w="0" w:type="dxa"/>
            <w:vAlign w:val="bottom"/>
          </w:tcPr>
          <w:p>
            <w:pPr>
              <w:spacing w:after="0"/>
              <w:rPr>
                <w:sz w:val="1"/>
                <w:szCs w:val="1"/>
                <w:color w:val="auto"/>
              </w:rPr>
            </w:pPr>
          </w:p>
        </w:tc>
      </w:tr>
      <w:tr>
        <w:trPr>
          <w:trHeight w:val="229"/>
        </w:trPr>
        <w:tc>
          <w:tcPr>
            <w:tcW w:w="800" w:type="dxa"/>
            <w:vAlign w:val="bottom"/>
          </w:tcPr>
          <w:p>
            <w:pPr>
              <w:spacing w:after="0"/>
              <w:rPr>
                <w:sz w:val="20"/>
                <w:szCs w:val="20"/>
                <w:color w:val="auto"/>
              </w:rPr>
            </w:pPr>
            <w:r>
              <w:rPr>
                <w:rFonts w:ascii="Arial" w:cs="Arial" w:eastAsia="Arial" w:hAnsi="Arial"/>
                <w:sz w:val="17"/>
                <w:szCs w:val="17"/>
                <w:color w:val="auto"/>
              </w:rPr>
              <w:t>Item 9B</w:t>
            </w:r>
          </w:p>
        </w:tc>
        <w:tc>
          <w:tcPr>
            <w:tcW w:w="420" w:type="dxa"/>
            <w:vAlign w:val="bottom"/>
          </w:tcPr>
          <w:p>
            <w:pPr>
              <w:ind w:left="200"/>
              <w:spacing w:after="0"/>
              <w:rPr>
                <w:sz w:val="20"/>
                <w:szCs w:val="20"/>
                <w:color w:val="auto"/>
              </w:rPr>
            </w:pPr>
            <w:r>
              <w:rPr>
                <w:rFonts w:ascii="Arial" w:cs="Arial" w:eastAsia="Arial" w:hAnsi="Arial"/>
                <w:sz w:val="17"/>
                <w:szCs w:val="17"/>
                <w:color w:val="auto"/>
              </w:rPr>
              <w:t>—</w:t>
            </w:r>
          </w:p>
        </w:tc>
        <w:tc>
          <w:tcPr>
            <w:tcW w:w="8680" w:type="dxa"/>
            <w:vAlign w:val="bottom"/>
          </w:tcPr>
          <w:p>
            <w:pPr>
              <w:ind w:left="60"/>
              <w:spacing w:after="0"/>
              <w:rPr>
                <w:sz w:val="20"/>
                <w:szCs w:val="20"/>
                <w:color w:val="auto"/>
              </w:rPr>
            </w:pPr>
            <w:r>
              <w:rPr>
                <w:rFonts w:ascii="Arial" w:cs="Arial" w:eastAsia="Arial" w:hAnsi="Arial"/>
                <w:sz w:val="17"/>
                <w:szCs w:val="17"/>
                <w:color w:val="auto"/>
              </w:rPr>
              <w:t>Other Information</w:t>
            </w:r>
          </w:p>
        </w:tc>
        <w:tc>
          <w:tcPr>
            <w:tcW w:w="1180" w:type="dxa"/>
            <w:vAlign w:val="bottom"/>
          </w:tcPr>
          <w:p>
            <w:pPr>
              <w:jc w:val="right"/>
              <w:spacing w:after="0"/>
              <w:rPr>
                <w:sz w:val="20"/>
                <w:szCs w:val="20"/>
                <w:color w:val="auto"/>
              </w:rPr>
            </w:pPr>
            <w:r>
              <w:rPr>
                <w:rFonts w:ascii="Arial" w:cs="Arial" w:eastAsia="Arial" w:hAnsi="Arial"/>
                <w:sz w:val="17"/>
                <w:szCs w:val="17"/>
                <w:color w:val="0000FF"/>
              </w:rPr>
              <w:t>83</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7"/>
                <w:szCs w:val="17"/>
                <w:color w:val="auto"/>
              </w:rPr>
              <w:t>Item 9C</w:t>
            </w:r>
          </w:p>
        </w:tc>
        <w:tc>
          <w:tcPr>
            <w:tcW w:w="420" w:type="dxa"/>
            <w:vAlign w:val="bottom"/>
          </w:tcPr>
          <w:p>
            <w:pPr>
              <w:ind w:left="200"/>
              <w:spacing w:after="0"/>
              <w:rPr>
                <w:sz w:val="20"/>
                <w:szCs w:val="20"/>
                <w:color w:val="auto"/>
              </w:rPr>
            </w:pPr>
            <w:r>
              <w:rPr>
                <w:rFonts w:ascii="Arial" w:cs="Arial" w:eastAsia="Arial" w:hAnsi="Arial"/>
                <w:sz w:val="17"/>
                <w:szCs w:val="17"/>
                <w:color w:val="auto"/>
              </w:rPr>
              <w:t>—</w:t>
            </w:r>
          </w:p>
        </w:tc>
        <w:tc>
          <w:tcPr>
            <w:tcW w:w="8680" w:type="dxa"/>
            <w:vAlign w:val="bottom"/>
          </w:tcPr>
          <w:p>
            <w:pPr>
              <w:ind w:left="60"/>
              <w:spacing w:after="0"/>
              <w:rPr>
                <w:sz w:val="20"/>
                <w:szCs w:val="20"/>
                <w:color w:val="auto"/>
              </w:rPr>
            </w:pPr>
            <w:r>
              <w:rPr>
                <w:rFonts w:ascii="Arial" w:cs="Arial" w:eastAsia="Arial" w:hAnsi="Arial"/>
                <w:sz w:val="17"/>
                <w:szCs w:val="17"/>
                <w:color w:val="auto"/>
              </w:rPr>
              <w:t>Disclosure Regarding Foreign Jurisdictions that Prevent Inspections</w:t>
            </w:r>
          </w:p>
        </w:tc>
        <w:tc>
          <w:tcPr>
            <w:tcW w:w="1180" w:type="dxa"/>
            <w:vAlign w:val="bottom"/>
          </w:tcPr>
          <w:p>
            <w:pPr>
              <w:jc w:val="right"/>
              <w:spacing w:after="0"/>
              <w:rPr>
                <w:sz w:val="20"/>
                <w:szCs w:val="20"/>
                <w:color w:val="auto"/>
              </w:rPr>
            </w:pPr>
            <w:r>
              <w:rPr>
                <w:rFonts w:ascii="Arial" w:cs="Arial" w:eastAsia="Arial" w:hAnsi="Arial"/>
                <w:sz w:val="17"/>
                <w:szCs w:val="17"/>
                <w:color w:val="0000FF"/>
              </w:rPr>
              <w:t>83</w:t>
            </w: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274E"/>
        </w:rPr>
        <w:t>Part III</w:t>
      </w:r>
    </w:p>
    <w:p>
      <w:pPr>
        <w:spacing w:after="0" w:line="61" w:lineRule="exact"/>
        <w:rPr>
          <w:sz w:val="20"/>
          <w:szCs w:val="20"/>
          <w:color w:val="auto"/>
        </w:rPr>
      </w:pPr>
    </w:p>
    <w:tbl>
      <w:tblPr>
        <w:tblLayout w:type="fixed"/>
        <w:tblInd w:w="140" w:type="dxa"/>
        <w:tblCellMar>
          <w:top w:w="0" w:type="dxa"/>
          <w:left w:w="0" w:type="dxa"/>
          <w:bottom w:w="0" w:type="dxa"/>
          <w:right w:w="0" w:type="dxa"/>
        </w:tblCellMar>
      </w:tblPr>
      <w:tr>
        <w:trPr>
          <w:trHeight w:val="221"/>
        </w:trPr>
        <w:tc>
          <w:tcPr>
            <w:tcW w:w="800" w:type="dxa"/>
            <w:vAlign w:val="bottom"/>
          </w:tcPr>
          <w:p>
            <w:pPr>
              <w:spacing w:after="0"/>
              <w:rPr>
                <w:sz w:val="20"/>
                <w:szCs w:val="20"/>
                <w:color w:val="auto"/>
              </w:rPr>
            </w:pPr>
            <w:r>
              <w:rPr>
                <w:rFonts w:ascii="Arial" w:cs="Arial" w:eastAsia="Arial" w:hAnsi="Arial"/>
                <w:sz w:val="17"/>
                <w:szCs w:val="17"/>
                <w:color w:val="auto"/>
              </w:rPr>
              <w:t>Item 10</w:t>
            </w:r>
          </w:p>
        </w:tc>
        <w:tc>
          <w:tcPr>
            <w:tcW w:w="420" w:type="dxa"/>
            <w:vAlign w:val="bottom"/>
          </w:tcPr>
          <w:p>
            <w:pPr>
              <w:ind w:left="200"/>
              <w:spacing w:after="0"/>
              <w:rPr>
                <w:sz w:val="20"/>
                <w:szCs w:val="20"/>
                <w:color w:val="auto"/>
              </w:rPr>
            </w:pPr>
            <w:r>
              <w:rPr>
                <w:rFonts w:ascii="Arial" w:cs="Arial" w:eastAsia="Arial" w:hAnsi="Arial"/>
                <w:sz w:val="17"/>
                <w:szCs w:val="17"/>
                <w:color w:val="auto"/>
              </w:rPr>
              <w:t>—</w:t>
            </w:r>
          </w:p>
        </w:tc>
        <w:tc>
          <w:tcPr>
            <w:tcW w:w="8620" w:type="dxa"/>
            <w:vAlign w:val="bottom"/>
          </w:tcPr>
          <w:p>
            <w:pPr>
              <w:ind w:left="60"/>
              <w:spacing w:after="0"/>
              <w:rPr>
                <w:sz w:val="20"/>
                <w:szCs w:val="20"/>
                <w:color w:val="auto"/>
              </w:rPr>
            </w:pPr>
            <w:r>
              <w:rPr>
                <w:rFonts w:ascii="Arial" w:cs="Arial" w:eastAsia="Arial" w:hAnsi="Arial"/>
                <w:sz w:val="17"/>
                <w:szCs w:val="17"/>
                <w:color w:val="auto"/>
              </w:rPr>
              <w:t>Directors, Executive Officers and Corporate Governance</w:t>
            </w:r>
          </w:p>
        </w:tc>
        <w:tc>
          <w:tcPr>
            <w:tcW w:w="1240" w:type="dxa"/>
            <w:vAlign w:val="bottom"/>
          </w:tcPr>
          <w:p>
            <w:pPr>
              <w:ind w:left="980"/>
              <w:spacing w:after="0"/>
              <w:rPr>
                <w:sz w:val="20"/>
                <w:szCs w:val="20"/>
                <w:color w:val="auto"/>
              </w:rPr>
            </w:pPr>
            <w:r>
              <w:rPr>
                <w:rFonts w:ascii="Arial" w:cs="Arial" w:eastAsia="Arial" w:hAnsi="Arial"/>
                <w:sz w:val="17"/>
                <w:szCs w:val="17"/>
                <w:color w:val="0000FF"/>
                <w:w w:val="90"/>
              </w:rPr>
              <w:t>S-1</w:t>
            </w:r>
          </w:p>
        </w:tc>
      </w:tr>
      <w:tr>
        <w:trPr>
          <w:trHeight w:val="225"/>
        </w:trPr>
        <w:tc>
          <w:tcPr>
            <w:tcW w:w="800" w:type="dxa"/>
            <w:vAlign w:val="bottom"/>
          </w:tcPr>
          <w:p>
            <w:pPr>
              <w:spacing w:after="0"/>
              <w:rPr>
                <w:sz w:val="20"/>
                <w:szCs w:val="20"/>
                <w:color w:val="auto"/>
              </w:rPr>
            </w:pPr>
            <w:r>
              <w:rPr>
                <w:rFonts w:ascii="Arial" w:cs="Arial" w:eastAsia="Arial" w:hAnsi="Arial"/>
                <w:sz w:val="17"/>
                <w:szCs w:val="17"/>
                <w:color w:val="auto"/>
              </w:rPr>
              <w:t>Item 11</w:t>
            </w:r>
          </w:p>
        </w:tc>
        <w:tc>
          <w:tcPr>
            <w:tcW w:w="420" w:type="dxa"/>
            <w:vAlign w:val="bottom"/>
          </w:tcPr>
          <w:p>
            <w:pPr>
              <w:ind w:left="200"/>
              <w:spacing w:after="0"/>
              <w:rPr>
                <w:sz w:val="20"/>
                <w:szCs w:val="20"/>
                <w:color w:val="auto"/>
              </w:rPr>
            </w:pPr>
            <w:r>
              <w:rPr>
                <w:rFonts w:ascii="Arial" w:cs="Arial" w:eastAsia="Arial" w:hAnsi="Arial"/>
                <w:sz w:val="17"/>
                <w:szCs w:val="17"/>
                <w:color w:val="auto"/>
              </w:rPr>
              <w:t>—</w:t>
            </w:r>
          </w:p>
        </w:tc>
        <w:tc>
          <w:tcPr>
            <w:tcW w:w="8620" w:type="dxa"/>
            <w:vAlign w:val="bottom"/>
          </w:tcPr>
          <w:p>
            <w:pPr>
              <w:ind w:left="60"/>
              <w:spacing w:after="0"/>
              <w:rPr>
                <w:sz w:val="20"/>
                <w:szCs w:val="20"/>
                <w:color w:val="auto"/>
              </w:rPr>
            </w:pPr>
            <w:r>
              <w:rPr>
                <w:rFonts w:ascii="Arial" w:cs="Arial" w:eastAsia="Arial" w:hAnsi="Arial"/>
                <w:sz w:val="17"/>
                <w:szCs w:val="17"/>
                <w:color w:val="auto"/>
              </w:rPr>
              <w:t>Executive Compensation</w:t>
            </w:r>
          </w:p>
        </w:tc>
        <w:tc>
          <w:tcPr>
            <w:tcW w:w="1240" w:type="dxa"/>
            <w:vAlign w:val="bottom"/>
          </w:tcPr>
          <w:p>
            <w:pPr>
              <w:ind w:left="980"/>
              <w:spacing w:after="0"/>
              <w:rPr>
                <w:sz w:val="20"/>
                <w:szCs w:val="20"/>
                <w:color w:val="auto"/>
              </w:rPr>
            </w:pPr>
            <w:r>
              <w:rPr>
                <w:rFonts w:ascii="Arial" w:cs="Arial" w:eastAsia="Arial" w:hAnsi="Arial"/>
                <w:sz w:val="17"/>
                <w:szCs w:val="17"/>
                <w:color w:val="0000FF"/>
                <w:w w:val="90"/>
              </w:rPr>
              <w:t>S-1</w:t>
            </w:r>
          </w:p>
        </w:tc>
      </w:tr>
      <w:tr>
        <w:trPr>
          <w:trHeight w:val="230"/>
        </w:trPr>
        <w:tc>
          <w:tcPr>
            <w:tcW w:w="800" w:type="dxa"/>
            <w:vAlign w:val="bottom"/>
          </w:tcPr>
          <w:p>
            <w:pPr>
              <w:spacing w:after="0"/>
              <w:rPr>
                <w:sz w:val="20"/>
                <w:szCs w:val="20"/>
                <w:color w:val="auto"/>
              </w:rPr>
            </w:pPr>
            <w:r>
              <w:rPr>
                <w:rFonts w:ascii="Arial" w:cs="Arial" w:eastAsia="Arial" w:hAnsi="Arial"/>
                <w:sz w:val="17"/>
                <w:szCs w:val="17"/>
                <w:color w:val="auto"/>
              </w:rPr>
              <w:t>Item 12</w:t>
            </w:r>
          </w:p>
        </w:tc>
        <w:tc>
          <w:tcPr>
            <w:tcW w:w="420" w:type="dxa"/>
            <w:vAlign w:val="bottom"/>
          </w:tcPr>
          <w:p>
            <w:pPr>
              <w:ind w:left="200"/>
              <w:spacing w:after="0"/>
              <w:rPr>
                <w:sz w:val="20"/>
                <w:szCs w:val="20"/>
                <w:color w:val="auto"/>
              </w:rPr>
            </w:pPr>
            <w:r>
              <w:rPr>
                <w:rFonts w:ascii="Arial" w:cs="Arial" w:eastAsia="Arial" w:hAnsi="Arial"/>
                <w:sz w:val="17"/>
                <w:szCs w:val="17"/>
                <w:color w:val="auto"/>
              </w:rPr>
              <w:t>—</w:t>
            </w:r>
          </w:p>
        </w:tc>
        <w:tc>
          <w:tcPr>
            <w:tcW w:w="8620" w:type="dxa"/>
            <w:vAlign w:val="bottom"/>
          </w:tcPr>
          <w:p>
            <w:pPr>
              <w:ind w:left="60"/>
              <w:spacing w:after="0"/>
              <w:rPr>
                <w:sz w:val="20"/>
                <w:szCs w:val="20"/>
                <w:color w:val="auto"/>
              </w:rPr>
            </w:pPr>
            <w:r>
              <w:rPr>
                <w:rFonts w:ascii="Arial" w:cs="Arial" w:eastAsia="Arial" w:hAnsi="Arial"/>
                <w:sz w:val="17"/>
                <w:szCs w:val="17"/>
                <w:color w:val="auto"/>
              </w:rPr>
              <w:t>Security Ownership of Certain Beneficial Owners and Management and Related Stockholder Matters</w:t>
            </w:r>
          </w:p>
        </w:tc>
        <w:tc>
          <w:tcPr>
            <w:tcW w:w="1240" w:type="dxa"/>
            <w:vAlign w:val="bottom"/>
          </w:tcPr>
          <w:p>
            <w:pPr>
              <w:ind w:left="980"/>
              <w:spacing w:after="0"/>
              <w:rPr>
                <w:sz w:val="20"/>
                <w:szCs w:val="20"/>
                <w:color w:val="auto"/>
              </w:rPr>
            </w:pPr>
            <w:r>
              <w:rPr>
                <w:rFonts w:ascii="Arial" w:cs="Arial" w:eastAsia="Arial" w:hAnsi="Arial"/>
                <w:sz w:val="17"/>
                <w:szCs w:val="17"/>
                <w:color w:val="0000FF"/>
                <w:w w:val="90"/>
              </w:rPr>
              <w:t>S-1</w:t>
            </w:r>
          </w:p>
        </w:tc>
      </w:tr>
      <w:tr>
        <w:trPr>
          <w:trHeight w:val="230"/>
        </w:trPr>
        <w:tc>
          <w:tcPr>
            <w:tcW w:w="800" w:type="dxa"/>
            <w:vAlign w:val="bottom"/>
          </w:tcPr>
          <w:p>
            <w:pPr>
              <w:spacing w:after="0"/>
              <w:rPr>
                <w:sz w:val="20"/>
                <w:szCs w:val="20"/>
                <w:color w:val="auto"/>
              </w:rPr>
            </w:pPr>
            <w:r>
              <w:rPr>
                <w:rFonts w:ascii="Arial" w:cs="Arial" w:eastAsia="Arial" w:hAnsi="Arial"/>
                <w:sz w:val="17"/>
                <w:szCs w:val="17"/>
                <w:color w:val="auto"/>
              </w:rPr>
              <w:t>Item 13</w:t>
            </w:r>
          </w:p>
        </w:tc>
        <w:tc>
          <w:tcPr>
            <w:tcW w:w="420" w:type="dxa"/>
            <w:vAlign w:val="bottom"/>
          </w:tcPr>
          <w:p>
            <w:pPr>
              <w:ind w:left="200"/>
              <w:spacing w:after="0"/>
              <w:rPr>
                <w:sz w:val="20"/>
                <w:szCs w:val="20"/>
                <w:color w:val="auto"/>
              </w:rPr>
            </w:pPr>
            <w:r>
              <w:rPr>
                <w:rFonts w:ascii="Arial" w:cs="Arial" w:eastAsia="Arial" w:hAnsi="Arial"/>
                <w:sz w:val="17"/>
                <w:szCs w:val="17"/>
                <w:color w:val="auto"/>
              </w:rPr>
              <w:t>—</w:t>
            </w:r>
          </w:p>
        </w:tc>
        <w:tc>
          <w:tcPr>
            <w:tcW w:w="8620" w:type="dxa"/>
            <w:vAlign w:val="bottom"/>
          </w:tcPr>
          <w:p>
            <w:pPr>
              <w:ind w:left="60"/>
              <w:spacing w:after="0"/>
              <w:rPr>
                <w:sz w:val="20"/>
                <w:szCs w:val="20"/>
                <w:color w:val="auto"/>
              </w:rPr>
            </w:pPr>
            <w:r>
              <w:rPr>
                <w:rFonts w:ascii="Arial" w:cs="Arial" w:eastAsia="Arial" w:hAnsi="Arial"/>
                <w:sz w:val="17"/>
                <w:szCs w:val="17"/>
                <w:color w:val="auto"/>
              </w:rPr>
              <w:t>Certain Relationships and Related Transactions, and Director Independence</w:t>
            </w:r>
          </w:p>
        </w:tc>
        <w:tc>
          <w:tcPr>
            <w:tcW w:w="1240" w:type="dxa"/>
            <w:vAlign w:val="bottom"/>
          </w:tcPr>
          <w:p>
            <w:pPr>
              <w:ind w:left="980"/>
              <w:spacing w:after="0"/>
              <w:rPr>
                <w:sz w:val="20"/>
                <w:szCs w:val="20"/>
                <w:color w:val="auto"/>
              </w:rPr>
            </w:pPr>
            <w:r>
              <w:rPr>
                <w:rFonts w:ascii="Arial" w:cs="Arial" w:eastAsia="Arial" w:hAnsi="Arial"/>
                <w:sz w:val="17"/>
                <w:szCs w:val="17"/>
                <w:color w:val="0000FF"/>
                <w:w w:val="90"/>
              </w:rPr>
              <w:t>S-1</w:t>
            </w:r>
          </w:p>
        </w:tc>
      </w:tr>
      <w:tr>
        <w:trPr>
          <w:trHeight w:val="230"/>
        </w:trPr>
        <w:tc>
          <w:tcPr>
            <w:tcW w:w="800" w:type="dxa"/>
            <w:vAlign w:val="bottom"/>
          </w:tcPr>
          <w:p>
            <w:pPr>
              <w:spacing w:after="0"/>
              <w:rPr>
                <w:sz w:val="20"/>
                <w:szCs w:val="20"/>
                <w:color w:val="auto"/>
              </w:rPr>
            </w:pPr>
            <w:r>
              <w:rPr>
                <w:rFonts w:ascii="Arial" w:cs="Arial" w:eastAsia="Arial" w:hAnsi="Arial"/>
                <w:sz w:val="17"/>
                <w:szCs w:val="17"/>
                <w:color w:val="auto"/>
              </w:rPr>
              <w:t>Item 14</w:t>
            </w:r>
          </w:p>
        </w:tc>
        <w:tc>
          <w:tcPr>
            <w:tcW w:w="420" w:type="dxa"/>
            <w:vAlign w:val="bottom"/>
          </w:tcPr>
          <w:p>
            <w:pPr>
              <w:ind w:left="200"/>
              <w:spacing w:after="0"/>
              <w:rPr>
                <w:sz w:val="20"/>
                <w:szCs w:val="20"/>
                <w:color w:val="auto"/>
              </w:rPr>
            </w:pPr>
            <w:r>
              <w:rPr>
                <w:rFonts w:ascii="Arial" w:cs="Arial" w:eastAsia="Arial" w:hAnsi="Arial"/>
                <w:sz w:val="17"/>
                <w:szCs w:val="17"/>
                <w:color w:val="auto"/>
              </w:rPr>
              <w:t>—</w:t>
            </w:r>
          </w:p>
        </w:tc>
        <w:tc>
          <w:tcPr>
            <w:tcW w:w="8620" w:type="dxa"/>
            <w:vAlign w:val="bottom"/>
          </w:tcPr>
          <w:p>
            <w:pPr>
              <w:ind w:left="60"/>
              <w:spacing w:after="0"/>
              <w:rPr>
                <w:sz w:val="20"/>
                <w:szCs w:val="20"/>
                <w:color w:val="auto"/>
              </w:rPr>
            </w:pPr>
            <w:r>
              <w:rPr>
                <w:rFonts w:ascii="Arial" w:cs="Arial" w:eastAsia="Arial" w:hAnsi="Arial"/>
                <w:sz w:val="17"/>
                <w:szCs w:val="17"/>
                <w:color w:val="auto"/>
              </w:rPr>
              <w:t>Principal Accounting Fees and Services</w:t>
            </w:r>
          </w:p>
        </w:tc>
        <w:tc>
          <w:tcPr>
            <w:tcW w:w="1240" w:type="dxa"/>
            <w:vAlign w:val="bottom"/>
          </w:tcPr>
          <w:p>
            <w:pPr>
              <w:ind w:left="980"/>
              <w:spacing w:after="0"/>
              <w:rPr>
                <w:sz w:val="20"/>
                <w:szCs w:val="20"/>
                <w:color w:val="auto"/>
              </w:rPr>
            </w:pPr>
            <w:r>
              <w:rPr>
                <w:rFonts w:ascii="Arial" w:cs="Arial" w:eastAsia="Arial" w:hAnsi="Arial"/>
                <w:sz w:val="17"/>
                <w:szCs w:val="17"/>
                <w:color w:val="0000FF"/>
                <w:w w:val="90"/>
              </w:rPr>
              <w:t>S-1</w:t>
            </w:r>
          </w:p>
        </w:tc>
      </w:tr>
    </w:tbl>
    <w:p>
      <w:pPr>
        <w:spacing w:after="0" w:line="246"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274E"/>
        </w:rPr>
        <w:t>Part IV</w:t>
      </w:r>
    </w:p>
    <w:p>
      <w:pPr>
        <w:spacing w:after="0" w:line="61" w:lineRule="exact"/>
        <w:rPr>
          <w:sz w:val="20"/>
          <w:szCs w:val="20"/>
          <w:color w:val="auto"/>
        </w:rPr>
      </w:pPr>
    </w:p>
    <w:p>
      <w:pPr>
        <w:ind w:left="140"/>
        <w:spacing w:after="0"/>
        <w:tabs>
          <w:tab w:leader="none" w:pos="1120" w:val="left"/>
          <w:tab w:leader="none" w:pos="10940" w:val="left"/>
        </w:tabs>
        <w:rPr>
          <w:sz w:val="20"/>
          <w:szCs w:val="20"/>
          <w:color w:val="auto"/>
        </w:rPr>
      </w:pPr>
      <w:r>
        <w:rPr>
          <w:rFonts w:ascii="Arial" w:cs="Arial" w:eastAsia="Arial" w:hAnsi="Arial"/>
          <w:sz w:val="17"/>
          <w:szCs w:val="17"/>
          <w:color w:val="auto"/>
        </w:rPr>
        <w:t>Item 15</w:t>
      </w:r>
      <w:r>
        <w:rPr>
          <w:sz w:val="20"/>
          <w:szCs w:val="20"/>
          <w:color w:val="auto"/>
        </w:rPr>
        <w:tab/>
      </w:r>
      <w:r>
        <w:rPr>
          <w:rFonts w:ascii="Arial" w:cs="Arial" w:eastAsia="Arial" w:hAnsi="Arial"/>
          <w:sz w:val="17"/>
          <w:szCs w:val="17"/>
          <w:color w:val="auto"/>
        </w:rPr>
        <w:t>— Exhibits, Financial Statement Schedules</w:t>
      </w:r>
      <w:r>
        <w:rPr>
          <w:sz w:val="20"/>
          <w:szCs w:val="20"/>
          <w:color w:val="auto"/>
        </w:rPr>
        <w:tab/>
      </w:r>
      <w:r>
        <w:rPr>
          <w:rFonts w:ascii="Arial" w:cs="Arial" w:eastAsia="Arial" w:hAnsi="Arial"/>
          <w:sz w:val="16"/>
          <w:szCs w:val="16"/>
          <w:color w:val="0000FF"/>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1286510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FORWARD-LOOKING STATEMENTS</w:t>
      </w:r>
    </w:p>
    <w:p>
      <w:pPr>
        <w:spacing w:after="0" w:line="259"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i w:val="1"/>
          <w:iCs w:val="1"/>
          <w:color w:val="auto"/>
        </w:rPr>
        <w:t>The disclosures in this Form 10-K contain certain forward-looking statements that are subject to numerous assumptions, risks or uncertainties. The Private Securities Litigation Reform Act of 1995 provides a safe harbor for forward-looking statements. Some of the forward-looking statements can be identified by the use of words such as “anticipates”, “believes”, “expects”, “projects”, “estimates”, “intends”, “plans”, “seeks”, “could”, “may”, “should”, “will” or the negative version of those words or other comparable terminology. Such forward-looking statements include statements relating to: expectations concerning market and other conditions and their effect on future premiums, revenues, earnings, investment activities and the amount and timing of share repurchases and special dividends; recoverability of asset values; expected losses and the adequacy of reserves for asbestos, environmental pollution and mass tort claims; rate changes; and improved loss experience.</w:t>
      </w:r>
    </w:p>
    <w:p>
      <w:pPr>
        <w:spacing w:after="0" w:line="133" w:lineRule="exact"/>
        <w:rPr>
          <w:sz w:val="20"/>
          <w:szCs w:val="20"/>
          <w:color w:val="auto"/>
        </w:rPr>
      </w:pPr>
    </w:p>
    <w:p>
      <w:pPr>
        <w:jc w:val="both"/>
        <w:ind w:right="100"/>
        <w:spacing w:after="0" w:line="254" w:lineRule="auto"/>
        <w:rPr>
          <w:sz w:val="20"/>
          <w:szCs w:val="20"/>
          <w:color w:val="auto"/>
        </w:rPr>
      </w:pPr>
      <w:r>
        <w:rPr>
          <w:rFonts w:ascii="Arial" w:cs="Arial" w:eastAsia="Arial" w:hAnsi="Arial"/>
          <w:sz w:val="17"/>
          <w:szCs w:val="17"/>
          <w:i w:val="1"/>
          <w:iCs w:val="1"/>
          <w:color w:val="auto"/>
        </w:rPr>
        <w:t>Actual results and/or financial condition could differ materially from those contained in or implied by such forward-looking statements for a variety of reasons including but not limited to the following and those discussed in Item 1A — Risk Factors and in its other reports filed with the Securities and Exchange Commission.</w:t>
      </w:r>
    </w:p>
    <w:p>
      <w:pPr>
        <w:spacing w:after="0" w:line="1" w:lineRule="exact"/>
        <w:rPr>
          <w:sz w:val="20"/>
          <w:szCs w:val="20"/>
          <w:color w:val="auto"/>
        </w:rPr>
      </w:pPr>
    </w:p>
    <w:p>
      <w:pPr>
        <w:ind w:left="460" w:right="300" w:hanging="331"/>
        <w:spacing w:after="0" w:line="256" w:lineRule="auto"/>
        <w:tabs>
          <w:tab w:leader="none" w:pos="452"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changes in financial, political and economic conditions, including changes in interest and inflation rates, currency fluctuations and extended economic recessions or expansions in the U.S. and/or abroad;</w:t>
      </w:r>
    </w:p>
    <w:p>
      <w:pPr>
        <w:spacing w:after="0" w:line="1" w:lineRule="exact"/>
        <w:rPr>
          <w:rFonts w:ascii="Arial" w:cs="Arial" w:eastAsia="Arial" w:hAnsi="Arial"/>
          <w:sz w:val="17"/>
          <w:szCs w:val="17"/>
          <w:i w:val="1"/>
          <w:iCs w:val="1"/>
          <w:color w:val="auto"/>
        </w:rPr>
      </w:pPr>
    </w:p>
    <w:p>
      <w:pPr>
        <w:ind w:left="440" w:hanging="311"/>
        <w:spacing w:after="0"/>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performance of securities markets;</w:t>
      </w:r>
    </w:p>
    <w:p>
      <w:pPr>
        <w:spacing w:after="0" w:line="7" w:lineRule="exact"/>
        <w:rPr>
          <w:rFonts w:ascii="Arial" w:cs="Arial" w:eastAsia="Arial" w:hAnsi="Arial"/>
          <w:sz w:val="17"/>
          <w:szCs w:val="17"/>
          <w:color w:val="auto"/>
        </w:rPr>
      </w:pPr>
    </w:p>
    <w:p>
      <w:pPr>
        <w:ind w:left="460" w:right="40" w:hanging="331"/>
        <w:spacing w:after="0" w:line="248" w:lineRule="auto"/>
        <w:tabs>
          <w:tab w:leader="none" w:pos="452"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new legislation or declines in credit quality or credit ratings that could have a material impact on the valuation of securities in AFG’s investment portfolio;</w:t>
      </w:r>
    </w:p>
    <w:p>
      <w:pPr>
        <w:spacing w:after="0" w:line="1" w:lineRule="exact"/>
        <w:rPr>
          <w:rFonts w:ascii="Arial" w:cs="Arial" w:eastAsia="Arial" w:hAnsi="Arial"/>
          <w:sz w:val="17"/>
          <w:szCs w:val="17"/>
          <w:color w:val="auto"/>
        </w:rPr>
      </w:pPr>
    </w:p>
    <w:p>
      <w:pPr>
        <w:ind w:left="440" w:hanging="311"/>
        <w:spacing w:after="0"/>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the availability of capital;</w:t>
      </w:r>
    </w:p>
    <w:p>
      <w:pPr>
        <w:spacing w:after="0" w:line="13" w:lineRule="exact"/>
        <w:rPr>
          <w:rFonts w:ascii="Arial" w:cs="Arial" w:eastAsia="Arial" w:hAnsi="Arial"/>
          <w:sz w:val="17"/>
          <w:szCs w:val="17"/>
          <w:color w:val="auto"/>
        </w:rPr>
      </w:pPr>
    </w:p>
    <w:p>
      <w:pPr>
        <w:ind w:left="440" w:hanging="311"/>
        <w:spacing w:after="0"/>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changes in insurance law or regulation, including changes in statutory accounting rules, including modifications to capital requirements;</w:t>
      </w:r>
    </w:p>
    <w:p>
      <w:pPr>
        <w:spacing w:after="0" w:line="14" w:lineRule="exact"/>
        <w:rPr>
          <w:rFonts w:ascii="Arial" w:cs="Arial" w:eastAsia="Arial" w:hAnsi="Arial"/>
          <w:sz w:val="17"/>
          <w:szCs w:val="17"/>
          <w:color w:val="auto"/>
        </w:rPr>
      </w:pPr>
    </w:p>
    <w:p>
      <w:pPr>
        <w:ind w:left="440" w:hanging="311"/>
        <w:spacing w:after="0"/>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changes in the legal environment affecting AFG or its customers;</w:t>
      </w:r>
    </w:p>
    <w:p>
      <w:pPr>
        <w:spacing w:after="0" w:line="7" w:lineRule="exact"/>
        <w:rPr>
          <w:rFonts w:ascii="Arial" w:cs="Arial" w:eastAsia="Arial" w:hAnsi="Arial"/>
          <w:sz w:val="17"/>
          <w:szCs w:val="17"/>
          <w:color w:val="auto"/>
        </w:rPr>
      </w:pPr>
    </w:p>
    <w:p>
      <w:pPr>
        <w:ind w:left="440" w:hanging="311"/>
        <w:spacing w:after="0"/>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tax law and accounting changes;</w:t>
      </w:r>
    </w:p>
    <w:p>
      <w:pPr>
        <w:spacing w:after="0" w:line="7" w:lineRule="exact"/>
        <w:rPr>
          <w:rFonts w:ascii="Arial" w:cs="Arial" w:eastAsia="Arial" w:hAnsi="Arial"/>
          <w:sz w:val="17"/>
          <w:szCs w:val="17"/>
          <w:color w:val="auto"/>
        </w:rPr>
      </w:pPr>
    </w:p>
    <w:p>
      <w:pPr>
        <w:ind w:left="460" w:right="620" w:hanging="331"/>
        <w:spacing w:after="0" w:line="252" w:lineRule="auto"/>
        <w:tabs>
          <w:tab w:leader="none" w:pos="452"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levels of natural catastrophes and severe weather, terrorist activities (including any nuclear, biological, chemical or radiological events), incidents of war or losses resulting from pandemics, civil unrest and other major losses;</w:t>
      </w:r>
    </w:p>
    <w:p>
      <w:pPr>
        <w:ind w:left="460" w:hanging="331"/>
        <w:spacing w:after="0" w:line="253" w:lineRule="auto"/>
        <w:tabs>
          <w:tab w:leader="none" w:pos="452"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disruption caused by cyber-attacks or other technology breaches or failures by AFG or its business partners and service providers, which could negatively impact AFG’s business and/or expose AFG to litigation;</w:t>
      </w:r>
    </w:p>
    <w:p>
      <w:pPr>
        <w:ind w:left="460" w:right="300" w:hanging="331"/>
        <w:spacing w:after="0" w:line="248" w:lineRule="auto"/>
        <w:tabs>
          <w:tab w:leader="none" w:pos="452"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development of insurance loss reserves and establishment of other reserves, particularly with respect to amounts associated with asbestos and environmental claims;</w:t>
      </w:r>
    </w:p>
    <w:p>
      <w:pPr>
        <w:spacing w:after="0" w:line="1" w:lineRule="exact"/>
        <w:rPr>
          <w:rFonts w:ascii="Arial" w:cs="Arial" w:eastAsia="Arial" w:hAnsi="Arial"/>
          <w:sz w:val="17"/>
          <w:szCs w:val="17"/>
          <w:i w:val="1"/>
          <w:iCs w:val="1"/>
          <w:color w:val="auto"/>
        </w:rPr>
      </w:pPr>
    </w:p>
    <w:p>
      <w:pPr>
        <w:ind w:left="440" w:hanging="311"/>
        <w:spacing w:after="0"/>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availability of reinsurance and ability of reinsurers to pay their obligations;</w:t>
      </w:r>
    </w:p>
    <w:p>
      <w:pPr>
        <w:spacing w:after="0" w:line="7" w:lineRule="exact"/>
        <w:rPr>
          <w:rFonts w:ascii="Arial" w:cs="Arial" w:eastAsia="Arial" w:hAnsi="Arial"/>
          <w:sz w:val="17"/>
          <w:szCs w:val="17"/>
          <w:color w:val="auto"/>
        </w:rPr>
      </w:pPr>
    </w:p>
    <w:p>
      <w:pPr>
        <w:ind w:left="440" w:hanging="311"/>
        <w:spacing w:after="0"/>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competitive pressures;</w:t>
      </w:r>
    </w:p>
    <w:p>
      <w:pPr>
        <w:spacing w:after="0" w:line="13" w:lineRule="exact"/>
        <w:rPr>
          <w:rFonts w:ascii="Arial" w:cs="Arial" w:eastAsia="Arial" w:hAnsi="Arial"/>
          <w:sz w:val="17"/>
          <w:szCs w:val="17"/>
          <w:color w:val="auto"/>
        </w:rPr>
      </w:pPr>
    </w:p>
    <w:p>
      <w:pPr>
        <w:ind w:left="440" w:hanging="311"/>
        <w:spacing w:after="0"/>
        <w:tabs>
          <w:tab w:leader="none" w:pos="44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the ability to obtain adequate rates and policy terms;</w:t>
      </w:r>
    </w:p>
    <w:p>
      <w:pPr>
        <w:spacing w:after="0" w:line="14" w:lineRule="exact"/>
        <w:rPr>
          <w:rFonts w:ascii="Arial" w:cs="Arial" w:eastAsia="Arial" w:hAnsi="Arial"/>
          <w:sz w:val="17"/>
          <w:szCs w:val="17"/>
          <w:i w:val="1"/>
          <w:iCs w:val="1"/>
          <w:color w:val="auto"/>
        </w:rPr>
      </w:pPr>
    </w:p>
    <w:p>
      <w:pPr>
        <w:ind w:left="440" w:hanging="311"/>
        <w:spacing w:after="0"/>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changes in AFG’s credit ratings or the financial strength ratings assigned by major ratings agencies to AFG’s operating subsidiaries;</w:t>
      </w:r>
    </w:p>
    <w:p>
      <w:pPr>
        <w:spacing w:after="0" w:line="7" w:lineRule="exact"/>
        <w:rPr>
          <w:rFonts w:ascii="Arial" w:cs="Arial" w:eastAsia="Arial" w:hAnsi="Arial"/>
          <w:sz w:val="17"/>
          <w:szCs w:val="17"/>
          <w:color w:val="auto"/>
        </w:rPr>
      </w:pPr>
    </w:p>
    <w:p>
      <w:pPr>
        <w:ind w:left="440" w:hanging="311"/>
        <w:spacing w:after="0"/>
        <w:tabs>
          <w:tab w:leader="none" w:pos="44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the impact of the conditions in the international financial markets and the global economy relating to AFG’s international operations; and</w:t>
      </w:r>
    </w:p>
    <w:p>
      <w:pPr>
        <w:spacing w:after="0" w:line="7" w:lineRule="exact"/>
        <w:rPr>
          <w:rFonts w:ascii="Arial" w:cs="Arial" w:eastAsia="Arial" w:hAnsi="Arial"/>
          <w:sz w:val="17"/>
          <w:szCs w:val="17"/>
          <w:i w:val="1"/>
          <w:iCs w:val="1"/>
          <w:color w:val="auto"/>
        </w:rPr>
      </w:pPr>
    </w:p>
    <w:p>
      <w:pPr>
        <w:ind w:left="440" w:hanging="311"/>
        <w:spacing w:after="0"/>
        <w:tabs>
          <w:tab w:leader="none" w:pos="44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effects on AFG’s reputation, including as a result of environmental, social and governance matters.</w:t>
      </w:r>
    </w:p>
    <w:p>
      <w:pPr>
        <w:spacing w:after="0" w:line="155" w:lineRule="exact"/>
        <w:rPr>
          <w:sz w:val="20"/>
          <w:szCs w:val="20"/>
          <w:color w:val="auto"/>
        </w:rPr>
      </w:pPr>
    </w:p>
    <w:p>
      <w:pPr>
        <w:ind w:right="500"/>
        <w:spacing w:after="0" w:line="298" w:lineRule="auto"/>
        <w:rPr>
          <w:sz w:val="20"/>
          <w:szCs w:val="20"/>
          <w:color w:val="auto"/>
        </w:rPr>
      </w:pPr>
      <w:r>
        <w:rPr>
          <w:rFonts w:ascii="Arial" w:cs="Arial" w:eastAsia="Arial" w:hAnsi="Arial"/>
          <w:sz w:val="17"/>
          <w:szCs w:val="17"/>
          <w:i w:val="1"/>
          <w:iCs w:val="1"/>
          <w:color w:val="auto"/>
        </w:rPr>
        <w:t>The forward-looking statements herein are made only as of the date of this report. The Company assumes no obligation to publicly update any forward-looking statements.</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5"/>
          <w:szCs w:val="25"/>
          <w:b w:val="1"/>
          <w:bCs w:val="1"/>
          <w:color w:val="00274E"/>
        </w:rPr>
        <w:t>PART I</w:t>
      </w:r>
    </w:p>
    <w:p>
      <w:pPr>
        <w:spacing w:after="0" w:line="46" w:lineRule="exact"/>
        <w:rPr>
          <w:sz w:val="20"/>
          <w:szCs w:val="20"/>
          <w:color w:val="auto"/>
        </w:rPr>
      </w:pPr>
    </w:p>
    <w:p>
      <w:pPr>
        <w:spacing w:after="0"/>
        <w:rPr>
          <w:sz w:val="20"/>
          <w:szCs w:val="20"/>
          <w:color w:val="auto"/>
        </w:rPr>
      </w:pPr>
      <w:r>
        <w:rPr>
          <w:rFonts w:ascii="Arial" w:cs="Arial" w:eastAsia="Arial" w:hAnsi="Arial"/>
          <w:sz w:val="36"/>
          <w:szCs w:val="36"/>
          <w:b w:val="1"/>
          <w:bCs w:val="1"/>
          <w:color w:val="00274E"/>
        </w:rPr>
        <w:t>Item 1. Business</w:t>
      </w:r>
    </w:p>
    <w:p>
      <w:pPr>
        <w:spacing w:after="0" w:line="80" w:lineRule="exact"/>
        <w:rPr>
          <w:sz w:val="20"/>
          <w:szCs w:val="20"/>
          <w:color w:val="auto"/>
        </w:rPr>
      </w:pPr>
    </w:p>
    <w:p>
      <w:pPr>
        <w:spacing w:after="0"/>
        <w:rPr>
          <w:sz w:val="20"/>
          <w:szCs w:val="20"/>
          <w:color w:val="auto"/>
        </w:rPr>
      </w:pPr>
      <w:r>
        <w:rPr>
          <w:rFonts w:ascii="Arial" w:cs="Arial" w:eastAsia="Arial" w:hAnsi="Arial"/>
          <w:sz w:val="29"/>
          <w:szCs w:val="29"/>
          <w:b w:val="1"/>
          <w:bCs w:val="1"/>
          <w:color w:val="00274E"/>
        </w:rPr>
        <w:t>Introduction</w:t>
      </w:r>
    </w:p>
    <w:p>
      <w:pPr>
        <w:spacing w:after="0" w:line="45" w:lineRule="exact"/>
        <w:rPr>
          <w:sz w:val="20"/>
          <w:szCs w:val="20"/>
          <w:color w:val="auto"/>
        </w:rPr>
      </w:pPr>
    </w:p>
    <w:p>
      <w:pPr>
        <w:ind w:right="260"/>
        <w:spacing w:after="0" w:line="256" w:lineRule="auto"/>
        <w:rPr>
          <w:sz w:val="20"/>
          <w:szCs w:val="20"/>
          <w:color w:val="auto"/>
        </w:rPr>
      </w:pPr>
      <w:r>
        <w:rPr>
          <w:rFonts w:ascii="Arial" w:cs="Arial" w:eastAsia="Arial" w:hAnsi="Arial"/>
          <w:sz w:val="17"/>
          <w:szCs w:val="17"/>
          <w:color w:val="auto"/>
        </w:rPr>
        <w:t>American Financial Group, Inc. (“AFG” or the “Company”) is an insurance holding company. Through the operations of Great American Insurance Group, AFG is engaged in property and casualty insurance, focusing on specialized commercial products for businesses. AFG’s in-house team of investment professionals oversees the Company’s investment portfolio. The members of the Great American Insurance Group have been in business for over 150 years. Management believes that approximately 55% of the 2023 gross written premiums in AFG’s Specialty property and casualty group are produced by “top 10” ranked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147955</wp:posOffset>
            </wp:positionV>
            <wp:extent cx="5863590" cy="42691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63590" cy="4269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 xml:space="preserve">AFG’s address is 301 East Fourth Street, Cincinnati, Ohio 45202; its phone number is (513) 579-2121. SEC filings, news releases, AFG’s Code of Ethics applicable to directors, officers and employees, AFG’s Corporate Social Responsibility Report and other information may be accessed free of charge through AFG’s Internet site at: www.AFGinc.com. (Information on AFG’s Internet site is not part of this Form 10-K.) See </w:t>
      </w:r>
      <w:r>
        <w:rPr>
          <w:rFonts w:ascii="Arial" w:cs="Arial" w:eastAsia="Arial" w:hAnsi="Arial"/>
          <w:sz w:val="17"/>
          <w:szCs w:val="17"/>
          <w:i w:val="1"/>
          <w:iCs w:val="1"/>
          <w:color w:val="auto"/>
        </w:rPr>
        <w:t>Note D — “Segments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Operations” </w:t>
      </w:r>
      <w:r>
        <w:rPr>
          <w:rFonts w:ascii="Arial" w:cs="Arial" w:eastAsia="Arial" w:hAnsi="Arial"/>
          <w:sz w:val="17"/>
          <w:szCs w:val="17"/>
          <w:color w:val="auto"/>
        </w:rPr>
        <w:t>to the financial statements for information on AFG’s assets, revenues and earnings before income taxes by segment.</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9"/>
          <w:szCs w:val="29"/>
          <w:b w:val="1"/>
          <w:bCs w:val="1"/>
          <w:color w:val="00274E"/>
        </w:rPr>
        <w:t>Building Long-Term Value for AFG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5846445" cy="2168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46445"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AFG allows each of its businesses the autonomy to make decisions related to underwriting, claims and policy servicing. This entrepreneurial business model promotes agility, innovative product design, unique applications of pricing segmentation, as well as developing distribution strategies and building relationships in the markets served. Management believes that AFG’s ability to grow book value per share at a double-digit annual rate over time is evidence that the Company’s culture, business model and employee incentive plans create a compelling structure to build long-term value for AFG’s shareholders.</w:t>
      </w:r>
    </w:p>
    <w:p>
      <w:pPr>
        <w:spacing w:after="0" w:line="206"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As highlighted in the illustration below, over the past 25 plus years, AFG has sharpened its focus on the businesses that management knows best. This has been accomplished through organic growth, carefully selected acquisitions, start-ups and dispositions. On July 3, 2023, AFG completed the acquisition of Crop Risk Services (“CRS”) from American International Group (“AIG”). CRS is a primary crop insurance general agent based in Decatur, Illinois, with crop year 2022 gross written premiums of approximately $1.2 billion and was the seventh largest provider of multi-peril crop insurance in the United States based on 2022 premiums. As a result of the acquisition, AFG will remain the fifth ranked writer of U.S. crop insurance and the largest U.S. owned participant in the United States multi-peril crop insurance program. In May 2021, AFG completed the sale of its Annuity business to Massachusetts Mutual Life Insurance Company for $3.57 billion in cash.</w:t>
      </w: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jc w:val="right"/>
        <w:ind w:right="319"/>
        <w:spacing w:after="0"/>
        <w:rPr>
          <w:sz w:val="20"/>
          <w:szCs w:val="20"/>
          <w:color w:val="auto"/>
        </w:rPr>
      </w:pPr>
      <w:r>
        <w:rPr>
          <w:rFonts w:ascii="Arial" w:cs="Arial" w:eastAsia="Arial" w:hAnsi="Arial"/>
          <w:sz w:val="29"/>
          <w:szCs w:val="29"/>
          <w:b w:val="1"/>
          <w:bCs w:val="1"/>
          <w:color w:val="00274E"/>
        </w:rPr>
        <w:t>Timeline of Selected Start-ups, Acquisitions and Dispositions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33020</wp:posOffset>
            </wp:positionV>
            <wp:extent cx="4680585" cy="77323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80585" cy="7732395"/>
                    </a:xfrm>
                    <a:prstGeom prst="rect">
                      <a:avLst/>
                    </a:prstGeom>
                    <a:noFill/>
                  </pic:spPr>
                </pic:pic>
              </a:graphicData>
            </a:graphic>
          </wp:anchor>
        </w:drawing>
      </w:r>
    </w:p>
    <w:p>
      <w:pPr>
        <w:sectPr>
          <w:pgSz w:w="11900" w:h="16838" w:orient="portrait"/>
          <w:cols w:equalWidth="0" w:num="1">
            <w:col w:w="10139"/>
          </w:cols>
          <w:pgMar w:left="320" w:top="1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5" w:right="1440" w:bottom="1440" w:gutter="0" w:footer="0" w:header="0"/>
          <w:type w:val="continuous"/>
        </w:sectPr>
      </w:pPr>
    </w:p>
    <w:bookmarkStart w:id="6" w:name="page7"/>
    <w:bookmarkEnd w:id="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9"/>
          <w:szCs w:val="29"/>
          <w:b w:val="1"/>
          <w:bCs w:val="1"/>
          <w:color w:val="00274E"/>
        </w:rPr>
        <w:t>Property and Casualty Insurance Segment</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00274E"/>
        </w:rPr>
        <w:t>General</w:t>
      </w:r>
    </w:p>
    <w:p>
      <w:pPr>
        <w:spacing w:after="0" w:line="28"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AFG’s property and casualty insurance operations provide a wide range of commercial coverages through approximately 35 insurance businesses (at December 31, 2023) that make up the Great American Insurance Group. AFG’s property and casualty insurance operations ultimately report to a single senior executive and operate under a business model that allows local decision-making for underwriting, claims and policy servicing in each of the niche operations. Each business is managed by experienced professionals in particular lines or customer groups and operates autonomously but with certain central controls and accountability. The decentralized approach allows each unit the autonomy necessary to respond to local and specialty market conditions while capitalizing on the efficiencies of centralized investment and administrative support functions. AFG’s property and casualty insurance operations are conducted through the subsidiaries listed in the following table, which includes independent financial strength ratings and 2023 gross written premiums (in millions) for each major subsidiary. These ratings are generally based on concerns for policyholders and agents and are not directed toward the protection of investors. AFG believes that maintaining a rating in the “A” category by A.M. Best is important to compete successfully in most lines of business.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20" w:type="dxa"/>
            <w:vAlign w:val="bottom"/>
            <w:gridSpan w:val="4"/>
          </w:tcPr>
          <w:p>
            <w:pPr>
              <w:ind w:left="60"/>
              <w:spacing w:after="0"/>
              <w:rPr>
                <w:sz w:val="20"/>
                <w:szCs w:val="20"/>
                <w:color w:val="auto"/>
              </w:rPr>
            </w:pPr>
            <w:r>
              <w:rPr>
                <w:rFonts w:ascii="Arial" w:cs="Arial" w:eastAsia="Arial" w:hAnsi="Arial"/>
                <w:sz w:val="14"/>
                <w:szCs w:val="14"/>
                <w:color w:val="auto"/>
              </w:rPr>
              <w:t>Ratings</w:t>
            </w:r>
          </w:p>
        </w:tc>
        <w:tc>
          <w:tcPr>
            <w:tcW w:w="180" w:type="dxa"/>
            <w:vAlign w:val="bottom"/>
          </w:tcPr>
          <w:p>
            <w:pPr>
              <w:spacing w:after="0"/>
              <w:rPr>
                <w:sz w:val="14"/>
                <w:szCs w:val="14"/>
                <w:color w:val="auto"/>
              </w:rPr>
            </w:pPr>
          </w:p>
        </w:tc>
        <w:tc>
          <w:tcPr>
            <w:tcW w:w="1000" w:type="dxa"/>
            <w:vAlign w:val="bottom"/>
          </w:tcPr>
          <w:p>
            <w:pPr>
              <w:jc w:val="center"/>
              <w:ind w:right="102"/>
              <w:spacing w:after="0"/>
              <w:rPr>
                <w:sz w:val="20"/>
                <w:szCs w:val="20"/>
                <w:color w:val="auto"/>
              </w:rPr>
            </w:pPr>
            <w:r>
              <w:rPr>
                <w:rFonts w:ascii="Arial" w:cs="Arial" w:eastAsia="Arial" w:hAnsi="Arial"/>
                <w:sz w:val="14"/>
                <w:szCs w:val="14"/>
                <w:color w:val="auto"/>
              </w:rPr>
              <w:t>Gross</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4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vMerge w:val="restart"/>
          </w:tcPr>
          <w:p>
            <w:pPr>
              <w:jc w:val="center"/>
              <w:ind w:right="102"/>
              <w:spacing w:after="0" w:line="113" w:lineRule="exact"/>
              <w:rPr>
                <w:sz w:val="20"/>
                <w:szCs w:val="20"/>
                <w:color w:val="auto"/>
              </w:rPr>
            </w:pPr>
            <w:r>
              <w:rPr>
                <w:rFonts w:ascii="Arial" w:cs="Arial" w:eastAsia="Arial" w:hAnsi="Arial"/>
                <w:sz w:val="13"/>
                <w:szCs w:val="13"/>
                <w:color w:val="auto"/>
              </w:rPr>
              <w:t>Written</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20" w:type="dxa"/>
            <w:vAlign w:val="bottom"/>
          </w:tcPr>
          <w:p>
            <w:pPr>
              <w:spacing w:after="0"/>
              <w:rPr>
                <w:sz w:val="3"/>
                <w:szCs w:val="3"/>
                <w:color w:val="auto"/>
              </w:rPr>
            </w:pPr>
          </w:p>
        </w:tc>
        <w:tc>
          <w:tcPr>
            <w:tcW w:w="920" w:type="dxa"/>
            <w:vAlign w:val="bottom"/>
            <w:vMerge w:val="restart"/>
          </w:tcPr>
          <w:p>
            <w:pPr>
              <w:ind w:left="300"/>
              <w:spacing w:after="0"/>
              <w:rPr>
                <w:sz w:val="20"/>
                <w:szCs w:val="20"/>
                <w:color w:val="auto"/>
              </w:rPr>
            </w:pPr>
            <w:r>
              <w:rPr>
                <w:rFonts w:ascii="Arial" w:cs="Arial" w:eastAsia="Arial" w:hAnsi="Arial"/>
                <w:sz w:val="14"/>
                <w:szCs w:val="14"/>
                <w:color w:val="auto"/>
              </w:rPr>
              <w:t>AM Best</w:t>
            </w: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gridSpan w:val="2"/>
            <w:vMerge w:val="restart"/>
          </w:tcPr>
          <w:p>
            <w:pPr>
              <w:jc w:val="right"/>
              <w:ind w:right="540"/>
              <w:spacing w:after="0"/>
              <w:rPr>
                <w:sz w:val="20"/>
                <w:szCs w:val="20"/>
                <w:color w:val="auto"/>
              </w:rPr>
            </w:pPr>
            <w:r>
              <w:rPr>
                <w:rFonts w:ascii="Arial" w:cs="Arial" w:eastAsia="Arial" w:hAnsi="Arial"/>
                <w:sz w:val="14"/>
                <w:szCs w:val="14"/>
                <w:color w:val="auto"/>
              </w:rPr>
              <w:t>S&amp;P</w:t>
            </w:r>
          </w:p>
        </w:tc>
        <w:tc>
          <w:tcPr>
            <w:tcW w:w="18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center"/>
              <w:ind w:right="122"/>
              <w:spacing w:after="0"/>
              <w:rPr>
                <w:sz w:val="20"/>
                <w:szCs w:val="20"/>
                <w:color w:val="auto"/>
              </w:rPr>
            </w:pPr>
            <w:r>
              <w:rPr>
                <w:rFonts w:ascii="Arial" w:cs="Arial" w:eastAsia="Arial" w:hAnsi="Arial"/>
                <w:sz w:val="14"/>
                <w:szCs w:val="14"/>
                <w:color w:val="auto"/>
              </w:rPr>
              <w:t>Premiums</w:t>
            </w:r>
          </w:p>
        </w:tc>
        <w:tc>
          <w:tcPr>
            <w:tcW w:w="0" w:type="dxa"/>
            <w:vAlign w:val="bottom"/>
          </w:tcPr>
          <w:p>
            <w:pPr>
              <w:spacing w:after="0"/>
              <w:rPr>
                <w:sz w:val="1"/>
                <w:szCs w:val="1"/>
                <w:color w:val="auto"/>
              </w:rPr>
            </w:pPr>
          </w:p>
        </w:tc>
      </w:tr>
      <w:tr>
        <w:trPr>
          <w:trHeight w:val="166"/>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080" w:type="dxa"/>
            <w:vAlign w:val="bottom"/>
            <w:tcBorders>
              <w:top w:val="single" w:sz="8" w:color="CCEEFF"/>
              <w:bottom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Insurance Group</w:t>
            </w:r>
          </w:p>
        </w:tc>
        <w:tc>
          <w:tcPr>
            <w:tcW w:w="6420" w:type="dxa"/>
            <w:vAlign w:val="bottom"/>
            <w:tcBorders>
              <w:top w:val="single" w:sz="8" w:color="CCEEFF"/>
              <w:bottom w:val="single" w:sz="8" w:color="CCEEFF"/>
            </w:tcBorders>
            <w:shd w:val="clear" w:color="auto" w:fill="CCEEFF"/>
          </w:tcPr>
          <w:p>
            <w:pPr>
              <w:spacing w:after="0"/>
              <w:rPr>
                <w:sz w:val="14"/>
                <w:szCs w:val="14"/>
                <w:color w:val="auto"/>
              </w:rPr>
            </w:pPr>
          </w:p>
        </w:tc>
        <w:tc>
          <w:tcPr>
            <w:tcW w:w="920" w:type="dxa"/>
            <w:vAlign w:val="bottom"/>
            <w:tcBorders>
              <w:top w:val="single" w:sz="8" w:color="auto"/>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18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Arial" w:cs="Arial" w:eastAsia="Arial" w:hAnsi="Arial"/>
                <w:sz w:val="16"/>
                <w:szCs w:val="16"/>
                <w:color w:val="auto"/>
              </w:rPr>
              <w:t>Great American Insurance</w:t>
            </w:r>
          </w:p>
        </w:tc>
        <w:tc>
          <w:tcPr>
            <w:tcW w:w="920" w:type="dxa"/>
            <w:vAlign w:val="bottom"/>
          </w:tcPr>
          <w:p>
            <w:pPr>
              <w:ind w:left="520"/>
              <w:spacing w:after="0"/>
              <w:rPr>
                <w:sz w:val="20"/>
                <w:szCs w:val="20"/>
                <w:color w:val="auto"/>
              </w:rPr>
            </w:pPr>
            <w:r>
              <w:rPr>
                <w:rFonts w:ascii="Arial" w:cs="Arial" w:eastAsia="Arial" w:hAnsi="Arial"/>
                <w:sz w:val="16"/>
                <w:szCs w:val="16"/>
                <w:color w:val="auto"/>
              </w:rPr>
              <w:t>A+</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6"/>
                <w:szCs w:val="16"/>
                <w:color w:val="auto"/>
              </w:rPr>
              <w:t>A+</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7,353</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National Interstate</w:t>
            </w: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not rated</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1,112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Arial" w:cs="Arial" w:eastAsia="Arial" w:hAnsi="Arial"/>
                <w:sz w:val="16"/>
                <w:szCs w:val="16"/>
                <w:color w:val="auto"/>
              </w:rPr>
              <w:t>Summit (Bridgefield Casualty and Bridgefield Employers)</w:t>
            </w:r>
          </w:p>
        </w:tc>
        <w:tc>
          <w:tcPr>
            <w:tcW w:w="920" w:type="dxa"/>
            <w:vAlign w:val="bottom"/>
          </w:tcPr>
          <w:p>
            <w:pPr>
              <w:ind w:left="520"/>
              <w:spacing w:after="0"/>
              <w:rPr>
                <w:sz w:val="20"/>
                <w:szCs w:val="20"/>
                <w:color w:val="auto"/>
              </w:rPr>
            </w:pPr>
            <w:r>
              <w:rPr>
                <w:rFonts w:ascii="Arial" w:cs="Arial" w:eastAsia="Arial" w:hAnsi="Arial"/>
                <w:sz w:val="16"/>
                <w:szCs w:val="16"/>
                <w:color w:val="auto"/>
              </w:rPr>
              <w:t>A+</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6"/>
                <w:szCs w:val="16"/>
                <w:color w:val="auto"/>
              </w:rPr>
              <w:t>A+</w:t>
            </w:r>
          </w:p>
        </w:tc>
        <w:tc>
          <w:tcPr>
            <w:tcW w:w="18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608</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Republic Indemnity</w:t>
            </w: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A+</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Arial" w:cs="Arial" w:eastAsia="Arial" w:hAnsi="Arial"/>
                <w:sz w:val="16"/>
                <w:szCs w:val="16"/>
                <w:color w:val="auto"/>
              </w:rPr>
              <w:t>Mid-Continent Casualty</w:t>
            </w:r>
          </w:p>
        </w:tc>
        <w:tc>
          <w:tcPr>
            <w:tcW w:w="920" w:type="dxa"/>
            <w:vAlign w:val="bottom"/>
          </w:tcPr>
          <w:p>
            <w:pPr>
              <w:ind w:left="520"/>
              <w:spacing w:after="0"/>
              <w:rPr>
                <w:sz w:val="20"/>
                <w:szCs w:val="20"/>
                <w:color w:val="auto"/>
              </w:rPr>
            </w:pPr>
            <w:r>
              <w:rPr>
                <w:rFonts w:ascii="Arial" w:cs="Arial" w:eastAsia="Arial" w:hAnsi="Arial"/>
                <w:sz w:val="16"/>
                <w:szCs w:val="16"/>
                <w:color w:val="auto"/>
              </w:rPr>
              <w:t>A+</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6"/>
                <w:szCs w:val="16"/>
                <w:color w:val="auto"/>
              </w:rPr>
              <w:t>A+</w:t>
            </w:r>
          </w:p>
        </w:tc>
        <w:tc>
          <w:tcPr>
            <w:tcW w:w="18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9,656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right="460"/>
        <w:spacing w:after="0" w:line="266" w:lineRule="auto"/>
        <w:rPr>
          <w:sz w:val="20"/>
          <w:szCs w:val="20"/>
          <w:color w:val="auto"/>
        </w:rPr>
      </w:pPr>
      <w:r>
        <w:rPr>
          <w:rFonts w:ascii="Arial" w:cs="Arial" w:eastAsia="Arial" w:hAnsi="Arial"/>
          <w:sz w:val="17"/>
          <w:szCs w:val="17"/>
          <w:color w:val="auto"/>
        </w:rPr>
        <w:t>The primary objectives of AFG’s property and casualty insurance operations are to achieve solid underwriting profitability and provide excellent service to its policyholders and agents. Underwriting profitability is measured by the combined ratio, which is a sum of the ratios of losses, loss adjustment expenses (“LAE”), underwriting expenses and policyholder dividends to premiums. A combined ratio under 100% indicates an underwriting profit. The combined ratio does not reflect investment income, other income, other expenses or federal income taxes.</w:t>
      </w:r>
    </w:p>
    <w:p>
      <w:pPr>
        <w:spacing w:after="0" w:line="200" w:lineRule="exact"/>
        <w:rPr>
          <w:sz w:val="20"/>
          <w:szCs w:val="20"/>
          <w:color w:val="auto"/>
        </w:rPr>
      </w:pPr>
    </w:p>
    <w:p>
      <w:pPr>
        <w:ind w:right="340"/>
        <w:spacing w:after="0" w:line="261" w:lineRule="auto"/>
        <w:rPr>
          <w:sz w:val="20"/>
          <w:szCs w:val="20"/>
          <w:color w:val="auto"/>
        </w:rPr>
      </w:pPr>
      <w:r>
        <w:rPr>
          <w:rFonts w:ascii="Arial" w:cs="Arial" w:eastAsia="Arial" w:hAnsi="Arial"/>
          <w:sz w:val="17"/>
          <w:szCs w:val="17"/>
          <w:color w:val="auto"/>
        </w:rPr>
        <w:t>While many costs included in underwriting are readily determined (commissions, administrative expenses and many of the losses on claims reported), the process of determining overall underwriting results is highly dependent upon the use of estimates in the case of losses incurred or expected but not yet reported or developed. Management uses actuarial procedures and projections to determine “point estimates” of ultimate losses. While the process is imprecise and develops amounts which are subject to change over time, management believes that the liabilities for unpaid losses and loss adjustment expenses are adequate.</w:t>
      </w:r>
    </w:p>
    <w:p>
      <w:pPr>
        <w:spacing w:after="0" w:line="206" w:lineRule="exact"/>
        <w:rPr>
          <w:sz w:val="20"/>
          <w:szCs w:val="20"/>
          <w:color w:val="auto"/>
        </w:rPr>
      </w:pPr>
    </w:p>
    <w:p>
      <w:pPr>
        <w:ind w:right="300"/>
        <w:spacing w:after="0" w:line="261" w:lineRule="auto"/>
        <w:rPr>
          <w:sz w:val="20"/>
          <w:szCs w:val="20"/>
          <w:color w:val="auto"/>
        </w:rPr>
      </w:pPr>
      <w:r>
        <w:rPr>
          <w:rFonts w:ascii="Arial" w:cs="Arial" w:eastAsia="Arial" w:hAnsi="Arial"/>
          <w:sz w:val="17"/>
          <w:szCs w:val="17"/>
          <w:color w:val="auto"/>
        </w:rPr>
        <w:t>Financial information is reported in accordance with U.S. generally accepted accounting principles (“GAAP”) for shareholder and other investor-related purposes and reported on a statutory basis for U.S. insurance regulatory purposes. Unless indicated otherwise, the financial information presented in this Form 10-K for AFG’s property and casualty insurance operations is presented based on GAAP. Statutory information is only prepared for AFG’s U.S.-based subsidiaries, which represented approximately 98% of AFG’s direct written premiums in 2023, and is provided for industry comparisons or where comparable GAAP information is not readily available.</w:t>
      </w:r>
    </w:p>
    <w:p>
      <w:pPr>
        <w:spacing w:after="0" w:line="206" w:lineRule="exact"/>
        <w:rPr>
          <w:sz w:val="20"/>
          <w:szCs w:val="20"/>
          <w:color w:val="auto"/>
        </w:rPr>
      </w:pPr>
    </w:p>
    <w:p>
      <w:pPr>
        <w:jc w:val="both"/>
        <w:ind w:right="60"/>
        <w:spacing w:after="0" w:line="260" w:lineRule="auto"/>
        <w:rPr>
          <w:sz w:val="20"/>
          <w:szCs w:val="20"/>
          <w:color w:val="auto"/>
        </w:rPr>
      </w:pPr>
      <w:r>
        <w:rPr>
          <w:rFonts w:ascii="Arial" w:cs="Arial" w:eastAsia="Arial" w:hAnsi="Arial"/>
          <w:sz w:val="17"/>
          <w:szCs w:val="17"/>
          <w:color w:val="auto"/>
        </w:rPr>
        <w:t>Major differences for statutory accounting include charging policy acquisition costs to expense as incurred rather than spreading the costs over the periods covered by the policies; reporting investment grade bonds and redeemable preferred stocks at amortized cost rather than fair value; netting of reinsurance recoverables and prepaid reinsurance premiums against the corresponding liabilities rather than reporting such items separately; and charging to surplus certain GAAP assets, such as furniture and fixtures and agents’ balances over 90 days old.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AFG’s statutory combined ratio averaged 90.9% for the period 2014 to 2023 as compared to 98.4% for the property and casualty commercial lines industry over the same period. AFG believes that its specialty niche focus, product line diversification and underwriting discipline have contributed to the Company’s ability to consistently outperform the industry’s underwriting results. Management’s philosophy is to refrain from writing business that is not expected to produce an underwriting profit even if it is necessary to limit premium growth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38100</wp:posOffset>
            </wp:positionV>
            <wp:extent cx="5846445" cy="31375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46445" cy="313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0" w:right="20" w:hanging="412"/>
        <w:spacing w:after="0" w:line="284" w:lineRule="auto"/>
        <w:tabs>
          <w:tab w:leader="none" w:pos="411"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sources of the commercial lines industry ratios are ©2024 Conning, Inc., as published in Conning’s Property-Casualty Forecast &amp; Analysis by Line of Insurance 2023Q4 edition and ©2023 A.M. Best Company’s Review &amp; Preview Reports for preceding years.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Property and Casualty Results</w:t>
      </w:r>
    </w:p>
    <w:p>
      <w:pPr>
        <w:spacing w:after="0" w:line="30" w:lineRule="exact"/>
        <w:rPr>
          <w:sz w:val="20"/>
          <w:szCs w:val="20"/>
          <w:color w:val="auto"/>
        </w:rPr>
      </w:pPr>
    </w:p>
    <w:p>
      <w:pPr>
        <w:ind w:right="380"/>
        <w:spacing w:after="0" w:line="256" w:lineRule="auto"/>
        <w:rPr>
          <w:sz w:val="20"/>
          <w:szCs w:val="20"/>
          <w:color w:val="auto"/>
        </w:rPr>
      </w:pPr>
      <w:r>
        <w:rPr>
          <w:rFonts w:ascii="Arial" w:cs="Arial" w:eastAsia="Arial" w:hAnsi="Arial"/>
          <w:sz w:val="17"/>
          <w:szCs w:val="17"/>
          <w:color w:val="auto"/>
        </w:rPr>
        <w:t xml:space="preserve">Performance measures such as underwriting profit or loss and related combined ratios are often used by property and casualty insurers to help users of their financial statements better understand the company’s performance. See </w:t>
      </w:r>
      <w:r>
        <w:rPr>
          <w:rFonts w:ascii="Arial" w:cs="Arial" w:eastAsia="Arial" w:hAnsi="Arial"/>
          <w:sz w:val="17"/>
          <w:szCs w:val="17"/>
          <w:i w:val="1"/>
          <w:iCs w:val="1"/>
          <w:color w:val="auto"/>
        </w:rPr>
        <w:t>Note D — “Segments of Operations”</w:t>
      </w:r>
      <w:r>
        <w:rPr>
          <w:rFonts w:ascii="Arial" w:cs="Arial" w:eastAsia="Arial" w:hAnsi="Arial"/>
          <w:sz w:val="17"/>
          <w:szCs w:val="17"/>
          <w:color w:val="auto"/>
        </w:rPr>
        <w:t xml:space="preserve"> to the financial statements for the reconciliation of AFG’s earnings before income taxes by significant business segment to the statement of earnings.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5" w:right="39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performance of AFG’s property and casualty insurance operations (dollars in millions):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2021</w:t>
            </w:r>
          </w:p>
        </w:tc>
      </w:tr>
      <w:tr>
        <w:trPr>
          <w:trHeight w:val="214"/>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written premiums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9,656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9,057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7,946</w:t>
            </w:r>
          </w:p>
        </w:tc>
      </w:tr>
      <w:tr>
        <w:trPr>
          <w:trHeight w:val="215"/>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Ceded reinsurance</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(2,964)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(2,851)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(2,373)</w:t>
            </w:r>
          </w:p>
        </w:tc>
      </w:tr>
      <w:tr>
        <w:trPr>
          <w:trHeight w:val="235"/>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written premiums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6,692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6,206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5,573</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7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earned premiums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6,531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6,085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5,404</w:t>
            </w:r>
          </w:p>
        </w:tc>
      </w:tr>
      <w:tr>
        <w:trPr>
          <w:trHeight w:val="215"/>
        </w:trPr>
        <w:tc>
          <w:tcPr>
            <w:tcW w:w="7100" w:type="dxa"/>
            <w:vAlign w:val="bottom"/>
          </w:tcPr>
          <w:p>
            <w:pPr>
              <w:ind w:left="20"/>
              <w:spacing w:after="0"/>
              <w:rPr>
                <w:sz w:val="20"/>
                <w:szCs w:val="20"/>
                <w:color w:val="auto"/>
              </w:rPr>
            </w:pPr>
            <w:r>
              <w:rPr>
                <w:rFonts w:ascii="Arial" w:cs="Arial" w:eastAsia="Arial" w:hAnsi="Arial"/>
                <w:sz w:val="16"/>
                <w:szCs w:val="16"/>
                <w:color w:val="auto"/>
              </w:rPr>
              <w:t>Loss and LAE</w:t>
            </w:r>
          </w:p>
        </w:tc>
        <w:tc>
          <w:tcPr>
            <w:tcW w:w="300" w:type="dxa"/>
            <w:vAlign w:val="bottom"/>
          </w:tcPr>
          <w:p>
            <w:pPr>
              <w:spacing w:after="0"/>
              <w:rPr>
                <w:sz w:val="18"/>
                <w:szCs w:val="18"/>
                <w:color w:val="auto"/>
              </w:rPr>
            </w:pP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4,017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3,629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3,157</w:t>
            </w: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Underwriting expenses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1,883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1,680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1,514</w:t>
            </w:r>
          </w:p>
        </w:tc>
      </w:tr>
      <w:tr>
        <w:trPr>
          <w:trHeight w:val="210"/>
        </w:trPr>
        <w:tc>
          <w:tcPr>
            <w:tcW w:w="7100" w:type="dxa"/>
            <w:vAlign w:val="bottom"/>
          </w:tcPr>
          <w:p>
            <w:pPr>
              <w:ind w:left="20"/>
              <w:spacing w:after="0"/>
              <w:rPr>
                <w:sz w:val="20"/>
                <w:szCs w:val="20"/>
                <w:color w:val="auto"/>
              </w:rPr>
            </w:pPr>
            <w:r>
              <w:rPr>
                <w:rFonts w:ascii="Arial" w:cs="Arial" w:eastAsia="Arial" w:hAnsi="Arial"/>
                <w:sz w:val="16"/>
                <w:szCs w:val="16"/>
                <w:color w:val="auto"/>
              </w:rPr>
              <w:t>Underwriting gain</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631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776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733</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0"/>
        </w:trPr>
        <w:tc>
          <w:tcPr>
            <w:tcW w:w="7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15"/>
        </w:trPr>
        <w:tc>
          <w:tcPr>
            <w:tcW w:w="7100" w:type="dxa"/>
            <w:vAlign w:val="bottom"/>
          </w:tcPr>
          <w:p>
            <w:pPr>
              <w:ind w:left="20"/>
              <w:spacing w:after="0"/>
              <w:rPr>
                <w:sz w:val="20"/>
                <w:szCs w:val="20"/>
                <w:color w:val="auto"/>
              </w:rPr>
            </w:pPr>
            <w:r>
              <w:rPr>
                <w:rFonts w:ascii="Arial" w:cs="Arial" w:eastAsia="Arial" w:hAnsi="Arial"/>
                <w:sz w:val="16"/>
                <w:szCs w:val="16"/>
                <w:color w:val="auto"/>
              </w:rPr>
              <w:t>GAAP ratios: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7"/>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and LAE ratio</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58.5 %</w:t>
            </w:r>
          </w:p>
        </w:tc>
      </w:tr>
      <w:tr>
        <w:trPr>
          <w:trHeight w:val="215"/>
        </w:trPr>
        <w:tc>
          <w:tcPr>
            <w:tcW w:w="71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Underwriting expense ratio</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28.8 %</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27.6 %</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28.0 %</w:t>
            </w:r>
          </w:p>
        </w:tc>
      </w:tr>
      <w:tr>
        <w:trPr>
          <w:trHeight w:val="235"/>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Combined ratio</w:t>
            </w: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90.4 %</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87.3 %</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86.5 %</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Statutory ratios: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5"/>
        </w:trPr>
        <w:tc>
          <w:tcPr>
            <w:tcW w:w="7100" w:type="dxa"/>
            <w:vAlign w:val="bottom"/>
          </w:tcPr>
          <w:p>
            <w:pPr>
              <w:ind w:left="360"/>
              <w:spacing w:after="0"/>
              <w:rPr>
                <w:sz w:val="20"/>
                <w:szCs w:val="20"/>
                <w:color w:val="auto"/>
              </w:rPr>
            </w:pPr>
            <w:r>
              <w:rPr>
                <w:rFonts w:ascii="Arial" w:cs="Arial" w:eastAsia="Arial" w:hAnsi="Arial"/>
                <w:sz w:val="16"/>
                <w:szCs w:val="16"/>
                <w:color w:val="auto"/>
              </w:rPr>
              <w:t>Loss and LAE ratio</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60.3 %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57.3 %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55.9 %</w:t>
            </w:r>
          </w:p>
        </w:tc>
      </w:tr>
      <w:tr>
        <w:trPr>
          <w:trHeight w:val="216"/>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Underwriting expense ratio</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30.2 %</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29.7 %</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29.6 %</w:t>
            </w:r>
          </w:p>
        </w:tc>
      </w:tr>
      <w:tr>
        <w:trPr>
          <w:trHeight w:val="210"/>
        </w:trPr>
        <w:tc>
          <w:tcPr>
            <w:tcW w:w="7100" w:type="dxa"/>
            <w:vAlign w:val="bottom"/>
          </w:tcPr>
          <w:p>
            <w:pPr>
              <w:ind w:left="360"/>
              <w:spacing w:after="0"/>
              <w:rPr>
                <w:sz w:val="20"/>
                <w:szCs w:val="20"/>
                <w:color w:val="auto"/>
              </w:rPr>
            </w:pPr>
            <w:r>
              <w:rPr>
                <w:rFonts w:ascii="Arial" w:cs="Arial" w:eastAsia="Arial" w:hAnsi="Arial"/>
                <w:sz w:val="16"/>
                <w:szCs w:val="16"/>
                <w:color w:val="auto"/>
              </w:rPr>
              <w:t>Combined ratio</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90.5 %</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87.0 %</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85.5 %</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0"/>
        </w:trPr>
        <w:tc>
          <w:tcPr>
            <w:tcW w:w="7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15"/>
        </w:trPr>
        <w:tc>
          <w:tcPr>
            <w:tcW w:w="7100" w:type="dxa"/>
            <w:vAlign w:val="bottom"/>
          </w:tcPr>
          <w:p>
            <w:pPr>
              <w:ind w:left="20"/>
              <w:spacing w:after="0"/>
              <w:rPr>
                <w:sz w:val="20"/>
                <w:szCs w:val="20"/>
                <w:color w:val="auto"/>
              </w:rPr>
            </w:pPr>
            <w:r>
              <w:rPr>
                <w:rFonts w:ascii="Arial" w:cs="Arial" w:eastAsia="Arial" w:hAnsi="Arial"/>
                <w:sz w:val="16"/>
                <w:szCs w:val="16"/>
                <w:color w:val="auto"/>
              </w:rPr>
              <w:t>Industry statutory combined ratio (*)</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7"/>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All lines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5"/>
        </w:trPr>
        <w:tc>
          <w:tcPr>
            <w:tcW w:w="7100" w:type="dxa"/>
            <w:vAlign w:val="bottom"/>
          </w:tcPr>
          <w:p>
            <w:pPr>
              <w:ind w:left="360"/>
              <w:spacing w:after="0"/>
              <w:rPr>
                <w:sz w:val="20"/>
                <w:szCs w:val="20"/>
                <w:color w:val="auto"/>
              </w:rPr>
            </w:pPr>
            <w:r>
              <w:rPr>
                <w:rFonts w:ascii="Arial" w:cs="Arial" w:eastAsia="Arial" w:hAnsi="Arial"/>
                <w:sz w:val="16"/>
                <w:szCs w:val="16"/>
                <w:color w:val="auto"/>
              </w:rPr>
              <w:t>Commercial lines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94.0 %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98.4 %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95.9 %</w:t>
            </w:r>
          </w:p>
        </w:tc>
      </w:tr>
    </w:tbl>
    <w:p>
      <w:pPr>
        <w:spacing w:after="0" w:line="74" w:lineRule="exact"/>
        <w:rPr>
          <w:sz w:val="20"/>
          <w:szCs w:val="20"/>
          <w:color w:val="auto"/>
        </w:rPr>
      </w:pPr>
    </w:p>
    <w:p>
      <w:pPr>
        <w:ind w:left="420" w:right="600" w:hanging="412"/>
        <w:spacing w:after="0" w:line="284" w:lineRule="auto"/>
        <w:tabs>
          <w:tab w:leader="none" w:pos="411"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sources of the industry ratios are ©2024 Conning, Inc., as published in Conning’s Property-Casualty Forecast &amp; Analysis by Line of Insurance 2023Q4 edition and ©2023 A.M. Best Company’s Review &amp; Preview Reports for preceding years.</w:t>
      </w:r>
    </w:p>
    <w:p>
      <w:pPr>
        <w:spacing w:after="0" w:line="185"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As with other property and casualty insurers, AFG’s operating results can be adversely affected by unpredictable catastrophe losses. Certain natural disasters (hurricanes, severe storms, earthquakes, tornadoes, floods, etc.) and other incidents of major loss (explosions, civil disorder, terrorist events, fires, etc.) are classified as catastrophes by industry associations. Losses from these incidents are usually tracked separately from other business of insurers because of their sizable effects on overall operations. Total net losses to AFG’s insurance operations from current accident year catastrophes were $162 million in 2023, $88 million in 2022 and $86 million in 2021 and are included in the table above.</w:t>
      </w:r>
    </w:p>
    <w:p>
      <w:pPr>
        <w:spacing w:after="0" w:line="206"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AFG generally seeks to reduce its exposure to catastrophes through individual risk selection, including minimizing coastal and known fault-line exposures, and through the purchase of reinsurance. AFG’s net exposure to a catastrophic earthquake or windstorm that industry models indicate should statistically occur once in every 500 years (a “500-year event”) is expected to be approximately 2% of AFG’s Shareholders’ Equity.</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Property and Casualty Insurance Products</w:t>
      </w:r>
    </w:p>
    <w:p>
      <w:pPr>
        <w:spacing w:after="0" w:line="30"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AFG is focused on growth opportunities in what it believes to be more profitable specialty businesses where AFG personnel are experts in particular lines of business or customer groups. AFG believes it is an innovator in risk sharing and alternative risk transfer programs for policyholders and agents. For example, AFG provides: risk sharing alternatives in the passenger transportation, moving and storage and trucking industries, agency and group risk sharing programs, unique coverage options for workers’ compensation accounts that include higher retentions and specialty loss prevention and innovative commission structures for distribution partners who produce profitable business. These programs and offerings help align the interests of customers and distribution partners with AFG’s interests.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are examples of AFG’s specialty businesses grouped by sub-segment:</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00274E"/>
        </w:rPr>
        <w:t>Property and Transportation</w:t>
      </w:r>
    </w:p>
    <w:p>
      <w:pPr>
        <w:spacing w:after="0" w:line="44"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2560" w:type="dxa"/>
            <w:vAlign w:val="bottom"/>
          </w:tcPr>
          <w:p>
            <w:pPr>
              <w:spacing w:after="0"/>
              <w:rPr>
                <w:sz w:val="20"/>
                <w:szCs w:val="20"/>
                <w:color w:val="auto"/>
              </w:rPr>
            </w:pPr>
            <w:r>
              <w:rPr>
                <w:rFonts w:ascii="Arial" w:cs="Arial" w:eastAsia="Arial" w:hAnsi="Arial"/>
                <w:sz w:val="18"/>
                <w:szCs w:val="18"/>
                <w:b w:val="1"/>
                <w:bCs w:val="1"/>
                <w:color w:val="00274E"/>
              </w:rPr>
              <w:t>Agricultural-related</w:t>
            </w:r>
          </w:p>
        </w:tc>
        <w:tc>
          <w:tcPr>
            <w:tcW w:w="8280" w:type="dxa"/>
            <w:vAlign w:val="bottom"/>
          </w:tcPr>
          <w:p>
            <w:pPr>
              <w:ind w:left="920"/>
              <w:spacing w:after="0"/>
              <w:rPr>
                <w:sz w:val="20"/>
                <w:szCs w:val="20"/>
                <w:color w:val="auto"/>
              </w:rPr>
            </w:pPr>
            <w:r>
              <w:rPr>
                <w:rFonts w:ascii="Arial" w:cs="Arial" w:eastAsia="Arial" w:hAnsi="Arial"/>
                <w:sz w:val="16"/>
                <w:szCs w:val="16"/>
                <w:color w:val="auto"/>
              </w:rPr>
              <w:t>Federally reinsured multi-peril crop (allied lines) insurance covering most perils as well as crop-hail,</w:t>
            </w:r>
          </w:p>
        </w:tc>
      </w:tr>
      <w:tr>
        <w:trPr>
          <w:trHeight w:val="135"/>
        </w:trPr>
        <w:tc>
          <w:tcPr>
            <w:tcW w:w="2560" w:type="dxa"/>
            <w:vAlign w:val="bottom"/>
          </w:tcPr>
          <w:p>
            <w:pPr>
              <w:spacing w:after="0"/>
              <w:rPr>
                <w:sz w:val="11"/>
                <w:szCs w:val="11"/>
                <w:color w:val="auto"/>
              </w:rPr>
            </w:pPr>
          </w:p>
        </w:tc>
        <w:tc>
          <w:tcPr>
            <w:tcW w:w="8280" w:type="dxa"/>
            <w:vAlign w:val="bottom"/>
          </w:tcPr>
          <w:p>
            <w:pPr>
              <w:ind w:left="920"/>
              <w:spacing w:after="0" w:line="135" w:lineRule="exact"/>
              <w:rPr>
                <w:sz w:val="20"/>
                <w:szCs w:val="20"/>
                <w:color w:val="auto"/>
              </w:rPr>
            </w:pPr>
            <w:r>
              <w:rPr>
                <w:rFonts w:ascii="Arial" w:cs="Arial" w:eastAsia="Arial" w:hAnsi="Arial"/>
                <w:sz w:val="15"/>
                <w:szCs w:val="15"/>
                <w:color w:val="auto"/>
              </w:rPr>
              <w:t>equine mortality and other coverages for full-time operating farms/ranches and agribusiness operations</w:t>
            </w:r>
          </w:p>
        </w:tc>
      </w:tr>
      <w:tr>
        <w:trPr>
          <w:trHeight w:val="215"/>
        </w:trPr>
        <w:tc>
          <w:tcPr>
            <w:tcW w:w="2560" w:type="dxa"/>
            <w:vAlign w:val="bottom"/>
          </w:tcPr>
          <w:p>
            <w:pPr>
              <w:spacing w:after="0"/>
              <w:rPr>
                <w:sz w:val="18"/>
                <w:szCs w:val="18"/>
                <w:color w:val="auto"/>
              </w:rPr>
            </w:pPr>
          </w:p>
        </w:tc>
        <w:tc>
          <w:tcPr>
            <w:tcW w:w="8280" w:type="dxa"/>
            <w:vAlign w:val="bottom"/>
          </w:tcPr>
          <w:p>
            <w:pPr>
              <w:ind w:left="920"/>
              <w:spacing w:after="0"/>
              <w:rPr>
                <w:sz w:val="20"/>
                <w:szCs w:val="20"/>
                <w:color w:val="auto"/>
              </w:rPr>
            </w:pPr>
            <w:r>
              <w:rPr>
                <w:rFonts w:ascii="Arial" w:cs="Arial" w:eastAsia="Arial" w:hAnsi="Arial"/>
                <w:sz w:val="16"/>
                <w:szCs w:val="16"/>
                <w:color w:val="auto"/>
              </w:rPr>
              <w:t>on a nationwide basis.</w:t>
            </w:r>
          </w:p>
        </w:tc>
      </w:tr>
    </w:tbl>
    <w:p>
      <w:pPr>
        <w:spacing w:after="0" w:line="149" w:lineRule="exact"/>
        <w:rPr>
          <w:sz w:val="20"/>
          <w:szCs w:val="20"/>
          <w:color w:val="auto"/>
        </w:rPr>
      </w:pPr>
    </w:p>
    <w:p>
      <w:pPr>
        <w:sectPr>
          <w:pgSz w:w="11900" w:h="16838" w:orient="portrait"/>
          <w:cols w:equalWidth="0" w:num="1">
            <w:col w:w="11200"/>
          </w:cols>
          <w:pgMar w:left="320" w:top="115" w:right="379" w:bottom="1440" w:gutter="0" w:footer="0" w:header="0"/>
        </w:sectPr>
      </w:pP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00274E"/>
        </w:rPr>
        <w:t>Commercial Automobile</w:t>
      </w:r>
    </w:p>
    <w:p>
      <w:pPr>
        <w:spacing w:after="0" w:line="200" w:lineRule="exact"/>
        <w:rPr>
          <w:sz w:val="20"/>
          <w:szCs w:val="20"/>
          <w:color w:val="auto"/>
        </w:rPr>
      </w:pPr>
    </w:p>
    <w:p>
      <w:pPr>
        <w:spacing w:after="0" w:line="241" w:lineRule="exact"/>
        <w:rPr>
          <w:sz w:val="20"/>
          <w:szCs w:val="20"/>
          <w:color w:val="auto"/>
        </w:rPr>
      </w:pPr>
    </w:p>
    <w:p>
      <w:pPr>
        <w:ind w:left="520" w:hanging="161"/>
        <w:spacing w:after="0" w:line="296" w:lineRule="auto"/>
        <w:rPr>
          <w:sz w:val="20"/>
          <w:szCs w:val="20"/>
          <w:color w:val="auto"/>
        </w:rPr>
      </w:pPr>
      <w:r>
        <w:rPr>
          <w:rFonts w:ascii="Arial" w:cs="Arial" w:eastAsia="Arial" w:hAnsi="Arial"/>
          <w:sz w:val="18"/>
          <w:szCs w:val="18"/>
          <w:b w:val="1"/>
          <w:bCs w:val="1"/>
          <w:color w:val="00274E"/>
        </w:rPr>
        <w:t>Property, Inland Marine and Ocean Marine</w:t>
      </w:r>
    </w:p>
    <w:p>
      <w:pPr>
        <w:spacing w:after="0" w:line="20" w:lineRule="exact"/>
        <w:rPr>
          <w:sz w:val="20"/>
          <w:szCs w:val="20"/>
          <w:color w:val="auto"/>
        </w:rPr>
      </w:pPr>
      <w:r>
        <w:rPr>
          <w:sz w:val="20"/>
          <w:szCs w:val="20"/>
          <w:color w:val="auto"/>
        </w:rPr>
        <w:br w:type="column"/>
      </w:r>
    </w:p>
    <w:p>
      <w:pPr>
        <w:ind w:right="40"/>
        <w:spacing w:after="0" w:line="234" w:lineRule="auto"/>
        <w:rPr>
          <w:sz w:val="20"/>
          <w:szCs w:val="20"/>
          <w:color w:val="auto"/>
        </w:rPr>
      </w:pPr>
      <w:r>
        <w:rPr>
          <w:rFonts w:ascii="Arial" w:cs="Arial" w:eastAsia="Arial" w:hAnsi="Arial"/>
          <w:sz w:val="16"/>
          <w:szCs w:val="16"/>
          <w:color w:val="auto"/>
        </w:rPr>
        <w:t>Coverage for vehicles (such as buses and trucks) in a broad range of businesses including the moving and storage and transportation industries, alternative risk transfer programs, a specialized physical damage product for the trucking industry and other specialty transportation niches.</w:t>
      </w:r>
    </w:p>
    <w:p>
      <w:pPr>
        <w:spacing w:after="0" w:line="218"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Coverage primarily for commercial properties, builders’ risk, contractors’ equipment, property, motor truck cargo, marine cargo, boat dealers, marina operators and dealers and excursion vessels.</w:t>
      </w:r>
    </w:p>
    <w:p>
      <w:pPr>
        <w:spacing w:after="0" w:line="215" w:lineRule="exact"/>
        <w:rPr>
          <w:sz w:val="20"/>
          <w:szCs w:val="20"/>
          <w:color w:val="auto"/>
        </w:rPr>
      </w:pPr>
    </w:p>
    <w:p>
      <w:pPr>
        <w:sectPr>
          <w:pgSz w:w="11900" w:h="16838" w:orient="portrait"/>
          <w:cols w:equalWidth="0" w:num="2">
            <w:col w:w="3300" w:space="540"/>
            <w:col w:w="7360"/>
          </w:cols>
          <w:pgMar w:left="320" w:top="115" w:right="379" w:bottom="1440" w:gutter="0" w:footer="0" w:header="0"/>
          <w:type w:val="continuous"/>
        </w:sectPr>
      </w:pPr>
    </w:p>
    <w:p>
      <w:pPr>
        <w:ind w:left="20"/>
        <w:spacing w:after="0"/>
        <w:rPr>
          <w:sz w:val="20"/>
          <w:szCs w:val="20"/>
          <w:color w:val="auto"/>
        </w:rPr>
      </w:pPr>
      <w:r>
        <w:rPr>
          <w:rFonts w:ascii="Arial" w:cs="Arial" w:eastAsia="Arial" w:hAnsi="Arial"/>
          <w:sz w:val="20"/>
          <w:szCs w:val="20"/>
          <w:b w:val="1"/>
          <w:bCs w:val="1"/>
          <w:i w:val="1"/>
          <w:iCs w:val="1"/>
          <w:color w:val="00274E"/>
        </w:rPr>
        <w:t>Specialty Casualty</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00274E"/>
        </w:rPr>
        <w:t>Excess and Surplus</w:t>
      </w:r>
    </w:p>
    <w:p>
      <w:pPr>
        <w:spacing w:after="0" w:line="320"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00274E"/>
        </w:rPr>
        <w:t>Executive and Professional Liability</w:t>
      </w:r>
    </w:p>
    <w:p>
      <w:pPr>
        <w:spacing w:after="0" w:line="33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00274E"/>
        </w:rPr>
        <w:t>General Liability</w:t>
      </w:r>
    </w:p>
    <w:p>
      <w:pPr>
        <w:spacing w:after="0" w:line="32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00274E"/>
        </w:rPr>
        <w:t>Targeted Programs</w:t>
      </w:r>
    </w:p>
    <w:p>
      <w:pPr>
        <w:spacing w:after="0" w:line="200" w:lineRule="exact"/>
        <w:rPr>
          <w:sz w:val="20"/>
          <w:szCs w:val="20"/>
          <w:color w:val="auto"/>
        </w:rPr>
      </w:pPr>
    </w:p>
    <w:p>
      <w:pPr>
        <w:spacing w:after="0" w:line="28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00274E"/>
        </w:rPr>
        <w:t>Umbrella and Excess Liability</w:t>
      </w:r>
    </w:p>
    <w:p>
      <w:pPr>
        <w:spacing w:after="0" w:line="21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00274E"/>
        </w:rPr>
        <w:t>Workers’ Compensation</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ind w:right="420"/>
        <w:spacing w:after="0" w:line="251" w:lineRule="auto"/>
        <w:rPr>
          <w:sz w:val="20"/>
          <w:szCs w:val="20"/>
          <w:color w:val="auto"/>
        </w:rPr>
      </w:pPr>
      <w:r>
        <w:rPr>
          <w:rFonts w:ascii="Arial" w:cs="Arial" w:eastAsia="Arial" w:hAnsi="Arial"/>
          <w:sz w:val="16"/>
          <w:szCs w:val="16"/>
          <w:color w:val="auto"/>
        </w:rPr>
        <w:t>Liability, umbrella and excess coverage for unique, volatile or hard-to-place risks, using rates and forms that generally do not have to be approved by state insurance regulators.</w:t>
      </w:r>
    </w:p>
    <w:p>
      <w:pPr>
        <w:spacing w:after="0" w:line="142"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Coverage for directors and officers of businesses and non-profit organizations, errors and omissions, cyber, and mergers and acquisitions.</w:t>
      </w:r>
    </w:p>
    <w:p>
      <w:pPr>
        <w:spacing w:after="0" w:line="142" w:lineRule="exact"/>
        <w:rPr>
          <w:sz w:val="20"/>
          <w:szCs w:val="20"/>
          <w:color w:val="auto"/>
        </w:rPr>
      </w:pPr>
    </w:p>
    <w:p>
      <w:pPr>
        <w:ind w:right="840"/>
        <w:spacing w:after="0" w:line="251" w:lineRule="auto"/>
        <w:rPr>
          <w:sz w:val="20"/>
          <w:szCs w:val="20"/>
          <w:color w:val="auto"/>
        </w:rPr>
      </w:pPr>
      <w:r>
        <w:rPr>
          <w:rFonts w:ascii="Arial" w:cs="Arial" w:eastAsia="Arial" w:hAnsi="Arial"/>
          <w:sz w:val="16"/>
          <w:szCs w:val="16"/>
          <w:color w:val="auto"/>
        </w:rPr>
        <w:t>Coverage for contractor-related businesses, energy development and production risks, and environmental liability risks.</w:t>
      </w:r>
    </w:p>
    <w:p>
      <w:pPr>
        <w:spacing w:after="0" w:line="142" w:lineRule="exact"/>
        <w:rPr>
          <w:sz w:val="20"/>
          <w:szCs w:val="20"/>
          <w:color w:val="auto"/>
        </w:rPr>
      </w:pPr>
    </w:p>
    <w:p>
      <w:pPr>
        <w:ind w:right="140"/>
        <w:spacing w:after="0" w:line="234" w:lineRule="auto"/>
        <w:rPr>
          <w:sz w:val="20"/>
          <w:szCs w:val="20"/>
          <w:color w:val="auto"/>
        </w:rPr>
      </w:pPr>
      <w:r>
        <w:rPr>
          <w:rFonts w:ascii="Arial" w:cs="Arial" w:eastAsia="Arial" w:hAnsi="Arial"/>
          <w:sz w:val="16"/>
          <w:szCs w:val="16"/>
          <w:color w:val="auto"/>
        </w:rPr>
        <w:t>Coverage (primarily liability and property) for social service agencies, leisure, entertainment and non-profit organizations, customized solutions for other targeted markets and alternative risk programs using agency captives.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Coverage in excess of primary layers.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Coverage for prescribed benefits payable to employees who are injured on the job.</w:t>
      </w:r>
    </w:p>
    <w:p>
      <w:pPr>
        <w:spacing w:after="0" w:line="231" w:lineRule="exact"/>
        <w:rPr>
          <w:sz w:val="20"/>
          <w:szCs w:val="20"/>
          <w:color w:val="auto"/>
        </w:rPr>
      </w:pPr>
    </w:p>
    <w:p>
      <w:pPr>
        <w:sectPr>
          <w:pgSz w:w="11900" w:h="16838" w:orient="portrait"/>
          <w:cols w:equalWidth="0" w:num="2">
            <w:col w:w="3420" w:space="420"/>
            <w:col w:w="7360"/>
          </w:cols>
          <w:pgMar w:left="320" w:top="115" w:right="379" w:bottom="1440" w:gutter="0" w:footer="0" w:header="0"/>
          <w:type w:val="continuous"/>
        </w:sectPr>
      </w:pPr>
    </w:p>
    <w:p>
      <w:pPr>
        <w:spacing w:after="0" w:line="76" w:lineRule="exact"/>
        <w:rPr>
          <w:sz w:val="20"/>
          <w:szCs w:val="20"/>
          <w:color w:val="auto"/>
        </w:rPr>
      </w:pPr>
    </w:p>
    <w:p>
      <w:pPr>
        <w:ind w:left="20"/>
        <w:spacing w:after="0"/>
        <w:rPr>
          <w:sz w:val="20"/>
          <w:szCs w:val="20"/>
          <w:color w:val="auto"/>
        </w:rPr>
      </w:pPr>
      <w:r>
        <w:rPr>
          <w:rFonts w:ascii="Arial" w:cs="Arial" w:eastAsia="Arial" w:hAnsi="Arial"/>
          <w:sz w:val="20"/>
          <w:szCs w:val="20"/>
          <w:b w:val="1"/>
          <w:bCs w:val="1"/>
          <w:i w:val="1"/>
          <w:iCs w:val="1"/>
          <w:color w:val="00274E"/>
        </w:rPr>
        <w:t>Specialty Financial</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00274E"/>
        </w:rPr>
        <w:t>Fidelity and Surety</w:t>
      </w:r>
    </w:p>
    <w:p>
      <w:pPr>
        <w:spacing w:after="0" w:line="320" w:lineRule="exact"/>
        <w:rPr>
          <w:sz w:val="20"/>
          <w:szCs w:val="20"/>
          <w:color w:val="auto"/>
        </w:rPr>
      </w:pPr>
    </w:p>
    <w:p>
      <w:pPr>
        <w:jc w:val="right"/>
        <w:ind w:right="620"/>
        <w:spacing w:after="0"/>
        <w:rPr>
          <w:sz w:val="20"/>
          <w:szCs w:val="20"/>
          <w:color w:val="auto"/>
        </w:rPr>
      </w:pPr>
      <w:r>
        <w:rPr>
          <w:rFonts w:ascii="Arial" w:cs="Arial" w:eastAsia="Arial" w:hAnsi="Arial"/>
          <w:sz w:val="18"/>
          <w:szCs w:val="18"/>
          <w:b w:val="1"/>
          <w:bCs w:val="1"/>
          <w:color w:val="00274E"/>
        </w:rPr>
        <w:t>Lease and Loan Services</w:t>
      </w:r>
    </w:p>
    <w:p>
      <w:pPr>
        <w:spacing w:after="0" w:line="32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00274E"/>
        </w:rPr>
        <w:t>Trade Credit</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Fidelity and crime coverage for government, mercantile and financial institutions and surety coverage for various types of contractors and public and private corporations.</w:t>
      </w:r>
    </w:p>
    <w:p>
      <w:pPr>
        <w:spacing w:after="0" w:line="142" w:lineRule="exact"/>
        <w:rPr>
          <w:sz w:val="20"/>
          <w:szCs w:val="20"/>
          <w:color w:val="auto"/>
        </w:rPr>
      </w:pPr>
    </w:p>
    <w:p>
      <w:pPr>
        <w:ind w:right="460"/>
        <w:spacing w:after="0" w:line="251" w:lineRule="auto"/>
        <w:rPr>
          <w:sz w:val="20"/>
          <w:szCs w:val="20"/>
          <w:color w:val="auto"/>
        </w:rPr>
      </w:pPr>
      <w:r>
        <w:rPr>
          <w:rFonts w:ascii="Arial" w:cs="Arial" w:eastAsia="Arial" w:hAnsi="Arial"/>
          <w:sz w:val="16"/>
          <w:szCs w:val="16"/>
          <w:color w:val="auto"/>
        </w:rPr>
        <w:t>Coverage for insurance risk management programs for lending and leasing institutions, including equipment leasing and collateral and lender-placed mortgage property insurance.</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Export and domestic trade credit insurance products for global trade and related financing activities.</w:t>
      </w:r>
    </w:p>
    <w:p>
      <w:pPr>
        <w:spacing w:after="0" w:line="231" w:lineRule="exact"/>
        <w:rPr>
          <w:sz w:val="20"/>
          <w:szCs w:val="20"/>
          <w:color w:val="auto"/>
        </w:rPr>
      </w:pPr>
    </w:p>
    <w:p>
      <w:pPr>
        <w:sectPr>
          <w:pgSz w:w="11900" w:h="16838" w:orient="portrait"/>
          <w:cols w:equalWidth="0" w:num="2">
            <w:col w:w="3120" w:space="720"/>
            <w:col w:w="7360"/>
          </w:cols>
          <w:pgMar w:left="320" w:top="115" w:right="379" w:bottom="1440" w:gutter="0" w:footer="0" w:header="0"/>
          <w:type w:val="continuous"/>
        </w:sectPr>
      </w:pPr>
    </w:p>
    <w:p>
      <w:pPr>
        <w:spacing w:after="0" w:line="157" w:lineRule="exact"/>
        <w:rPr>
          <w:sz w:val="20"/>
          <w:szCs w:val="20"/>
          <w:color w:val="auto"/>
        </w:rPr>
      </w:pPr>
    </w:p>
    <w:p>
      <w:pPr>
        <w:ind w:right="300"/>
        <w:spacing w:after="0" w:line="266" w:lineRule="auto"/>
        <w:rPr>
          <w:sz w:val="20"/>
          <w:szCs w:val="20"/>
          <w:color w:val="auto"/>
        </w:rPr>
      </w:pPr>
      <w:r>
        <w:rPr>
          <w:rFonts w:ascii="Arial" w:cs="Arial" w:eastAsia="Arial" w:hAnsi="Arial"/>
          <w:sz w:val="17"/>
          <w:szCs w:val="17"/>
          <w:color w:val="auto"/>
        </w:rPr>
        <w:t>Management believes specialization is the key element to the underwriting success of these business units. These specialty businesses are opportunistic and premium volume will vary based on prevailing market conditions. AFG continually evaluates expansion in existing markets and opportunities in new specialty markets that meet its profitability objectives. Likewise, AFG will withdraw from markets that do not meet its profit objectives or business strategy.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274E"/>
        </w:rPr>
        <w:t>2023 SPECIALTY PROPERTY AND CASUALTY BY SUB-SEGMENT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124460</wp:posOffset>
            </wp:positionV>
            <wp:extent cx="5854700" cy="4114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54700"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600" w:hanging="392"/>
        <w:spacing w:after="0"/>
        <w:tabs>
          <w:tab w:leader="none" w:pos="1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Excludes underwriting profits and losses recorded outside of AFG’s Specialty property and casualty group.</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Premium Distribution</w:t>
      </w:r>
    </w:p>
    <w:p>
      <w:pPr>
        <w:spacing w:after="0" w:line="17"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The following table shows the net written premiums by sub-segment for AFG’s property and casualty insurance operations for 2023, 2022 and 2021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4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2022</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2021</w:t>
            </w:r>
          </w:p>
        </w:tc>
      </w:tr>
      <w:tr>
        <w:trPr>
          <w:trHeight w:val="213"/>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2,515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2,157</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2,944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2,728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2,540</w:t>
            </w: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711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658</w:t>
            </w:r>
          </w:p>
        </w:tc>
      </w:tr>
      <w:tr>
        <w:trPr>
          <w:trHeight w:val="215"/>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specialty (*)</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252</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218</w:t>
            </w:r>
          </w:p>
        </w:tc>
      </w:tr>
      <w:tr>
        <w:trPr>
          <w:trHeight w:val="235"/>
        </w:trPr>
        <w:tc>
          <w:tcPr>
            <w:tcW w:w="74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6,692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6,206</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5,573</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420" w:right="60" w:hanging="412"/>
        <w:spacing w:after="0" w:line="284" w:lineRule="auto"/>
        <w:tabs>
          <w:tab w:leader="none" w:pos="411" w:val="left"/>
        </w:tabs>
        <w:numPr>
          <w:ilvl w:val="0"/>
          <w:numId w:val="7"/>
        </w:numPr>
        <w:rPr>
          <w:rFonts w:ascii="Arial" w:cs="Arial" w:eastAsia="Arial" w:hAnsi="Arial"/>
          <w:sz w:val="17"/>
          <w:szCs w:val="17"/>
          <w:color w:val="auto"/>
        </w:rPr>
      </w:pPr>
      <w:r>
        <w:rPr>
          <w:rFonts w:ascii="Arial" w:cs="Arial" w:eastAsia="Arial" w:hAnsi="Arial"/>
          <w:sz w:val="17"/>
          <w:szCs w:val="17"/>
          <w:color w:val="auto"/>
        </w:rPr>
        <w:t>Premiums assumed by AFG’s internal reinsurance program from the operations that make up AFG’s Specialty property and casualty insurance sub-segments.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color w:val="auto"/>
        </w:rPr>
        <w:t>The geographic distribution of statutory direct written premiums by AFG’s U.S.-based insurers for 2023, 2022 and 2021 is shown below.</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Approximately 2% of AFG’s direct written premiums in 2023 were derived from non U.S.-based insurers.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2023</w:t>
            </w: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2022</w:t>
            </w: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2021</w:t>
            </w:r>
          </w:p>
        </w:tc>
        <w:tc>
          <w:tcPr>
            <w:tcW w:w="30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2022</w:t>
            </w:r>
          </w:p>
        </w:tc>
        <w:tc>
          <w:tcPr>
            <w:tcW w:w="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2021</w:t>
            </w:r>
          </w:p>
        </w:tc>
      </w:tr>
      <w:tr>
        <w:trPr>
          <w:trHeight w:val="213"/>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California</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12.6 %</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12.7 %</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13.0 %</w:t>
            </w:r>
          </w:p>
        </w:tc>
        <w:tc>
          <w:tcPr>
            <w:tcW w:w="3060" w:type="dxa"/>
            <w:vAlign w:val="bottom"/>
            <w:shd w:val="clear" w:color="auto" w:fill="CCEEFF"/>
          </w:tcPr>
          <w:p>
            <w:pPr>
              <w:ind w:left="920"/>
              <w:spacing w:after="0"/>
              <w:rPr>
                <w:sz w:val="20"/>
                <w:szCs w:val="20"/>
                <w:color w:val="auto"/>
              </w:rPr>
            </w:pPr>
            <w:r>
              <w:rPr>
                <w:rFonts w:ascii="Arial" w:cs="Arial" w:eastAsia="Arial" w:hAnsi="Arial"/>
                <w:sz w:val="16"/>
                <w:szCs w:val="16"/>
                <w:color w:val="auto"/>
              </w:rPr>
              <w:t>New Jersey</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w:t>
            </w:r>
          </w:p>
        </w:tc>
      </w:tr>
      <w:tr>
        <w:trPr>
          <w:trHeight w:val="215"/>
        </w:trPr>
        <w:tc>
          <w:tcPr>
            <w:tcW w:w="2040" w:type="dxa"/>
            <w:vAlign w:val="bottom"/>
          </w:tcPr>
          <w:p>
            <w:pPr>
              <w:ind w:left="20"/>
              <w:spacing w:after="0"/>
              <w:rPr>
                <w:sz w:val="20"/>
                <w:szCs w:val="20"/>
                <w:color w:val="auto"/>
              </w:rPr>
            </w:pPr>
            <w:r>
              <w:rPr>
                <w:rFonts w:ascii="Arial" w:cs="Arial" w:eastAsia="Arial" w:hAnsi="Arial"/>
                <w:sz w:val="16"/>
                <w:szCs w:val="16"/>
                <w:color w:val="auto"/>
              </w:rPr>
              <w:t>Florida</w:t>
            </w:r>
          </w:p>
        </w:tc>
        <w:tc>
          <w:tcPr>
            <w:tcW w:w="960" w:type="dxa"/>
            <w:vAlign w:val="bottom"/>
          </w:tcPr>
          <w:p>
            <w:pPr>
              <w:jc w:val="right"/>
              <w:spacing w:after="0"/>
              <w:rPr>
                <w:sz w:val="20"/>
                <w:szCs w:val="20"/>
                <w:color w:val="auto"/>
              </w:rPr>
            </w:pPr>
            <w:r>
              <w:rPr>
                <w:rFonts w:ascii="Arial" w:cs="Arial" w:eastAsia="Arial" w:hAnsi="Arial"/>
                <w:sz w:val="16"/>
                <w:szCs w:val="16"/>
                <w:color w:val="auto"/>
              </w:rPr>
              <w:t>8.9 %</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8.2 %</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8.7 %</w:t>
            </w:r>
          </w:p>
        </w:tc>
        <w:tc>
          <w:tcPr>
            <w:tcW w:w="3060" w:type="dxa"/>
            <w:vAlign w:val="bottom"/>
          </w:tcPr>
          <w:p>
            <w:pPr>
              <w:ind w:left="920"/>
              <w:spacing w:after="0"/>
              <w:rPr>
                <w:sz w:val="20"/>
                <w:szCs w:val="20"/>
                <w:color w:val="auto"/>
              </w:rPr>
            </w:pPr>
            <w:r>
              <w:rPr>
                <w:rFonts w:ascii="Arial" w:cs="Arial" w:eastAsia="Arial" w:hAnsi="Arial"/>
                <w:sz w:val="16"/>
                <w:szCs w:val="16"/>
                <w:color w:val="auto"/>
              </w:rPr>
              <w:t>Iowa</w:t>
            </w:r>
          </w:p>
        </w:tc>
        <w:tc>
          <w:tcPr>
            <w:tcW w:w="960" w:type="dxa"/>
            <w:vAlign w:val="bottom"/>
          </w:tcPr>
          <w:p>
            <w:pPr>
              <w:jc w:val="right"/>
              <w:spacing w:after="0"/>
              <w:rPr>
                <w:sz w:val="20"/>
                <w:szCs w:val="20"/>
                <w:color w:val="auto"/>
              </w:rPr>
            </w:pPr>
            <w:r>
              <w:rPr>
                <w:rFonts w:ascii="Arial" w:cs="Arial" w:eastAsia="Arial" w:hAnsi="Arial"/>
                <w:sz w:val="16"/>
                <w:szCs w:val="16"/>
                <w:color w:val="auto"/>
              </w:rPr>
              <w:t>2.5 %</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2.7 %</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2.4 %</w:t>
            </w:r>
          </w:p>
        </w:tc>
      </w:tr>
      <w:tr>
        <w:trPr>
          <w:trHeight w:val="217"/>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Texas</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7.5 %</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7.0 %</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6.6 %</w:t>
            </w:r>
          </w:p>
        </w:tc>
        <w:tc>
          <w:tcPr>
            <w:tcW w:w="3060" w:type="dxa"/>
            <w:vAlign w:val="bottom"/>
            <w:shd w:val="clear" w:color="auto" w:fill="CCEEFF"/>
          </w:tcPr>
          <w:p>
            <w:pPr>
              <w:ind w:left="920"/>
              <w:spacing w:after="0"/>
              <w:rPr>
                <w:sz w:val="20"/>
                <w:szCs w:val="20"/>
                <w:color w:val="auto"/>
              </w:rPr>
            </w:pPr>
            <w:r>
              <w:rPr>
                <w:rFonts w:ascii="Arial" w:cs="Arial" w:eastAsia="Arial" w:hAnsi="Arial"/>
                <w:sz w:val="16"/>
                <w:szCs w:val="16"/>
                <w:color w:val="auto"/>
              </w:rPr>
              <w:t>Michigan</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w:t>
            </w:r>
          </w:p>
        </w:tc>
      </w:tr>
      <w:tr>
        <w:trPr>
          <w:trHeight w:val="215"/>
        </w:trPr>
        <w:tc>
          <w:tcPr>
            <w:tcW w:w="2040" w:type="dxa"/>
            <w:vAlign w:val="bottom"/>
          </w:tcPr>
          <w:p>
            <w:pPr>
              <w:ind w:left="20"/>
              <w:spacing w:after="0"/>
              <w:rPr>
                <w:sz w:val="20"/>
                <w:szCs w:val="20"/>
                <w:color w:val="auto"/>
              </w:rPr>
            </w:pPr>
            <w:r>
              <w:rPr>
                <w:rFonts w:ascii="Arial" w:cs="Arial" w:eastAsia="Arial" w:hAnsi="Arial"/>
                <w:sz w:val="16"/>
                <w:szCs w:val="16"/>
                <w:color w:val="auto"/>
              </w:rPr>
              <w:t>New York</w:t>
            </w:r>
          </w:p>
        </w:tc>
        <w:tc>
          <w:tcPr>
            <w:tcW w:w="960" w:type="dxa"/>
            <w:vAlign w:val="bottom"/>
          </w:tcPr>
          <w:p>
            <w:pPr>
              <w:jc w:val="right"/>
              <w:spacing w:after="0"/>
              <w:rPr>
                <w:sz w:val="20"/>
                <w:szCs w:val="20"/>
                <w:color w:val="auto"/>
              </w:rPr>
            </w:pPr>
            <w:r>
              <w:rPr>
                <w:rFonts w:ascii="Arial" w:cs="Arial" w:eastAsia="Arial" w:hAnsi="Arial"/>
                <w:sz w:val="16"/>
                <w:szCs w:val="16"/>
                <w:color w:val="auto"/>
              </w:rPr>
              <w:t>5.8 %</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5.9 %</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6.8 %</w:t>
            </w:r>
          </w:p>
        </w:tc>
        <w:tc>
          <w:tcPr>
            <w:tcW w:w="3060" w:type="dxa"/>
            <w:vAlign w:val="bottom"/>
          </w:tcPr>
          <w:p>
            <w:pPr>
              <w:ind w:left="920"/>
              <w:spacing w:after="0"/>
              <w:rPr>
                <w:sz w:val="20"/>
                <w:szCs w:val="20"/>
                <w:color w:val="auto"/>
              </w:rPr>
            </w:pPr>
            <w:r>
              <w:rPr>
                <w:rFonts w:ascii="Arial" w:cs="Arial" w:eastAsia="Arial" w:hAnsi="Arial"/>
                <w:sz w:val="16"/>
                <w:szCs w:val="16"/>
                <w:color w:val="auto"/>
              </w:rPr>
              <w:t>Pennsylvania</w:t>
            </w:r>
          </w:p>
        </w:tc>
        <w:tc>
          <w:tcPr>
            <w:tcW w:w="960" w:type="dxa"/>
            <w:vAlign w:val="bottom"/>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2.2 %</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2.5 %</w:t>
            </w:r>
          </w:p>
        </w:tc>
      </w:tr>
      <w:tr>
        <w:trPr>
          <w:trHeight w:val="217"/>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Illinois</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5.4 %</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6.2 %</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6.2 %</w:t>
            </w:r>
          </w:p>
        </w:tc>
        <w:tc>
          <w:tcPr>
            <w:tcW w:w="3060" w:type="dxa"/>
            <w:vAlign w:val="bottom"/>
            <w:shd w:val="clear" w:color="auto" w:fill="CCEEFF"/>
          </w:tcPr>
          <w:p>
            <w:pPr>
              <w:ind w:left="920"/>
              <w:spacing w:after="0"/>
              <w:rPr>
                <w:sz w:val="20"/>
                <w:szCs w:val="20"/>
                <w:color w:val="auto"/>
              </w:rPr>
            </w:pPr>
            <w:r>
              <w:rPr>
                <w:rFonts w:ascii="Arial" w:cs="Arial" w:eastAsia="Arial" w:hAnsi="Arial"/>
                <w:sz w:val="16"/>
                <w:szCs w:val="16"/>
                <w:color w:val="auto"/>
              </w:rPr>
              <w:t>North Carolina</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r>
      <w:tr>
        <w:trPr>
          <w:trHeight w:val="215"/>
        </w:trPr>
        <w:tc>
          <w:tcPr>
            <w:tcW w:w="2040" w:type="dxa"/>
            <w:vAlign w:val="bottom"/>
          </w:tcPr>
          <w:p>
            <w:pPr>
              <w:ind w:left="20"/>
              <w:spacing w:after="0"/>
              <w:rPr>
                <w:sz w:val="20"/>
                <w:szCs w:val="20"/>
                <w:color w:val="auto"/>
              </w:rPr>
            </w:pPr>
            <w:r>
              <w:rPr>
                <w:rFonts w:ascii="Arial" w:cs="Arial" w:eastAsia="Arial" w:hAnsi="Arial"/>
                <w:sz w:val="16"/>
                <w:szCs w:val="16"/>
                <w:color w:val="auto"/>
              </w:rPr>
              <w:t>Georgia</w:t>
            </w:r>
          </w:p>
        </w:tc>
        <w:tc>
          <w:tcPr>
            <w:tcW w:w="960" w:type="dxa"/>
            <w:vAlign w:val="bottom"/>
          </w:tcPr>
          <w:p>
            <w:pPr>
              <w:jc w:val="right"/>
              <w:spacing w:after="0"/>
              <w:rPr>
                <w:sz w:val="20"/>
                <w:szCs w:val="20"/>
                <w:color w:val="auto"/>
              </w:rPr>
            </w:pPr>
            <w:r>
              <w:rPr>
                <w:rFonts w:ascii="Arial" w:cs="Arial" w:eastAsia="Arial" w:hAnsi="Arial"/>
                <w:sz w:val="16"/>
                <w:szCs w:val="16"/>
                <w:color w:val="auto"/>
              </w:rPr>
              <w:t>3.4 %</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3.2 %</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3.3 %</w:t>
            </w:r>
          </w:p>
        </w:tc>
        <w:tc>
          <w:tcPr>
            <w:tcW w:w="3060" w:type="dxa"/>
            <w:vAlign w:val="bottom"/>
          </w:tcPr>
          <w:p>
            <w:pPr>
              <w:ind w:left="920"/>
              <w:spacing w:after="0"/>
              <w:rPr>
                <w:sz w:val="20"/>
                <w:szCs w:val="20"/>
                <w:color w:val="auto"/>
              </w:rPr>
            </w:pPr>
            <w:r>
              <w:rPr>
                <w:rFonts w:ascii="Arial" w:cs="Arial" w:eastAsia="Arial" w:hAnsi="Arial"/>
                <w:sz w:val="16"/>
                <w:szCs w:val="16"/>
                <w:color w:val="auto"/>
              </w:rPr>
              <w:t>Ohio</w:t>
            </w:r>
          </w:p>
        </w:tc>
        <w:tc>
          <w:tcPr>
            <w:tcW w:w="960" w:type="dxa"/>
            <w:vAlign w:val="bottom"/>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2.2 %</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2.2 %</w:t>
            </w:r>
          </w:p>
        </w:tc>
      </w:tr>
      <w:tr>
        <w:trPr>
          <w:trHeight w:val="216"/>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Missouri</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3060" w:type="dxa"/>
            <w:vAlign w:val="bottom"/>
            <w:shd w:val="clear" w:color="auto" w:fill="CCEEFF"/>
          </w:tcPr>
          <w:p>
            <w:pPr>
              <w:ind w:left="920"/>
              <w:spacing w:after="0"/>
              <w:rPr>
                <w:sz w:val="20"/>
                <w:szCs w:val="20"/>
                <w:color w:val="auto"/>
              </w:rPr>
            </w:pPr>
            <w:r>
              <w:rPr>
                <w:rFonts w:ascii="Arial" w:cs="Arial" w:eastAsia="Arial" w:hAnsi="Arial"/>
                <w:sz w:val="16"/>
                <w:szCs w:val="16"/>
                <w:color w:val="auto"/>
              </w:rPr>
              <w:t>Other</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34.6 %</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34.5 %</w:t>
            </w:r>
          </w:p>
        </w:tc>
        <w:tc>
          <w:tcPr>
            <w:tcW w:w="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33.9 %</w:t>
            </w:r>
          </w:p>
        </w:tc>
      </w:tr>
      <w:tr>
        <w:trPr>
          <w:trHeight w:val="210"/>
        </w:trPr>
        <w:tc>
          <w:tcPr>
            <w:tcW w:w="2040" w:type="dxa"/>
            <w:vAlign w:val="bottom"/>
          </w:tcPr>
          <w:p>
            <w:pPr>
              <w:ind w:left="20"/>
              <w:spacing w:after="0"/>
              <w:rPr>
                <w:sz w:val="20"/>
                <w:szCs w:val="20"/>
                <w:color w:val="auto"/>
              </w:rPr>
            </w:pPr>
            <w:r>
              <w:rPr>
                <w:rFonts w:ascii="Arial" w:cs="Arial" w:eastAsia="Arial" w:hAnsi="Arial"/>
                <w:sz w:val="16"/>
                <w:szCs w:val="16"/>
                <w:color w:val="auto"/>
              </w:rPr>
              <w:t>Indiana</w:t>
            </w:r>
          </w:p>
        </w:tc>
        <w:tc>
          <w:tcPr>
            <w:tcW w:w="960" w:type="dxa"/>
            <w:vAlign w:val="bottom"/>
          </w:tcPr>
          <w:p>
            <w:pPr>
              <w:jc w:val="right"/>
              <w:spacing w:after="0"/>
              <w:rPr>
                <w:sz w:val="20"/>
                <w:szCs w:val="20"/>
                <w:color w:val="auto"/>
              </w:rPr>
            </w:pPr>
            <w:r>
              <w:rPr>
                <w:rFonts w:ascii="Arial" w:cs="Arial" w:eastAsia="Arial" w:hAnsi="Arial"/>
                <w:sz w:val="16"/>
                <w:szCs w:val="16"/>
                <w:color w:val="auto"/>
              </w:rPr>
              <w:t>2.6 %</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2.7 %</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2.6 %</w:t>
            </w:r>
          </w:p>
        </w:tc>
        <w:tc>
          <w:tcPr>
            <w:tcW w:w="30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20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2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Kansas</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30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bl>
    <w:p>
      <w:pPr>
        <w:spacing w:after="0" w:line="39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274E"/>
        </w:rPr>
        <w:t>2023 STATUTORY DIRECT WRITTEN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30480</wp:posOffset>
            </wp:positionV>
            <wp:extent cx="5863590" cy="39858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63590" cy="3985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Reinsurance</w:t>
      </w:r>
    </w:p>
    <w:p>
      <w:pPr>
        <w:spacing w:after="0" w:line="30"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Consistent with standard practice of most insurance companies, AFG reinsures a portion of its property and casualty business with other insurance companies and assumes a relatively small amount of business from other insurers. AFG uses reinsurance for two primary purposes: (i) to provide higher limits of coverage than it would otherwise be willing to provide (i.e. large line capacity) and (ii) to protect its business by reducing the impact of catastrophes. The availability and cost of reinsurance are subject to prevailing market conditions, which may affect the volume and profitability of business that is written. AFG is subject to credit risk with respect to its reinsurers, as the ceding of risk to reinsurers does not relieve AFG of its liability to its insureds until claims are fully settled.</w:t>
      </w:r>
    </w:p>
    <w:p>
      <w:pPr>
        <w:spacing w:after="0" w:line="209"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Reinsurance is provided on either a facultative or treaty basis. Facultative reinsurance is generally provided on a risk-by-risk basis. Individual risks are ceded and assumed based on an offer and acceptance of risk by each party to the transaction. AFG purchases facultative reinsurance, both pro rata and excess of loss, depending on the risk and available</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color w:val="auto"/>
        </w:rPr>
        <w:t>reinsurance markets. Treaty reinsurance provides for risks meeting prescribed criteria to be automatically ceded and assumed according to contract provisions.</w:t>
      </w:r>
    </w:p>
    <w:p>
      <w:pPr>
        <w:spacing w:after="0" w:line="185"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i w:val="1"/>
          <w:iCs w:val="1"/>
          <w:color w:val="auto"/>
        </w:rPr>
        <w:t xml:space="preserve">Catastrophe Reinsurance </w:t>
      </w:r>
      <w:r>
        <w:rPr>
          <w:rFonts w:ascii="Arial" w:cs="Arial" w:eastAsia="Arial" w:hAnsi="Arial"/>
          <w:sz w:val="17"/>
          <w:szCs w:val="17"/>
          <w:color w:val="auto"/>
        </w:rPr>
        <w:t>AFG has taken steps to limit its exposure to wind and earthquake losses through individual risk selection,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minimizing coastal and known fault-line exposures, and purchasing catastrophe reinsurance. In addition, AFG purchases catastrophe reinsurance for its workers’ compensation businesses. Although the cost of catastrophe reinsurance varies depending on exposure and the level of worldwide loss activity, AFG continues to obtain reinsurance coverage in adequate amounts at acceptable rates.</w:t>
      </w:r>
    </w:p>
    <w:p>
      <w:pPr>
        <w:spacing w:after="0" w:line="200"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In January 2024, AFG’s property and casualty insurance subsidiaries renewed their catastrophe reinsurance coverages. For AFG’s U.S.-based operations, the Company placed $55 million of coverage in excess of a $70 million per event primary retention in the traditional reinsurance markets.</w:t>
      </w:r>
    </w:p>
    <w:p>
      <w:pPr>
        <w:spacing w:after="0" w:line="199" w:lineRule="exact"/>
        <w:rPr>
          <w:sz w:val="20"/>
          <w:szCs w:val="20"/>
          <w:color w:val="auto"/>
        </w:rPr>
      </w:pPr>
    </w:p>
    <w:p>
      <w:pPr>
        <w:ind w:right="260"/>
        <w:spacing w:after="0" w:line="284" w:lineRule="auto"/>
        <w:rPr>
          <w:sz w:val="20"/>
          <w:szCs w:val="20"/>
          <w:color w:val="auto"/>
        </w:rPr>
      </w:pPr>
      <w:r>
        <w:rPr>
          <w:rFonts w:ascii="Arial" w:cs="Arial" w:eastAsia="Arial" w:hAnsi="Arial"/>
          <w:sz w:val="17"/>
          <w:szCs w:val="17"/>
          <w:color w:val="auto"/>
        </w:rPr>
        <w:t>In addition to traditional reinsurance, AFG has catastrophe coverage through a catastrophe bond structure with Riverfront Re Ltd., which provides coverage of up to 94% of $323 million for catastrophe losses in excess of $127 million through December 31, 2024.</w:t>
      </w:r>
    </w:p>
    <w:p>
      <w:pPr>
        <w:spacing w:after="0" w:line="185" w:lineRule="exact"/>
        <w:rPr>
          <w:sz w:val="20"/>
          <w:szCs w:val="20"/>
          <w:color w:val="auto"/>
        </w:rPr>
      </w:pPr>
    </w:p>
    <w:p>
      <w:pPr>
        <w:ind w:right="180"/>
        <w:spacing w:after="0" w:line="260" w:lineRule="auto"/>
        <w:rPr>
          <w:sz w:val="20"/>
          <w:szCs w:val="20"/>
          <w:color w:val="auto"/>
        </w:rPr>
      </w:pPr>
      <w:r>
        <w:rPr>
          <w:rFonts w:ascii="Arial" w:cs="Arial" w:eastAsia="Arial" w:hAnsi="Arial"/>
          <w:sz w:val="17"/>
          <w:szCs w:val="17"/>
          <w:color w:val="auto"/>
        </w:rPr>
        <w:t>The commercial marketplace requires large policy limits ($25 million or more) in several of AFG’s lines of business, including certain property, environmental, aviation, executive and professional liability, umbrella and excess liability, and fidelity and surety coverages. Since these limits exceed management’s desired exposure to an individual risk, AFG generally enters into reinsurance agreements to reduce its net exposure under such policies to an acceptable level. Reinsurance continues to be available for this large line capacity exposure with satisfactory pricing and terms.</w:t>
      </w:r>
    </w:p>
    <w:p>
      <w:pPr>
        <w:spacing w:after="0" w:line="219"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In addition to the catastrophe and large line capacity reinsurance programs discussed above, AFG purchases reinsurance on a product-by-product basis. AFG regularly reviews the financial strength of its current and potential reinsurers. These reviews include consideration of credit ratings, available capital, claims paying history and expertise. This process periodically results in the transfer of risks to more financially secure reinsurers. Substantially all reinsurance is ceded to companies with investment grade S&amp;P ratings or is secured by “funds withheld” or other collateral. Under “funds withheld” arrangements, AFG retains ceded premiums to fund ceded losses as they become due from the reinsurer. Recoverables from the following companies were individually between 5% and 13% of AFG’s total property and casualty reinsurance recoverable (including prepaid reinsurance premiums and net of payables to reinsurers) at December 31, 2023: Everest Reinsurance Company, Hannover Rueck SE, Munich Reinsurance America, Inc., Swiss Reinsurance America Corporation and Transatlantic Reinsurance Company. No other reinsurers exceeded 5% of AFG’s property and casualty reinsurance recoverable.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(by type of coverage) the amount of each loss above the specified retention covered by treaty reinsurance programs in</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AFG’s U.S.-based property and casualty insurance operations (in millions) as of January 1, 2024:</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color w:val="auto"/>
              </w:rPr>
              <w:t>Reinsurance Coverage</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restart"/>
          </w:tcPr>
          <w:p>
            <w:pPr>
              <w:jc w:val="center"/>
              <w:ind w:right="63"/>
              <w:spacing w:after="0"/>
              <w:rPr>
                <w:sz w:val="20"/>
                <w:szCs w:val="20"/>
                <w:color w:val="auto"/>
              </w:rPr>
            </w:pPr>
            <w:r>
              <w:rPr>
                <w:rFonts w:ascii="Arial" w:cs="Arial" w:eastAsia="Arial" w:hAnsi="Arial"/>
                <w:sz w:val="14"/>
                <w:szCs w:val="14"/>
                <w:color w:val="auto"/>
                <w:w w:val="97"/>
              </w:rPr>
              <w:t>AFG</w:t>
            </w:r>
          </w:p>
        </w:tc>
        <w:tc>
          <w:tcPr>
            <w:tcW w:w="0" w:type="dxa"/>
            <w:vAlign w:val="bottom"/>
          </w:tcPr>
          <w:p>
            <w:pPr>
              <w:spacing w:after="0"/>
              <w:rPr>
                <w:sz w:val="1"/>
                <w:szCs w:val="1"/>
                <w:color w:val="auto"/>
              </w:rPr>
            </w:pPr>
          </w:p>
        </w:tc>
      </w:tr>
      <w:tr>
        <w:trPr>
          <w:trHeight w:val="79"/>
        </w:trPr>
        <w:tc>
          <w:tcPr>
            <w:tcW w:w="6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gridSpan w:val="4"/>
            <w:vMerge w:val="restart"/>
          </w:tcPr>
          <w:p>
            <w:pPr>
              <w:jc w:val="right"/>
              <w:ind w:right="220"/>
              <w:spacing w:after="0"/>
              <w:rPr>
                <w:sz w:val="20"/>
                <w:szCs w:val="20"/>
                <w:color w:val="auto"/>
              </w:rPr>
            </w:pPr>
            <w:r>
              <w:rPr>
                <w:rFonts w:ascii="Arial" w:cs="Arial" w:eastAsia="Arial" w:hAnsi="Arial"/>
                <w:sz w:val="14"/>
                <w:szCs w:val="14"/>
                <w:color w:val="auto"/>
              </w:rPr>
              <w:t>AFG Participation (a)</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6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240"/>
              <w:spacing w:after="0" w:line="118" w:lineRule="exact"/>
              <w:rPr>
                <w:sz w:val="20"/>
                <w:szCs w:val="20"/>
                <w:color w:val="auto"/>
              </w:rPr>
            </w:pPr>
            <w:r>
              <w:rPr>
                <w:rFonts w:ascii="Arial" w:cs="Arial" w:eastAsia="Arial" w:hAnsi="Arial"/>
                <w:sz w:val="13"/>
                <w:szCs w:val="13"/>
                <w:color w:val="auto"/>
              </w:rPr>
              <w:t>Primary</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18" w:lineRule="exact"/>
              <w:rPr>
                <w:sz w:val="20"/>
                <w:szCs w:val="20"/>
                <w:color w:val="auto"/>
              </w:rPr>
            </w:pPr>
            <w:r>
              <w:rPr>
                <w:rFonts w:ascii="Arial" w:cs="Arial" w:eastAsia="Arial" w:hAnsi="Arial"/>
                <w:sz w:val="13"/>
                <w:szCs w:val="13"/>
                <w:color w:val="auto"/>
              </w:rPr>
              <w:t>Coverage</w:t>
            </w:r>
          </w:p>
        </w:tc>
        <w:tc>
          <w:tcPr>
            <w:tcW w:w="194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center"/>
              <w:ind w:right="63"/>
              <w:spacing w:after="0" w:line="118" w:lineRule="exact"/>
              <w:rPr>
                <w:sz w:val="20"/>
                <w:szCs w:val="20"/>
                <w:color w:val="auto"/>
              </w:rPr>
            </w:pPr>
            <w:r>
              <w:rPr>
                <w:rFonts w:ascii="Arial" w:cs="Arial" w:eastAsia="Arial" w:hAnsi="Arial"/>
                <w:sz w:val="13"/>
                <w:szCs w:val="13"/>
                <w:color w:val="auto"/>
              </w:rPr>
              <w:t>Maximum</w:t>
            </w:r>
          </w:p>
        </w:tc>
        <w:tc>
          <w:tcPr>
            <w:tcW w:w="0" w:type="dxa"/>
            <w:vAlign w:val="bottom"/>
          </w:tcPr>
          <w:p>
            <w:pPr>
              <w:spacing w:after="0"/>
              <w:rPr>
                <w:sz w:val="1"/>
                <w:szCs w:val="1"/>
                <w:color w:val="auto"/>
              </w:rPr>
            </w:pPr>
          </w:p>
        </w:tc>
      </w:tr>
      <w:tr>
        <w:trPr>
          <w:trHeight w:val="200"/>
        </w:trPr>
        <w:tc>
          <w:tcPr>
            <w:tcW w:w="6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color w:val="auto"/>
              </w:rPr>
              <w:t>Retention</w:t>
            </w:r>
          </w:p>
        </w:tc>
        <w:tc>
          <w:tcPr>
            <w:tcW w:w="12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color w:val="auto"/>
              </w:rPr>
              <w:t>Amount</w:t>
            </w:r>
          </w:p>
        </w:tc>
        <w:tc>
          <w:tcPr>
            <w:tcW w:w="980" w:type="dxa"/>
            <w:vAlign w:val="bottom"/>
          </w:tcPr>
          <w:p>
            <w:pPr>
              <w:jc w:val="right"/>
              <w:ind w:right="34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center"/>
              <w:ind w:right="63"/>
              <w:spacing w:after="0"/>
              <w:rPr>
                <w:sz w:val="20"/>
                <w:szCs w:val="20"/>
                <w:color w:val="auto"/>
              </w:rPr>
            </w:pPr>
            <w:r>
              <w:rPr>
                <w:rFonts w:ascii="Arial" w:cs="Arial" w:eastAsia="Arial" w:hAnsi="Arial"/>
                <w:sz w:val="14"/>
                <w:szCs w:val="14"/>
                <w:color w:val="auto"/>
              </w:rPr>
              <w:t>Loss (b)</w:t>
            </w:r>
          </w:p>
        </w:tc>
        <w:tc>
          <w:tcPr>
            <w:tcW w:w="0" w:type="dxa"/>
            <w:vAlign w:val="bottom"/>
          </w:tcPr>
          <w:p>
            <w:pPr>
              <w:spacing w:after="0"/>
              <w:rPr>
                <w:sz w:val="1"/>
                <w:szCs w:val="1"/>
                <w:color w:val="auto"/>
              </w:rPr>
            </w:pPr>
          </w:p>
        </w:tc>
      </w:tr>
      <w:tr>
        <w:trPr>
          <w:trHeight w:val="196"/>
        </w:trPr>
        <w:tc>
          <w:tcPr>
            <w:tcW w:w="6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U.S.-based operations:</w:t>
            </w: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220" w:type="dxa"/>
            <w:vAlign w:val="bottom"/>
          </w:tcPr>
          <w:p>
            <w:pPr>
              <w:ind w:left="180"/>
              <w:spacing w:after="0"/>
              <w:rPr>
                <w:sz w:val="20"/>
                <w:szCs w:val="20"/>
                <w:color w:val="auto"/>
              </w:rPr>
            </w:pPr>
            <w:r>
              <w:rPr>
                <w:rFonts w:ascii="Arial" w:cs="Arial" w:eastAsia="Arial" w:hAnsi="Arial"/>
                <w:sz w:val="16"/>
                <w:szCs w:val="16"/>
                <w:color w:val="auto"/>
              </w:rPr>
              <w:t>California Workers’ Compensation</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18"/>
                <w:szCs w:val="18"/>
                <w:color w:val="auto"/>
              </w:rPr>
            </w:pPr>
          </w:p>
        </w:tc>
        <w:tc>
          <w:tcPr>
            <w:tcW w:w="1340" w:type="dxa"/>
            <w:vAlign w:val="bottom"/>
            <w:gridSpan w:val="3"/>
          </w:tcPr>
          <w:p>
            <w:pPr>
              <w:jc w:val="right"/>
              <w:ind w:right="140"/>
              <w:spacing w:after="0"/>
              <w:rPr>
                <w:sz w:val="20"/>
                <w:szCs w:val="20"/>
                <w:color w:val="auto"/>
              </w:rPr>
            </w:pPr>
            <w:r>
              <w:rPr>
                <w:rFonts w:ascii="Arial" w:cs="Arial" w:eastAsia="Arial" w:hAnsi="Arial"/>
                <w:sz w:val="16"/>
                <w:szCs w:val="16"/>
                <w:color w:val="auto"/>
              </w:rPr>
              <w:t>1 %  $</w:t>
            </w: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6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Summit Workers’ Compensation</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 %</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5"/>
        </w:trPr>
        <w:tc>
          <w:tcPr>
            <w:tcW w:w="6220" w:type="dxa"/>
            <w:vAlign w:val="bottom"/>
          </w:tcPr>
          <w:p>
            <w:pPr>
              <w:ind w:left="180"/>
              <w:spacing w:after="0"/>
              <w:rPr>
                <w:sz w:val="20"/>
                <w:szCs w:val="20"/>
                <w:color w:val="auto"/>
              </w:rPr>
            </w:pPr>
            <w:r>
              <w:rPr>
                <w:rFonts w:ascii="Arial" w:cs="Arial" w:eastAsia="Arial" w:hAnsi="Arial"/>
                <w:sz w:val="16"/>
                <w:szCs w:val="16"/>
                <w:color w:val="auto"/>
              </w:rPr>
              <w:t>Other Workers’ Compensation</w:t>
            </w:r>
          </w:p>
        </w:tc>
        <w:tc>
          <w:tcPr>
            <w:tcW w:w="120" w:type="dxa"/>
            <w:vAlign w:val="bottom"/>
          </w:tcPr>
          <w:p>
            <w:pPr>
              <w:spacing w:after="0"/>
              <w:rPr>
                <w:sz w:val="18"/>
                <w:szCs w:val="18"/>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3"/>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6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Commercial Umbrella</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5"/>
        </w:trPr>
        <w:tc>
          <w:tcPr>
            <w:tcW w:w="6220" w:type="dxa"/>
            <w:vAlign w:val="bottom"/>
          </w:tcPr>
          <w:p>
            <w:pPr>
              <w:ind w:left="180"/>
              <w:spacing w:after="0"/>
              <w:rPr>
                <w:sz w:val="20"/>
                <w:szCs w:val="20"/>
                <w:color w:val="auto"/>
              </w:rPr>
            </w:pPr>
            <w:r>
              <w:rPr>
                <w:rFonts w:ascii="Arial" w:cs="Arial" w:eastAsia="Arial" w:hAnsi="Arial"/>
                <w:sz w:val="16"/>
                <w:szCs w:val="16"/>
                <w:color w:val="auto"/>
              </w:rPr>
              <w:t>Property — General</w:t>
            </w:r>
          </w:p>
        </w:tc>
        <w:tc>
          <w:tcPr>
            <w:tcW w:w="120" w:type="dxa"/>
            <w:vAlign w:val="bottom"/>
          </w:tcPr>
          <w:p>
            <w:pPr>
              <w:spacing w:after="0"/>
              <w:rPr>
                <w:sz w:val="18"/>
                <w:szCs w:val="18"/>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3"/>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7"/>
        </w:trPr>
        <w:tc>
          <w:tcPr>
            <w:tcW w:w="6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Property — Catastrophe (c)</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 %</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00" w:hanging="392"/>
        <w:spacing w:after="0"/>
        <w:tabs>
          <w:tab w:leader="none" w:pos="4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Includes the participation of AFG’s internal reinsurance program.</w:t>
      </w:r>
    </w:p>
    <w:p>
      <w:pPr>
        <w:spacing w:after="0" w:line="23" w:lineRule="exact"/>
        <w:rPr>
          <w:rFonts w:ascii="Arial" w:cs="Arial" w:eastAsia="Arial" w:hAnsi="Arial"/>
          <w:sz w:val="17"/>
          <w:szCs w:val="17"/>
          <w:color w:val="auto"/>
        </w:rPr>
      </w:pPr>
    </w:p>
    <w:p>
      <w:pPr>
        <w:ind w:left="400" w:hanging="392"/>
        <w:spacing w:after="0"/>
        <w:tabs>
          <w:tab w:leader="none" w:pos="400" w:val="left"/>
        </w:tabs>
        <w:numPr>
          <w:ilvl w:val="0"/>
          <w:numId w:val="8"/>
        </w:numPr>
        <w:rPr>
          <w:rFonts w:ascii="Arial" w:cs="Arial" w:eastAsia="Arial" w:hAnsi="Arial"/>
          <w:sz w:val="17"/>
          <w:szCs w:val="17"/>
          <w:color w:val="auto"/>
        </w:rPr>
      </w:pPr>
      <w:r>
        <w:rPr>
          <w:rFonts w:ascii="Arial" w:cs="Arial" w:eastAsia="Arial" w:hAnsi="Arial"/>
          <w:sz w:val="17"/>
          <w:szCs w:val="17"/>
          <w:color w:val="auto"/>
        </w:rPr>
        <w:t>Maximum loss per event for claims up to reinsurance coverage limit.</w:t>
      </w:r>
    </w:p>
    <w:p>
      <w:pPr>
        <w:spacing w:after="0" w:line="7" w:lineRule="exact"/>
        <w:rPr>
          <w:rFonts w:ascii="Arial" w:cs="Arial" w:eastAsia="Arial" w:hAnsi="Arial"/>
          <w:sz w:val="17"/>
          <w:szCs w:val="17"/>
          <w:color w:val="auto"/>
        </w:rPr>
      </w:pPr>
    </w:p>
    <w:p>
      <w:pPr>
        <w:ind w:left="420" w:right="60" w:hanging="412"/>
        <w:spacing w:after="0" w:line="264" w:lineRule="auto"/>
        <w:tabs>
          <w:tab w:leader="none" w:pos="417" w:val="left"/>
        </w:tabs>
        <w:numPr>
          <w:ilvl w:val="0"/>
          <w:numId w:val="8"/>
        </w:numPr>
        <w:rPr>
          <w:rFonts w:ascii="Arial" w:cs="Arial" w:eastAsia="Arial" w:hAnsi="Arial"/>
          <w:sz w:val="17"/>
          <w:szCs w:val="17"/>
          <w:color w:val="auto"/>
        </w:rPr>
      </w:pPr>
      <w:r>
        <w:rPr>
          <w:rFonts w:ascii="Arial" w:cs="Arial" w:eastAsia="Arial" w:hAnsi="Arial"/>
          <w:sz w:val="17"/>
          <w:szCs w:val="17"/>
          <w:color w:val="auto"/>
        </w:rPr>
        <w:t>Although AFG’s maximum potential loss per event is generally $70 million, there are certain unlikely scenarios where AFG’s exposure could be as high as $73 million.</w:t>
      </w:r>
    </w:p>
    <w:p>
      <w:pPr>
        <w:spacing w:after="0" w:line="202"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In addition to the coverage shown above, AFG reinsures its multi-peril crop insurance (“MPCI”) business through the Federal Crop Insurance Corporation (“FCIC”) based on the Standard Reinsurance Agreement (“SRA”). AFG can elect the desired retention of risk on a state-by-state, county, crop or plan basis according to the SRA. The SRA also includes an additional fixed percentage quota share cede. AFG typically reinsures 10% to 20% of MPCI gross written premiums with the FCIC. AFG also purchases quota share reinsurance on its crop business in the private market. This quota share provides for a ceding commission to AFG and a profit-sharing provision. During both 2023 and 2022, AFG reinsured 50%</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ind w:right="280"/>
        <w:spacing w:after="0" w:line="284" w:lineRule="auto"/>
        <w:rPr>
          <w:sz w:val="20"/>
          <w:szCs w:val="20"/>
          <w:color w:val="auto"/>
        </w:rPr>
      </w:pPr>
      <w:r>
        <w:rPr>
          <w:rFonts w:ascii="Arial" w:cs="Arial" w:eastAsia="Arial" w:hAnsi="Arial"/>
          <w:sz w:val="17"/>
          <w:szCs w:val="17"/>
          <w:color w:val="auto"/>
        </w:rPr>
        <w:t>of its crop premiums not reinsured by the FCIC in the private market and purchased stop loss protection coverage for the remaining portion of the business. In 2024, AFG expects to continue to reinsure 50% of the premiums not reinsured by the FCIC in the private market.</w:t>
      </w:r>
    </w:p>
    <w:p>
      <w:pPr>
        <w:spacing w:after="0" w:line="185"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The balance sheet caption “Recoverables from reinsurers” included approximately $189 million on paid losses and LAE and $4.29 billion on unpaid losses and LAE at December 31, 2023. These amounts are net of allowances of approximately $10 million for expected credit losses on reinsurance recoverables. The collectability of a reinsurance balance is based upon the financial condition of a reinsurer as well as individual claim considerations.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Reinsurance premiums ceded and assumed are presented in the following table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4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2022</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2021</w:t>
            </w:r>
          </w:p>
        </w:tc>
      </w:tr>
      <w:tr>
        <w:trPr>
          <w:trHeight w:val="213"/>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Reinsurance ceded</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2,964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2,851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2,373</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Reinsurance ceded, excluding crop</w:t>
            </w: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1,878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1,768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1,665</w:t>
            </w: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Reinsurance assumed — including involuntary pools and associations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246</w:t>
            </w: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Loss and Loss Adjustment Expense Reserves</w:t>
      </w:r>
    </w:p>
    <w:p>
      <w:pPr>
        <w:spacing w:after="0" w:line="17" w:lineRule="exact"/>
        <w:rPr>
          <w:sz w:val="20"/>
          <w:szCs w:val="20"/>
          <w:color w:val="auto"/>
        </w:rPr>
      </w:pPr>
    </w:p>
    <w:p>
      <w:pPr>
        <w:ind w:right="180"/>
        <w:spacing w:after="0" w:line="255" w:lineRule="auto"/>
        <w:rPr>
          <w:sz w:val="20"/>
          <w:szCs w:val="20"/>
          <w:color w:val="auto"/>
        </w:rPr>
      </w:pPr>
      <w:r>
        <w:rPr>
          <w:rFonts w:ascii="Arial" w:cs="Arial" w:eastAsia="Arial" w:hAnsi="Arial"/>
          <w:sz w:val="17"/>
          <w:szCs w:val="17"/>
          <w:color w:val="auto"/>
        </w:rPr>
        <w:t xml:space="preserve">The consolidated financial statements include the estimated liability for unpaid losses and LAE of AFG’s insurance subsidiaries. This liability represents estimates of the ultimate net cost of all unpaid losses and LAE and is determined by using case-basis evaluations, actuarial projections and management’s judgment. These estimates are subject to the effects of changes in claim amounts and frequency and are periodically reviewed and adjusted as additional information becomes known. In accordance with industry practices, such adjustments are reflected in current year operations. Generally, reserves for reinsurance assumed and involuntary pools and associations are reflected in AFG’s results at the amounts reported by those entities. See </w:t>
      </w:r>
      <w:r>
        <w:rPr>
          <w:rFonts w:ascii="Arial" w:cs="Arial" w:eastAsia="Arial" w:hAnsi="Arial"/>
          <w:sz w:val="17"/>
          <w:szCs w:val="17"/>
          <w:i w:val="1"/>
          <w:iCs w:val="1"/>
          <w:color w:val="auto"/>
        </w:rPr>
        <w:t>Note O — “Insurance — Property and Casualty Insurance Reserves”</w:t>
      </w:r>
      <w:r>
        <w:rPr>
          <w:rFonts w:ascii="Arial" w:cs="Arial" w:eastAsia="Arial" w:hAnsi="Arial"/>
          <w:sz w:val="17"/>
          <w:szCs w:val="17"/>
          <w:color w:val="auto"/>
        </w:rPr>
        <w:t xml:space="preserve"> to the financial statements for information on the development of AFG’s liability for unpaid losses and loss adjustment expenses by accident year as well as a progression of the liability on a GAAP basis over the past three years.</w:t>
      </w:r>
    </w:p>
    <w:p>
      <w:pPr>
        <w:spacing w:after="0" w:line="212" w:lineRule="exact"/>
        <w:rPr>
          <w:sz w:val="20"/>
          <w:szCs w:val="20"/>
          <w:color w:val="auto"/>
        </w:rPr>
      </w:pPr>
    </w:p>
    <w:p>
      <w:pPr>
        <w:jc w:val="both"/>
        <w:ind w:right="240"/>
        <w:spacing w:after="0" w:line="266" w:lineRule="auto"/>
        <w:rPr>
          <w:sz w:val="20"/>
          <w:szCs w:val="20"/>
          <w:color w:val="auto"/>
        </w:rPr>
      </w:pPr>
      <w:r>
        <w:rPr>
          <w:rFonts w:ascii="Arial" w:cs="Arial" w:eastAsia="Arial" w:hAnsi="Arial"/>
          <w:sz w:val="17"/>
          <w:szCs w:val="17"/>
          <w:color w:val="auto"/>
        </w:rPr>
        <w:t>A reconciliation of the liability for losses and LAE reported in the annual statements filed with the state insurance departments in accordance with statutory accounting principles (“SAP”) to the liability reported in the accompanying consolidated financial statements in accordance with GAAP at December 31, 2023 follows (in millions):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Liability reported on a SAP basis, net of $101 million of retroactive reinsurance</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8,412</w:t>
            </w:r>
          </w:p>
        </w:tc>
      </w:tr>
      <w:tr>
        <w:trPr>
          <w:trHeight w:val="215"/>
        </w:trPr>
        <w:tc>
          <w:tcPr>
            <w:tcW w:w="9980" w:type="dxa"/>
            <w:vAlign w:val="bottom"/>
          </w:tcPr>
          <w:p>
            <w:pPr>
              <w:ind w:left="20"/>
              <w:spacing w:after="0"/>
              <w:rPr>
                <w:sz w:val="20"/>
                <w:szCs w:val="20"/>
                <w:color w:val="auto"/>
              </w:rPr>
            </w:pPr>
            <w:r>
              <w:rPr>
                <w:rFonts w:ascii="Arial" w:cs="Arial" w:eastAsia="Arial" w:hAnsi="Arial"/>
                <w:sz w:val="16"/>
                <w:szCs w:val="16"/>
                <w:color w:val="auto"/>
              </w:rPr>
              <w:t>Reinsurance recoverables, net of allowance</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4,288</w:t>
            </w:r>
          </w:p>
        </w:tc>
      </w:tr>
      <w:tr>
        <w:trPr>
          <w:trHeight w:val="216"/>
        </w:trPr>
        <w:tc>
          <w:tcPr>
            <w:tcW w:w="9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including reserves of foreign insurers</w:t>
            </w: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w:t>
            </w:r>
          </w:p>
        </w:tc>
      </w:tr>
      <w:tr>
        <w:trPr>
          <w:trHeight w:val="210"/>
        </w:trPr>
        <w:tc>
          <w:tcPr>
            <w:tcW w:w="9980" w:type="dxa"/>
            <w:vAlign w:val="bottom"/>
          </w:tcPr>
          <w:p>
            <w:pPr>
              <w:ind w:left="20"/>
              <w:spacing w:after="0"/>
              <w:rPr>
                <w:sz w:val="20"/>
                <w:szCs w:val="20"/>
                <w:color w:val="auto"/>
              </w:rPr>
            </w:pPr>
            <w:r>
              <w:rPr>
                <w:rFonts w:ascii="Arial" w:cs="Arial" w:eastAsia="Arial" w:hAnsi="Arial"/>
                <w:sz w:val="16"/>
                <w:szCs w:val="16"/>
                <w:color w:val="auto"/>
              </w:rPr>
              <w:t>Liability reported on a GAAP basis</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13,087</w:t>
            </w:r>
          </w:p>
        </w:tc>
      </w:tr>
      <w:tr>
        <w:trPr>
          <w:trHeight w:val="20"/>
        </w:trPr>
        <w:tc>
          <w:tcPr>
            <w:tcW w:w="9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ind w:right="80"/>
        <w:spacing w:after="0" w:line="248" w:lineRule="auto"/>
        <w:rPr>
          <w:sz w:val="20"/>
          <w:szCs w:val="20"/>
          <w:color w:val="auto"/>
        </w:rPr>
      </w:pPr>
      <w:r>
        <w:rPr>
          <w:rFonts w:ascii="Arial" w:cs="Arial" w:eastAsia="Arial" w:hAnsi="Arial"/>
          <w:sz w:val="20"/>
          <w:szCs w:val="20"/>
          <w:b w:val="1"/>
          <w:bCs w:val="1"/>
          <w:i w:val="1"/>
          <w:iCs w:val="1"/>
          <w:color w:val="00274E"/>
        </w:rPr>
        <w:t xml:space="preserve">Asbestos and Environmental-related (“A&amp;E”) Insurance Reserves </w:t>
      </w:r>
      <w:r>
        <w:rPr>
          <w:rFonts w:ascii="Arial" w:cs="Arial" w:eastAsia="Arial" w:hAnsi="Arial"/>
          <w:sz w:val="17"/>
          <w:szCs w:val="17"/>
          <w:color w:val="000000"/>
        </w:rPr>
        <w:t>AFG’s property and casualty group, like many others in the</w:t>
      </w:r>
      <w:r>
        <w:rPr>
          <w:rFonts w:ascii="Arial" w:cs="Arial" w:eastAsia="Arial" w:hAnsi="Arial"/>
          <w:sz w:val="20"/>
          <w:szCs w:val="20"/>
          <w:b w:val="1"/>
          <w:bCs w:val="1"/>
          <w:i w:val="1"/>
          <w:iCs w:val="1"/>
          <w:color w:val="00274E"/>
        </w:rPr>
        <w:t xml:space="preserve"> </w:t>
      </w:r>
      <w:r>
        <w:rPr>
          <w:rFonts w:ascii="Arial" w:cs="Arial" w:eastAsia="Arial" w:hAnsi="Arial"/>
          <w:sz w:val="17"/>
          <w:szCs w:val="17"/>
          <w:color w:val="000000"/>
        </w:rPr>
        <w:t xml:space="preserve">industry, has A&amp;E claims arising in most cases from general liability policies written more than thirty-five years ago. The establishment of reserves for such A&amp;E claims presents unique and difficult challenges and is subject to uncertainties significantly greater than those presented by other types of claims. For a discussion of these uncertainties, see </w:t>
      </w:r>
      <w:r>
        <w:rPr>
          <w:rFonts w:ascii="Arial" w:cs="Arial" w:eastAsia="Arial" w:hAnsi="Arial"/>
          <w:sz w:val="17"/>
          <w:szCs w:val="17"/>
          <w:i w:val="1"/>
          <w:iCs w:val="1"/>
          <w:color w:val="000000"/>
        </w:rPr>
        <w:t>Item 7</w:t>
      </w:r>
      <w:r>
        <w:rPr>
          <w:rFonts w:ascii="Arial" w:cs="Arial" w:eastAsia="Arial" w:hAnsi="Arial"/>
          <w:sz w:val="17"/>
          <w:szCs w:val="17"/>
          <w:color w:val="000000"/>
        </w:rPr>
        <w:t xml:space="preserve"> — </w:t>
      </w:r>
      <w:r>
        <w:rPr>
          <w:rFonts w:ascii="Arial" w:cs="Arial" w:eastAsia="Arial" w:hAnsi="Arial"/>
          <w:sz w:val="17"/>
          <w:szCs w:val="17"/>
          <w:i w:val="1"/>
          <w:iCs w:val="1"/>
          <w:color w:val="000000"/>
        </w:rPr>
        <w:t>Management’s Discussion and Analysis of Financial Condition and Results of</w:t>
      </w:r>
      <w:r>
        <w:rPr>
          <w:rFonts w:ascii="Arial" w:cs="Arial" w:eastAsia="Arial" w:hAnsi="Arial"/>
          <w:sz w:val="17"/>
          <w:szCs w:val="17"/>
          <w:color w:val="000000"/>
        </w:rPr>
        <w:t xml:space="preserve"> </w:t>
      </w:r>
      <w:r>
        <w:rPr>
          <w:rFonts w:ascii="Arial" w:cs="Arial" w:eastAsia="Arial" w:hAnsi="Arial"/>
          <w:sz w:val="17"/>
          <w:szCs w:val="17"/>
          <w:i w:val="1"/>
          <w:iCs w:val="1"/>
          <w:color w:val="000000"/>
        </w:rPr>
        <w:t xml:space="preserve">Operations — “Uncertainties — Asbestos and Environmental-related (“A&amp;E”) Insurance Reserves” </w:t>
      </w:r>
      <w:r>
        <w:rPr>
          <w:rFonts w:ascii="Arial" w:cs="Arial" w:eastAsia="Arial" w:hAnsi="Arial"/>
          <w:sz w:val="17"/>
          <w:szCs w:val="17"/>
          <w:color w:val="000000"/>
        </w:rPr>
        <w:t>and</w:t>
      </w:r>
      <w:r>
        <w:rPr>
          <w:rFonts w:ascii="Arial" w:cs="Arial" w:eastAsia="Arial" w:hAnsi="Arial"/>
          <w:sz w:val="17"/>
          <w:szCs w:val="17"/>
          <w:i w:val="1"/>
          <w:iCs w:val="1"/>
          <w:color w:val="000000"/>
        </w:rPr>
        <w:t xml:space="preserve"> Note N — “Contingencies” </w:t>
      </w:r>
      <w:r>
        <w:rPr>
          <w:rFonts w:ascii="Arial" w:cs="Arial" w:eastAsia="Arial" w:hAnsi="Arial"/>
          <w:sz w:val="17"/>
          <w:szCs w:val="17"/>
          <w:color w:val="000000"/>
        </w:rPr>
        <w:t>to the financial</w:t>
      </w:r>
      <w:r>
        <w:rPr>
          <w:rFonts w:ascii="Arial" w:cs="Arial" w:eastAsia="Arial" w:hAnsi="Arial"/>
          <w:sz w:val="17"/>
          <w:szCs w:val="17"/>
          <w:i w:val="1"/>
          <w:iCs w:val="1"/>
          <w:color w:val="000000"/>
        </w:rPr>
        <w:t xml:space="preserve"> </w:t>
      </w:r>
      <w:r>
        <w:rPr>
          <w:rFonts w:ascii="Arial" w:cs="Arial" w:eastAsia="Arial" w:hAnsi="Arial"/>
          <w:sz w:val="17"/>
          <w:szCs w:val="17"/>
          <w:color w:val="000000"/>
        </w:rPr>
        <w:t>statements.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(in millions) is a progression of the property and casualty group’s A&amp;E reserves.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4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2021</w:t>
            </w:r>
          </w:p>
        </w:tc>
      </w:tr>
      <w:tr>
        <w:trPr>
          <w:trHeight w:val="214"/>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Reserves at beginning of year</w:t>
            </w:r>
          </w:p>
        </w:tc>
        <w:tc>
          <w:tcPr>
            <w:tcW w:w="820" w:type="dxa"/>
            <w:vAlign w:val="bottom"/>
            <w:shd w:val="clear" w:color="auto" w:fill="CCEEFF"/>
          </w:tcPr>
          <w:p>
            <w:pPr>
              <w:jc w:val="right"/>
              <w:ind w:right="622"/>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42"/>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w:t>
            </w:r>
          </w:p>
        </w:tc>
      </w:tr>
      <w:tr>
        <w:trPr>
          <w:trHeight w:val="215"/>
        </w:trPr>
        <w:tc>
          <w:tcPr>
            <w:tcW w:w="7400" w:type="dxa"/>
            <w:vAlign w:val="bottom"/>
          </w:tcPr>
          <w:p>
            <w:pPr>
              <w:ind w:left="360"/>
              <w:spacing w:after="0"/>
              <w:rPr>
                <w:sz w:val="20"/>
                <w:szCs w:val="20"/>
                <w:color w:val="auto"/>
              </w:rPr>
            </w:pPr>
            <w:r>
              <w:rPr>
                <w:rFonts w:ascii="Arial" w:cs="Arial" w:eastAsia="Arial" w:hAnsi="Arial"/>
                <w:sz w:val="16"/>
                <w:szCs w:val="16"/>
                <w:color w:val="auto"/>
              </w:rPr>
              <w:t>Incurred losses and LAE</w:t>
            </w:r>
          </w:p>
        </w:tc>
        <w:tc>
          <w:tcPr>
            <w:tcW w:w="82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Paid losses and LAE</w:t>
            </w:r>
          </w:p>
        </w:tc>
        <w:tc>
          <w:tcPr>
            <w:tcW w:w="8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9"/>
        </w:trPr>
        <w:tc>
          <w:tcPr>
            <w:tcW w:w="7400" w:type="dxa"/>
            <w:vAlign w:val="bottom"/>
          </w:tcPr>
          <w:p>
            <w:pPr>
              <w:ind w:left="20"/>
              <w:spacing w:after="0"/>
              <w:rPr>
                <w:sz w:val="20"/>
                <w:szCs w:val="20"/>
                <w:color w:val="auto"/>
              </w:rPr>
            </w:pPr>
            <w:r>
              <w:rPr>
                <w:rFonts w:ascii="Arial" w:cs="Arial" w:eastAsia="Arial" w:hAnsi="Arial"/>
                <w:sz w:val="16"/>
                <w:szCs w:val="16"/>
                <w:color w:val="auto"/>
              </w:rPr>
              <w:t>Reserves at end of year, net of reinsurance recoverable</w:t>
            </w: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385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408</w:t>
            </w: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Reinsurance recoverable, net of allowance</w:t>
            </w:r>
          </w:p>
        </w:tc>
        <w:tc>
          <w:tcPr>
            <w:tcW w:w="8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r>
      <w:tr>
        <w:trPr>
          <w:trHeight w:val="210"/>
        </w:trPr>
        <w:tc>
          <w:tcPr>
            <w:tcW w:w="7400" w:type="dxa"/>
            <w:vAlign w:val="bottom"/>
          </w:tcPr>
          <w:p>
            <w:pPr>
              <w:ind w:left="20"/>
              <w:spacing w:after="0"/>
              <w:rPr>
                <w:sz w:val="20"/>
                <w:szCs w:val="20"/>
                <w:color w:val="auto"/>
              </w:rPr>
            </w:pPr>
            <w:r>
              <w:rPr>
                <w:rFonts w:ascii="Arial" w:cs="Arial" w:eastAsia="Arial" w:hAnsi="Arial"/>
                <w:sz w:val="16"/>
                <w:szCs w:val="16"/>
                <w:color w:val="auto"/>
              </w:rPr>
              <w:t>Gross reserves at end of year</w:t>
            </w:r>
          </w:p>
        </w:tc>
        <w:tc>
          <w:tcPr>
            <w:tcW w:w="820" w:type="dxa"/>
            <w:vAlign w:val="bottom"/>
            <w:tcBorders>
              <w:bottom w:val="single" w:sz="8" w:color="auto"/>
            </w:tcBorders>
          </w:tcPr>
          <w:p>
            <w:pPr>
              <w:jc w:val="right"/>
              <w:ind w:right="622"/>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18"/>
                <w:szCs w:val="18"/>
                <w:color w:val="auto"/>
              </w:rPr>
            </w:pPr>
          </w:p>
        </w:tc>
        <w:tc>
          <w:tcPr>
            <w:tcW w:w="820" w:type="dxa"/>
            <w:vAlign w:val="bottom"/>
            <w:tcBorders>
              <w:bottom w:val="single" w:sz="8" w:color="auto"/>
            </w:tcBorders>
          </w:tcPr>
          <w:p>
            <w:pPr>
              <w:jc w:val="right"/>
              <w:ind w:right="64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w:t>
            </w:r>
          </w:p>
        </w:tc>
      </w:tr>
      <w:tr>
        <w:trPr>
          <w:trHeight w:val="20"/>
        </w:trPr>
        <w:tc>
          <w:tcPr>
            <w:tcW w:w="7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In addition to its ongoing internal monitoring of asbestos and environmental exposures, AFG has historically conducted periodic comprehensive external studies of its asbestos and environmental reserves relating to the run-off operations of its property and casualty insurance segment and its exposures related to former railroad and manufacturing operations and sites with the aid of specialty actuarial, engineering and consulting firms and outside counsel, with an in-depth internal review during all other years.</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An in-depth internal review of AFG’s A&amp;E reserves was completed in the third quarter of 2023 by AFG’s internal A&amp;E claims specialists in consultation with specialty outside counsel. The 2023 internal review identified no new trends and recent claims activity was generally consistent with AFG’s expectations resulting from AFG’s in-depth internal reviews in 2022 and 2021 and most recent external study in 2020. As a result, the 2023 review resulted in no net change to AFG’s property and casualty insurance segment’s asbestos and environmental reserves. Over the past few years, the focus of AFG’s asbestos claims litigation has shifted to smaller companies and companies with ancillary exposures. AFG’s insureds with these exposures have been the driver of the property and casualty segment’s asbestos reserve increases in recent years.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Marketing</w:t>
      </w:r>
    </w:p>
    <w:p>
      <w:pPr>
        <w:spacing w:after="0" w:line="30" w:lineRule="exact"/>
        <w:rPr>
          <w:sz w:val="20"/>
          <w:szCs w:val="20"/>
          <w:color w:val="auto"/>
        </w:rPr>
      </w:pPr>
    </w:p>
    <w:p>
      <w:pPr>
        <w:ind w:right="240"/>
        <w:spacing w:after="0" w:line="254" w:lineRule="auto"/>
        <w:rPr>
          <w:sz w:val="20"/>
          <w:szCs w:val="20"/>
          <w:color w:val="auto"/>
        </w:rPr>
      </w:pPr>
      <w:r>
        <w:rPr>
          <w:rFonts w:ascii="Arial" w:cs="Arial" w:eastAsia="Arial" w:hAnsi="Arial"/>
          <w:sz w:val="17"/>
          <w:szCs w:val="17"/>
          <w:color w:val="auto"/>
        </w:rPr>
        <w:t>The property and casualty insurance group directs its sales efforts primarily through independent insurance agents and brokers, although small portions are written through employee agents. Independent agents and brokers generally receive a commission on the sale of each policy. Some agents and brokers are eligible for a bonus commission based on the overall profitability of policies or volume of business placed with AFG by the broker or agent in a particular year. The property and casualty insurance group writes insurance through several thousand agents and brokers.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Competition</w:t>
      </w:r>
    </w:p>
    <w:p>
      <w:pPr>
        <w:spacing w:after="0" w:line="30"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 xml:space="preserve">AFG’s property and casualty insurance businesses compete with other individual insurers, state funds and insurance groups of varying sizes, some of which are mutual insurance companies possessing competitive advantages in that all their profits inure to their policyholders. See </w:t>
      </w:r>
      <w:r>
        <w:rPr>
          <w:rFonts w:ascii="Arial" w:cs="Arial" w:eastAsia="Arial" w:hAnsi="Arial"/>
          <w:sz w:val="17"/>
          <w:szCs w:val="17"/>
          <w:i w:val="1"/>
          <w:iCs w:val="1"/>
          <w:color w:val="auto"/>
        </w:rPr>
        <w:t>Item 1A</w:t>
      </w:r>
      <w:r>
        <w:rPr>
          <w:rFonts w:ascii="Arial" w:cs="Arial" w:eastAsia="Arial" w:hAnsi="Arial"/>
          <w:sz w:val="17"/>
          <w:szCs w:val="17"/>
          <w:color w:val="auto"/>
        </w:rPr>
        <w:t xml:space="preserve"> — </w:t>
      </w:r>
      <w:r>
        <w:rPr>
          <w:rFonts w:ascii="Arial" w:cs="Arial" w:eastAsia="Arial" w:hAnsi="Arial"/>
          <w:sz w:val="17"/>
          <w:szCs w:val="17"/>
          <w:i w:val="1"/>
          <w:iCs w:val="1"/>
          <w:color w:val="auto"/>
        </w:rPr>
        <w:t>Risk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Factors. </w:t>
      </w:r>
      <w:r>
        <w:rPr>
          <w:rFonts w:ascii="Arial" w:cs="Arial" w:eastAsia="Arial" w:hAnsi="Arial"/>
          <w:sz w:val="17"/>
          <w:szCs w:val="17"/>
          <w:color w:val="auto"/>
        </w:rPr>
        <w:t>AFG also competes with self-insurance plans, captive programs and risk retention groups. Due to the specialty nature of these coverages,</w:t>
      </w:r>
      <w:r>
        <w:rPr>
          <w:rFonts w:ascii="Arial" w:cs="Arial" w:eastAsia="Arial" w:hAnsi="Arial"/>
          <w:sz w:val="17"/>
          <w:szCs w:val="17"/>
          <w:i w:val="1"/>
          <w:iCs w:val="1"/>
          <w:color w:val="auto"/>
        </w:rPr>
        <w:t xml:space="preserve"> </w:t>
      </w:r>
      <w:r>
        <w:rPr>
          <w:rFonts w:ascii="Arial" w:cs="Arial" w:eastAsia="Arial" w:hAnsi="Arial"/>
          <w:sz w:val="17"/>
          <w:szCs w:val="17"/>
          <w:color w:val="auto"/>
        </w:rPr>
        <w:t>competition is based primarily on service to policyholders and agents, specific characteristics of products offered and reputation for claims handling. Financial strength ratings, price, commissions and profit-sharing terms are also important factors. Management believes that sophisticated data analysis for refinement of risk profiles, extensive specialized knowledge and loss prevention service have helped AFG compete successfully.</w:t>
      </w:r>
    </w:p>
    <w:p>
      <w:pPr>
        <w:spacing w:after="0" w:line="197" w:lineRule="exact"/>
        <w:rPr>
          <w:sz w:val="20"/>
          <w:szCs w:val="20"/>
          <w:color w:val="auto"/>
        </w:rPr>
      </w:pPr>
    </w:p>
    <w:p>
      <w:pPr>
        <w:spacing w:after="0"/>
        <w:rPr>
          <w:sz w:val="20"/>
          <w:szCs w:val="20"/>
          <w:color w:val="auto"/>
        </w:rPr>
      </w:pPr>
      <w:r>
        <w:rPr>
          <w:rFonts w:ascii="Arial" w:cs="Arial" w:eastAsia="Arial" w:hAnsi="Arial"/>
          <w:sz w:val="29"/>
          <w:szCs w:val="29"/>
          <w:b w:val="1"/>
          <w:bCs w:val="1"/>
          <w:color w:val="00274E"/>
        </w:rPr>
        <w:t>Human Capital Resources</w:t>
      </w: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Culture</w:t>
      </w:r>
    </w:p>
    <w:p>
      <w:pPr>
        <w:spacing w:after="0" w:line="17"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AFG’s principal cultural goal is for all employees to feel included, respected, safe and empowered to perform at their best. The Company helps employees succeed by cultivating specialized knowledge and offering professional education and leadership development in a service-oriented culture. AFG respects human rights, appreciates diversity and inclusion and values the unique perspective each employee brings to the workplace.</w:t>
      </w:r>
    </w:p>
    <w:p>
      <w:pPr>
        <w:spacing w:after="0" w:line="200"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AFG believes that when employees feel actively engaged with the Company’s mission and strategy, they deliver higher levels of service to its customers and create better results for its business. AFG strives to attract diverse and exceptional people who can grow within AFG by fostering a workplace culture that inspires and rewards people and by developing a workforce that can help the Company meet its current and future goals.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Employees and Engagement</w:t>
      </w:r>
    </w:p>
    <w:p>
      <w:pPr>
        <w:spacing w:after="0" w:line="17" w:lineRule="exact"/>
        <w:rPr>
          <w:sz w:val="20"/>
          <w:szCs w:val="20"/>
          <w:color w:val="auto"/>
        </w:rPr>
      </w:pPr>
    </w:p>
    <w:p>
      <w:pPr>
        <w:ind w:right="420"/>
        <w:spacing w:after="0" w:line="264" w:lineRule="auto"/>
        <w:rPr>
          <w:sz w:val="20"/>
          <w:szCs w:val="20"/>
          <w:color w:val="auto"/>
        </w:rPr>
      </w:pPr>
      <w:r>
        <w:rPr>
          <w:rFonts w:ascii="Arial" w:cs="Arial" w:eastAsia="Arial" w:hAnsi="Arial"/>
          <w:sz w:val="17"/>
          <w:szCs w:val="17"/>
          <w:color w:val="auto"/>
        </w:rPr>
        <w:t>As of December 31, 2023, the Company had approximately 8,500 employees, of which approximately 7,700 were employed at Great American Insurance Group, and approximately 49% of AFG’s workforce were women.</w:t>
      </w:r>
    </w:p>
    <w:p>
      <w:pPr>
        <w:spacing w:after="0" w:line="202"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AFG believes that its strong culture and values, along with the resources, competitive compensation and benefits, training and development and other opportunities afforded its employees, contribute meaningfully to what the Company views as positive retention and recruitment trends over the long-term. The Company’s voluntary turnover rate in 2023 was approximately 7.4%. The Company believes that its overall average employee tenure, which is nearly 10.5 years, and average tenure of over 18 years for the Company’s approximately 175 most senior leaders, evidences the Company’s relative success in growing careers.</w:t>
      </w:r>
    </w:p>
    <w:p>
      <w:pPr>
        <w:spacing w:after="0" w:line="206"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To help inform management on employees’ views and perspectives on key matters, on a triennial basis, AFG has conducted, and now plans to conduct on a biennial basis, an employee engagement survey (“Employee Survey”). The Employee Survey enables each participant to provide anonymous feedback in response to questions on a broad scope of issues, including culture, engagement, development, diversity, empowerment and other issues that AFG believes are important measures of long-term employee satisfaction. With the benefit of this direct feedback, management can assess employees’ perspectives on salient issues, thereby informing management’s decisions on which practices should remain unchanged and which should be considered for potential enhancement or revision. AFG’s most recent Employee Survey was conducted in 2022. Employee participation was high, with 92% of the Company’s employees completing the survey. Management was encouraged by this strong engagement and by what management viewed as positive overall results, which on the whole reaffirmed management’s belief that employees appreciate the Company’s culture and the</w:t>
      </w: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color w:val="auto"/>
        </w:rPr>
        <w:t>opportunities available to them and understand their link to AFG’s strategy and business. By way of example, some of the Employee Survey results included the following:</w:t>
      </w:r>
    </w:p>
    <w:p>
      <w:pPr>
        <w:spacing w:after="0" w:line="185" w:lineRule="exact"/>
        <w:rPr>
          <w:sz w:val="20"/>
          <w:szCs w:val="20"/>
          <w:color w:val="auto"/>
        </w:rPr>
      </w:pPr>
    </w:p>
    <w:p>
      <w:pPr>
        <w:ind w:left="640" w:hanging="308"/>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94% of employees agreed that “the people in my work group are committed to delivering high-quality products and services”;</w:t>
      </w:r>
    </w:p>
    <w:p>
      <w:pPr>
        <w:spacing w:after="0" w:line="29" w:lineRule="exact"/>
        <w:rPr>
          <w:rFonts w:ascii="Arial" w:cs="Arial" w:eastAsia="Arial" w:hAnsi="Arial"/>
          <w:sz w:val="17"/>
          <w:szCs w:val="17"/>
          <w:color w:val="auto"/>
        </w:rPr>
      </w:pPr>
    </w:p>
    <w:p>
      <w:pPr>
        <w:ind w:left="640" w:hanging="308"/>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95% of employees agreed that “I understand how my job contributes to the organization’s strategy and goals”; and</w:t>
      </w:r>
    </w:p>
    <w:p>
      <w:pPr>
        <w:spacing w:after="0" w:line="14" w:lineRule="exact"/>
        <w:rPr>
          <w:rFonts w:ascii="Arial" w:cs="Arial" w:eastAsia="Arial" w:hAnsi="Arial"/>
          <w:sz w:val="17"/>
          <w:szCs w:val="17"/>
          <w:color w:val="auto"/>
        </w:rPr>
      </w:pPr>
    </w:p>
    <w:p>
      <w:pPr>
        <w:ind w:left="640" w:hanging="308"/>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92% of employees agreed that “I would recommend the organization as a good place to work”.</w:t>
      </w:r>
    </w:p>
    <w:p>
      <w:pPr>
        <w:spacing w:after="0" w:line="234" w:lineRule="exact"/>
        <w:rPr>
          <w:sz w:val="20"/>
          <w:szCs w:val="20"/>
          <w:color w:val="auto"/>
        </w:rPr>
      </w:pPr>
    </w:p>
    <w:p>
      <w:pPr>
        <w:ind w:right="200"/>
        <w:spacing w:after="0" w:line="284" w:lineRule="auto"/>
        <w:rPr>
          <w:sz w:val="20"/>
          <w:szCs w:val="20"/>
          <w:color w:val="auto"/>
        </w:rPr>
      </w:pPr>
      <w:r>
        <w:rPr>
          <w:rFonts w:ascii="Arial" w:cs="Arial" w:eastAsia="Arial" w:hAnsi="Arial"/>
          <w:sz w:val="17"/>
          <w:szCs w:val="17"/>
          <w:color w:val="auto"/>
        </w:rPr>
        <w:t>The results of the Employee Survey are reviewed and discussed by AFG management. Those results serve as an important source of information for management in shaping decisions that impact the Company’s employees.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Investing in Employees</w:t>
      </w:r>
    </w:p>
    <w:p>
      <w:pPr>
        <w:spacing w:after="0" w:line="258" w:lineRule="exact"/>
        <w:rPr>
          <w:sz w:val="20"/>
          <w:szCs w:val="20"/>
          <w:color w:val="auto"/>
        </w:rPr>
      </w:pPr>
    </w:p>
    <w:p>
      <w:pPr>
        <w:ind w:right="200"/>
        <w:spacing w:after="0" w:line="247" w:lineRule="auto"/>
        <w:rPr>
          <w:sz w:val="20"/>
          <w:szCs w:val="20"/>
          <w:color w:val="auto"/>
        </w:rPr>
      </w:pPr>
      <w:r>
        <w:rPr>
          <w:rFonts w:ascii="Arial" w:cs="Arial" w:eastAsia="Arial" w:hAnsi="Arial"/>
          <w:sz w:val="20"/>
          <w:szCs w:val="20"/>
          <w:b w:val="1"/>
          <w:bCs w:val="1"/>
          <w:i w:val="1"/>
          <w:iCs w:val="1"/>
          <w:color w:val="00274E"/>
        </w:rPr>
        <w:t xml:space="preserve">Training and Development </w:t>
      </w:r>
      <w:r>
        <w:rPr>
          <w:rFonts w:ascii="Arial" w:cs="Arial" w:eastAsia="Arial" w:hAnsi="Arial"/>
          <w:sz w:val="17"/>
          <w:szCs w:val="17"/>
          <w:color w:val="000000"/>
        </w:rPr>
        <w:t>AFG offers training programs designed to encourage people to build careers in insurance and develop</w:t>
      </w:r>
      <w:r>
        <w:rPr>
          <w:rFonts w:ascii="Arial" w:cs="Arial" w:eastAsia="Arial" w:hAnsi="Arial"/>
          <w:sz w:val="20"/>
          <w:szCs w:val="20"/>
          <w:b w:val="1"/>
          <w:bCs w:val="1"/>
          <w:i w:val="1"/>
          <w:iCs w:val="1"/>
          <w:color w:val="00274E"/>
        </w:rPr>
        <w:t xml:space="preserve"> </w:t>
      </w:r>
      <w:r>
        <w:rPr>
          <w:rFonts w:ascii="Arial" w:cs="Arial" w:eastAsia="Arial" w:hAnsi="Arial"/>
          <w:sz w:val="17"/>
          <w:szCs w:val="17"/>
          <w:color w:val="000000"/>
        </w:rPr>
        <w:t>professional skills that positively impact employees’ careers as well as AFG’s customers and business. These include tuition reimbursement programs, monetary incentives and extensive personal and professional learning opportunities. Professional development is one of many reasons why AFG believes average employee tenure exceeds industry averages.</w:t>
      </w:r>
    </w:p>
    <w:p>
      <w:pPr>
        <w:spacing w:after="0" w:line="218" w:lineRule="exact"/>
        <w:rPr>
          <w:sz w:val="20"/>
          <w:szCs w:val="20"/>
          <w:color w:val="auto"/>
        </w:rPr>
      </w:pPr>
    </w:p>
    <w:p>
      <w:pPr>
        <w:ind w:right="60"/>
        <w:spacing w:after="0" w:line="247" w:lineRule="auto"/>
        <w:rPr>
          <w:sz w:val="20"/>
          <w:szCs w:val="20"/>
          <w:color w:val="auto"/>
        </w:rPr>
      </w:pPr>
      <w:r>
        <w:rPr>
          <w:rFonts w:ascii="Arial" w:cs="Arial" w:eastAsia="Arial" w:hAnsi="Arial"/>
          <w:sz w:val="20"/>
          <w:szCs w:val="20"/>
          <w:b w:val="1"/>
          <w:bCs w:val="1"/>
          <w:i w:val="1"/>
          <w:iCs w:val="1"/>
          <w:color w:val="00274E"/>
        </w:rPr>
        <w:t xml:space="preserve">Compensation and Benefits </w:t>
      </w:r>
      <w:r>
        <w:rPr>
          <w:rFonts w:ascii="Arial" w:cs="Arial" w:eastAsia="Arial" w:hAnsi="Arial"/>
          <w:sz w:val="17"/>
          <w:szCs w:val="17"/>
          <w:color w:val="000000"/>
        </w:rPr>
        <w:t>AFG provides a competitive benefits package that includes an extensive wellness program and paid time away</w:t>
      </w:r>
      <w:r>
        <w:rPr>
          <w:rFonts w:ascii="Arial" w:cs="Arial" w:eastAsia="Arial" w:hAnsi="Arial"/>
          <w:sz w:val="20"/>
          <w:szCs w:val="20"/>
          <w:b w:val="1"/>
          <w:bCs w:val="1"/>
          <w:i w:val="1"/>
          <w:iCs w:val="1"/>
          <w:color w:val="00274E"/>
        </w:rPr>
        <w:t xml:space="preserve"> </w:t>
      </w:r>
      <w:r>
        <w:rPr>
          <w:rFonts w:ascii="Arial" w:cs="Arial" w:eastAsia="Arial" w:hAnsi="Arial"/>
          <w:sz w:val="17"/>
          <w:szCs w:val="17"/>
          <w:color w:val="000000"/>
        </w:rPr>
        <w:t>from work for employees to maintain a healthy work-life balance. AFG offers onsite fitness centers at many of its locations, financial incentives for taking care of one’s health and health management programs to increase employees’ engagement with their healthcare providers. AFG also provides six weeks of paid parental leave for employees to care for and bond with their newborn or newly adopted child.</w:t>
      </w:r>
    </w:p>
    <w:p>
      <w:pPr>
        <w:spacing w:after="0" w:line="217"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Being a responsible employer and contributing to communities’ economic sustainability includes providing employees the opportunity to have the ability and access to achieve their financial goals. AFG maintains competitive and equitable pay by conducting regular market comparisons. AFG offers an employee stock purchase program, a retirement savings plan with employer matching contributions and company-wide profit sharing programs. In addition, employees have access to professional investment and retirement planning advisors to help prepare for their financial future.</w:t>
      </w:r>
    </w:p>
    <w:p>
      <w:pPr>
        <w:spacing w:after="0" w:line="200" w:lineRule="exact"/>
        <w:rPr>
          <w:sz w:val="20"/>
          <w:szCs w:val="20"/>
          <w:color w:val="auto"/>
        </w:rPr>
      </w:pPr>
    </w:p>
    <w:p>
      <w:pPr>
        <w:ind w:right="120"/>
        <w:spacing w:after="0" w:line="247" w:lineRule="auto"/>
        <w:rPr>
          <w:sz w:val="20"/>
          <w:szCs w:val="20"/>
          <w:color w:val="auto"/>
        </w:rPr>
      </w:pPr>
      <w:r>
        <w:rPr>
          <w:rFonts w:ascii="Arial" w:cs="Arial" w:eastAsia="Arial" w:hAnsi="Arial"/>
          <w:sz w:val="20"/>
          <w:szCs w:val="20"/>
          <w:b w:val="1"/>
          <w:bCs w:val="1"/>
          <w:i w:val="1"/>
          <w:iCs w:val="1"/>
          <w:color w:val="00274E"/>
        </w:rPr>
        <w:t xml:space="preserve">Safety and Security </w:t>
      </w:r>
      <w:r>
        <w:rPr>
          <w:rFonts w:ascii="Arial" w:cs="Arial" w:eastAsia="Arial" w:hAnsi="Arial"/>
          <w:sz w:val="17"/>
          <w:szCs w:val="17"/>
          <w:color w:val="000000"/>
        </w:rPr>
        <w:t>AFG prioritizes workplace safety and is dedicated to minimizing employees’ risk of accident or injury. AFG’s obligations</w:t>
      </w:r>
      <w:r>
        <w:rPr>
          <w:rFonts w:ascii="Arial" w:cs="Arial" w:eastAsia="Arial" w:hAnsi="Arial"/>
          <w:sz w:val="20"/>
          <w:szCs w:val="20"/>
          <w:b w:val="1"/>
          <w:bCs w:val="1"/>
          <w:i w:val="1"/>
          <w:iCs w:val="1"/>
          <w:color w:val="00274E"/>
        </w:rPr>
        <w:t xml:space="preserve"> </w:t>
      </w:r>
      <w:r>
        <w:rPr>
          <w:rFonts w:ascii="Arial" w:cs="Arial" w:eastAsia="Arial" w:hAnsi="Arial"/>
          <w:sz w:val="17"/>
          <w:szCs w:val="17"/>
          <w:color w:val="000000"/>
        </w:rPr>
        <w:t>and procedures are outlined in our Workplace Safety and Security Policy along with our Safety and Accident Reporting Policy. AFG is firmly committed to and maintains a policy of providing a work environment free from harassment of any kind, including sexual harassment. This includes intentional and unintentional harassment based on any legally protected classification under applicable federal, state, or local law.</w:t>
      </w:r>
    </w:p>
    <w:p>
      <w:pPr>
        <w:spacing w:after="0" w:line="218" w:lineRule="exact"/>
        <w:rPr>
          <w:sz w:val="20"/>
          <w:szCs w:val="20"/>
          <w:color w:val="auto"/>
        </w:rPr>
      </w:pPr>
    </w:p>
    <w:p>
      <w:pPr>
        <w:ind w:right="60"/>
        <w:spacing w:after="0" w:line="234" w:lineRule="auto"/>
        <w:rPr>
          <w:sz w:val="20"/>
          <w:szCs w:val="20"/>
          <w:color w:val="auto"/>
        </w:rPr>
      </w:pPr>
      <w:r>
        <w:rPr>
          <w:rFonts w:ascii="Arial" w:cs="Arial" w:eastAsia="Arial" w:hAnsi="Arial"/>
          <w:sz w:val="20"/>
          <w:szCs w:val="20"/>
          <w:b w:val="1"/>
          <w:bCs w:val="1"/>
          <w:i w:val="1"/>
          <w:iCs w:val="1"/>
          <w:color w:val="00274E"/>
        </w:rPr>
        <w:t xml:space="preserve">Succession Planning </w:t>
      </w:r>
      <w:r>
        <w:rPr>
          <w:rFonts w:ascii="Arial" w:cs="Arial" w:eastAsia="Arial" w:hAnsi="Arial"/>
          <w:sz w:val="17"/>
          <w:szCs w:val="17"/>
          <w:color w:val="000000"/>
        </w:rPr>
        <w:t>As AFG’s success is driven principally by the efforts of its employees, many of whom are specialized experts in their</w:t>
      </w:r>
      <w:r>
        <w:rPr>
          <w:rFonts w:ascii="Arial" w:cs="Arial" w:eastAsia="Arial" w:hAnsi="Arial"/>
          <w:sz w:val="20"/>
          <w:szCs w:val="20"/>
          <w:b w:val="1"/>
          <w:bCs w:val="1"/>
          <w:i w:val="1"/>
          <w:iCs w:val="1"/>
          <w:color w:val="00274E"/>
        </w:rPr>
        <w:t xml:space="preserve"> </w:t>
      </w:r>
      <w:r>
        <w:rPr>
          <w:rFonts w:ascii="Arial" w:cs="Arial" w:eastAsia="Arial" w:hAnsi="Arial"/>
          <w:sz w:val="17"/>
          <w:szCs w:val="17"/>
          <w:color w:val="000000"/>
        </w:rPr>
        <w:t>field or area of practice, the Company views succession planning as critical to continuing its track record of strong financial performance. The Company maintains a consistent and methodical approach to succession planning, aimed at identifying successors to senior leaders and identifying and developing future leaders. Succession planning with regard to senior positions is also reviewed with AFG’s Board of Directors.</w:t>
      </w:r>
    </w:p>
    <w:p>
      <w:pPr>
        <w:spacing w:after="0" w:line="210" w:lineRule="exact"/>
        <w:rPr>
          <w:sz w:val="20"/>
          <w:szCs w:val="20"/>
          <w:color w:val="auto"/>
        </w:rPr>
      </w:pPr>
    </w:p>
    <w:p>
      <w:pPr>
        <w:spacing w:after="0" w:line="233" w:lineRule="auto"/>
        <w:rPr>
          <w:sz w:val="20"/>
          <w:szCs w:val="20"/>
          <w:color w:val="auto"/>
        </w:rPr>
      </w:pPr>
      <w:r>
        <w:rPr>
          <w:rFonts w:ascii="Arial" w:cs="Arial" w:eastAsia="Arial" w:hAnsi="Arial"/>
          <w:sz w:val="20"/>
          <w:szCs w:val="20"/>
          <w:b w:val="1"/>
          <w:bCs w:val="1"/>
          <w:i w:val="1"/>
          <w:iCs w:val="1"/>
          <w:color w:val="00274E"/>
        </w:rPr>
        <w:t xml:space="preserve">Diversity, Equity and Inclusion </w:t>
      </w:r>
      <w:r>
        <w:rPr>
          <w:rFonts w:ascii="Arial" w:cs="Arial" w:eastAsia="Arial" w:hAnsi="Arial"/>
          <w:sz w:val="17"/>
          <w:szCs w:val="17"/>
          <w:color w:val="000000"/>
        </w:rPr>
        <w:t>The Company values diversity and recognizes the strategic and business benefits derived when people with</w:t>
      </w:r>
      <w:r>
        <w:rPr>
          <w:rFonts w:ascii="Arial" w:cs="Arial" w:eastAsia="Arial" w:hAnsi="Arial"/>
          <w:sz w:val="20"/>
          <w:szCs w:val="20"/>
          <w:b w:val="1"/>
          <w:bCs w:val="1"/>
          <w:i w:val="1"/>
          <w:iCs w:val="1"/>
          <w:color w:val="00274E"/>
        </w:rPr>
        <w:t xml:space="preserve"> </w:t>
      </w:r>
      <w:r>
        <w:rPr>
          <w:rFonts w:ascii="Arial" w:cs="Arial" w:eastAsia="Arial" w:hAnsi="Arial"/>
          <w:sz w:val="17"/>
          <w:szCs w:val="17"/>
          <w:color w:val="000000"/>
        </w:rPr>
        <w:t>different cultures, backgrounds and experiences work together to achieve results. In AFG’s most recent Employee Survey, 86% of employees agreed that everyone is treated fairly regardless of their personal background or characteristics. AFG has dedicated employees responsible for our diversity, equity and inclusion efforts who report directly to our Chief Administrative Officer and Chief Human Resources Officer, who in turn reports directly to the Co-CEOs. Our Diversity and Equal Employment Opportunity Policy reinforces our commitment to attracting, developing and retaining a diverse workforce.</w:t>
      </w:r>
    </w:p>
    <w:p>
      <w:pPr>
        <w:spacing w:after="0" w:line="211"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We have also established strategic relationships with affinity groups, such as the National African-American Insurance Association (“NAAIA”). The Company’s collaboration with NAAIA provides the opportunity for employee memberships, attendance at its annual conference, networking events and a wide range of leadership and education workshops and seminars. The Company is also a supporter of the Association of Professional Insurance Women, an organization focused on career advancement for women insurance professionals.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274E"/>
        </w:rPr>
        <w:t xml:space="preserve">Board and Committee Oversight  </w:t>
      </w:r>
      <w:r>
        <w:rPr>
          <w:rFonts w:ascii="Arial" w:cs="Arial" w:eastAsia="Arial" w:hAnsi="Arial"/>
          <w:sz w:val="17"/>
          <w:szCs w:val="17"/>
          <w:color w:val="000000"/>
        </w:rPr>
        <w:t>Our Board of Directors or its Committees discuss with our Co-CEOs and other senior management</w:t>
      </w:r>
    </w:p>
    <w:p>
      <w:pPr>
        <w:spacing w:after="0" w:line="1" w:lineRule="exact"/>
        <w:rPr>
          <w:sz w:val="20"/>
          <w:szCs w:val="20"/>
          <w:color w:val="auto"/>
        </w:rPr>
      </w:pPr>
    </w:p>
    <w:p>
      <w:pPr>
        <w:spacing w:after="0" w:line="223" w:lineRule="auto"/>
        <w:rPr>
          <w:sz w:val="20"/>
          <w:szCs w:val="20"/>
          <w:color w:val="auto"/>
        </w:rPr>
      </w:pPr>
      <w:r>
        <w:rPr>
          <w:rFonts w:ascii="Arial" w:cs="Arial" w:eastAsia="Arial" w:hAnsi="Arial"/>
          <w:sz w:val="17"/>
          <w:szCs w:val="17"/>
          <w:color w:val="auto"/>
        </w:rPr>
        <w:t>members, including directly with the Chief Administrative Officer and Chief Human Resources Officer, a range of human capital management issues, including succession planning and development, compensation, benefits, labor trends, including recruitment and retention, engagement, diversity,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equity and inclusion and employee feedback.</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Corporate Social Responsibility Report</w:t>
      </w:r>
    </w:p>
    <w:p>
      <w:pPr>
        <w:spacing w:after="0" w:line="30"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Please refer to the Company’s Corporate Social Responsibility Report located on AFG’s website for more information regarding human capital programs and initiatives. None of the information provided on the website is incorporated into, or deemed to be a part of, this Annual Report on Form 10-K or in any other report or document we file with the SEC.</w:t>
      </w:r>
    </w:p>
    <w:p>
      <w:pPr>
        <w:spacing w:after="0" w:line="197" w:lineRule="exact"/>
        <w:rPr>
          <w:sz w:val="20"/>
          <w:szCs w:val="20"/>
          <w:color w:val="auto"/>
        </w:rPr>
      </w:pPr>
    </w:p>
    <w:p>
      <w:pPr>
        <w:spacing w:after="0"/>
        <w:rPr>
          <w:sz w:val="20"/>
          <w:szCs w:val="20"/>
          <w:color w:val="auto"/>
        </w:rPr>
      </w:pPr>
      <w:r>
        <w:rPr>
          <w:rFonts w:ascii="Arial" w:cs="Arial" w:eastAsia="Arial" w:hAnsi="Arial"/>
          <w:sz w:val="29"/>
          <w:szCs w:val="29"/>
          <w:b w:val="1"/>
          <w:bCs w:val="1"/>
          <w:color w:val="00274E"/>
        </w:rPr>
        <w:t>Investment Portfolio</w:t>
      </w:r>
    </w:p>
    <w:p>
      <w:pPr>
        <w:spacing w:after="0" w:line="272"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AFG’s in-house team of investment professionals have followed a consistent strategy over many years and changing economic conditions. Management believes that AFG’s investment expertise has been the driver of strong investment results and effective portfolio risk management over many years.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chart shows the allocation of AFG’s $15.26 billion investment portfolio at December 31, 2023:</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274E"/>
        </w:rPr>
        <w:t>Investment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55880</wp:posOffset>
            </wp:positionV>
            <wp:extent cx="5863590" cy="25374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6359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20"/>
        <w:spacing w:after="0" w:line="266" w:lineRule="auto"/>
        <w:rPr>
          <w:sz w:val="20"/>
          <w:szCs w:val="20"/>
          <w:color w:val="auto"/>
        </w:rPr>
      </w:pPr>
      <w:r>
        <w:rPr>
          <w:rFonts w:ascii="Arial" w:cs="Arial" w:eastAsia="Arial" w:hAnsi="Arial"/>
          <w:sz w:val="17"/>
          <w:szCs w:val="17"/>
          <w:color w:val="auto"/>
        </w:rPr>
        <w:t xml:space="preserve">For additional information on AFG’s investments, see </w:t>
      </w:r>
      <w:r>
        <w:rPr>
          <w:rFonts w:ascii="Arial" w:cs="Arial" w:eastAsia="Arial" w:hAnsi="Arial"/>
          <w:sz w:val="17"/>
          <w:szCs w:val="17"/>
          <w:i w:val="1"/>
          <w:iCs w:val="1"/>
          <w:color w:val="auto"/>
        </w:rPr>
        <w:t>Note F — “Investments”</w:t>
      </w:r>
      <w:r>
        <w:rPr>
          <w:rFonts w:ascii="Arial" w:cs="Arial" w:eastAsia="Arial" w:hAnsi="Arial"/>
          <w:sz w:val="17"/>
          <w:szCs w:val="17"/>
          <w:color w:val="auto"/>
        </w:rPr>
        <w:t xml:space="preserve"> to the financial statements and </w:t>
      </w:r>
      <w:r>
        <w:rPr>
          <w:rFonts w:ascii="Arial" w:cs="Arial" w:eastAsia="Arial" w:hAnsi="Arial"/>
          <w:sz w:val="17"/>
          <w:szCs w:val="17"/>
          <w:i w:val="1"/>
          <w:iCs w:val="1"/>
          <w:color w:val="auto"/>
        </w:rPr>
        <w:t>Item 7 — Management’s Discussion</w:t>
      </w:r>
      <w:r>
        <w:rPr>
          <w:rFonts w:ascii="Arial" w:cs="Arial" w:eastAsia="Arial" w:hAnsi="Arial"/>
          <w:sz w:val="17"/>
          <w:szCs w:val="17"/>
          <w:color w:val="auto"/>
        </w:rPr>
        <w:t xml:space="preserve"> </w:t>
      </w:r>
      <w:r>
        <w:rPr>
          <w:rFonts w:ascii="Arial" w:cs="Arial" w:eastAsia="Arial" w:hAnsi="Arial"/>
          <w:sz w:val="17"/>
          <w:szCs w:val="17"/>
          <w:i w:val="1"/>
          <w:iCs w:val="1"/>
          <w:color w:val="auto"/>
        </w:rPr>
        <w:t>and Analysis of Financial Condition and Results of Operations — “Investments.</w:t>
      </w:r>
      <w:r>
        <w:rPr>
          <w:rFonts w:ascii="Arial" w:cs="Arial" w:eastAsia="Arial" w:hAnsi="Arial"/>
          <w:sz w:val="17"/>
          <w:szCs w:val="17"/>
          <w:color w:val="auto"/>
        </w:rPr>
        <w:t>” AFG’s earned yield (net investment income divided by average</w:t>
      </w:r>
      <w:r>
        <w:rPr>
          <w:rFonts w:ascii="Arial" w:cs="Arial" w:eastAsia="Arial" w:hAnsi="Arial"/>
          <w:sz w:val="17"/>
          <w:szCs w:val="17"/>
          <w:i w:val="1"/>
          <w:iCs w:val="1"/>
          <w:color w:val="auto"/>
        </w:rPr>
        <w:t xml:space="preserve"> </w:t>
      </w:r>
      <w:r>
        <w:rPr>
          <w:rFonts w:ascii="Arial" w:cs="Arial" w:eastAsia="Arial" w:hAnsi="Arial"/>
          <w:sz w:val="17"/>
          <w:szCs w:val="17"/>
          <w:color w:val="auto"/>
        </w:rPr>
        <w:t>invested assets) on fixed maturities held by continuing operations was 4.7% for 2023, 3.5% for 2022 and 3.0% for 2021.</w:t>
      </w:r>
    </w:p>
    <w:p>
      <w:pPr>
        <w:spacing w:after="0" w:line="201" w:lineRule="exact"/>
        <w:rPr>
          <w:sz w:val="20"/>
          <w:szCs w:val="20"/>
          <w:color w:val="auto"/>
        </w:rPr>
      </w:pPr>
    </w:p>
    <w:p>
      <w:pPr>
        <w:ind w:right="300"/>
        <w:spacing w:after="0" w:line="266" w:lineRule="auto"/>
        <w:rPr>
          <w:sz w:val="20"/>
          <w:szCs w:val="20"/>
          <w:color w:val="auto"/>
        </w:rPr>
      </w:pPr>
      <w:r>
        <w:rPr>
          <w:rFonts w:ascii="Arial" w:cs="Arial" w:eastAsia="Arial" w:hAnsi="Arial"/>
          <w:sz w:val="17"/>
          <w:szCs w:val="17"/>
          <w:color w:val="auto"/>
        </w:rPr>
        <w:t>The table below compares the total return, which includes changes in fair value, on AFG’s fixed maturities held by continuing operations to a comparable public index. While there is no directly comparable index to AFG’s portfolio, shown below is a widely used benchmark in the financial services industry.</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900" w:type="dxa"/>
            <w:vAlign w:val="bottom"/>
            <w:gridSpan w:val="2"/>
          </w:tcPr>
          <w:p>
            <w:pPr>
              <w:jc w:val="right"/>
              <w:ind w:right="40"/>
              <w:spacing w:after="0"/>
              <w:rPr>
                <w:sz w:val="20"/>
                <w:szCs w:val="20"/>
                <w:color w:val="auto"/>
              </w:rPr>
            </w:pPr>
            <w:r>
              <w:rPr>
                <w:rFonts w:ascii="Arial" w:cs="Arial" w:eastAsia="Arial" w:hAnsi="Arial"/>
                <w:sz w:val="14"/>
                <w:szCs w:val="14"/>
                <w:color w:val="auto"/>
              </w:rPr>
              <w:t>2023</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jc w:val="right"/>
              <w:ind w:right="442"/>
              <w:spacing w:after="0"/>
              <w:rPr>
                <w:sz w:val="20"/>
                <w:szCs w:val="20"/>
                <w:color w:val="auto"/>
              </w:rPr>
            </w:pPr>
            <w:r>
              <w:rPr>
                <w:rFonts w:ascii="Arial" w:cs="Arial" w:eastAsia="Arial" w:hAnsi="Arial"/>
                <w:sz w:val="14"/>
                <w:szCs w:val="14"/>
                <w:color w:val="auto"/>
              </w:rPr>
              <w:t>2022</w:t>
            </w:r>
          </w:p>
        </w:tc>
        <w:tc>
          <w:tcPr>
            <w:tcW w:w="80" w:type="dxa"/>
            <w:vAlign w:val="bottom"/>
          </w:tcPr>
          <w:p>
            <w:pPr>
              <w:spacing w:after="0"/>
              <w:rPr>
                <w:sz w:val="16"/>
                <w:szCs w:val="16"/>
                <w:color w:val="auto"/>
              </w:rPr>
            </w:pPr>
          </w:p>
        </w:tc>
        <w:tc>
          <w:tcPr>
            <w:tcW w:w="1360" w:type="dxa"/>
            <w:vAlign w:val="bottom"/>
          </w:tcPr>
          <w:p>
            <w:pPr>
              <w:jc w:val="right"/>
              <w:ind w:right="442"/>
              <w:spacing w:after="0"/>
              <w:rPr>
                <w:sz w:val="20"/>
                <w:szCs w:val="20"/>
                <w:color w:val="auto"/>
              </w:rPr>
            </w:pPr>
            <w:r>
              <w:rPr>
                <w:rFonts w:ascii="Arial" w:cs="Arial" w:eastAsia="Arial" w:hAnsi="Arial"/>
                <w:sz w:val="14"/>
                <w:szCs w:val="14"/>
                <w:color w:val="auto"/>
              </w:rPr>
              <w:t>2021</w:t>
            </w:r>
          </w:p>
        </w:tc>
      </w:tr>
      <w:tr>
        <w:trPr>
          <w:trHeight w:val="214"/>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return on AFG’s fixed maturities</w:t>
            </w:r>
          </w:p>
        </w:tc>
        <w:tc>
          <w:tcPr>
            <w:tcW w:w="8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7.2 %</w:t>
            </w: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(4.4 %)</w:t>
            </w: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1.9 %</w:t>
            </w:r>
          </w:p>
        </w:tc>
      </w:tr>
      <w:tr>
        <w:trPr>
          <w:trHeight w:val="215"/>
        </w:trPr>
        <w:tc>
          <w:tcPr>
            <w:tcW w:w="7900" w:type="dxa"/>
            <w:vAlign w:val="bottom"/>
            <w:gridSpan w:val="2"/>
          </w:tcPr>
          <w:p>
            <w:pPr>
              <w:ind w:left="20"/>
              <w:spacing w:after="0"/>
              <w:rPr>
                <w:sz w:val="20"/>
                <w:szCs w:val="20"/>
                <w:color w:val="auto"/>
              </w:rPr>
            </w:pPr>
            <w:r>
              <w:rPr>
                <w:rFonts w:ascii="Arial" w:cs="Arial" w:eastAsia="Arial" w:hAnsi="Arial"/>
                <w:sz w:val="16"/>
                <w:szCs w:val="16"/>
                <w:color w:val="auto"/>
              </w:rPr>
              <w:t>Barclays Capital U.S. Universal Bond Index</w:t>
            </w:r>
          </w:p>
        </w:tc>
        <w:tc>
          <w:tcPr>
            <w:tcW w:w="460" w:type="dxa"/>
            <w:vAlign w:val="bottom"/>
          </w:tcPr>
          <w:p>
            <w:pPr>
              <w:jc w:val="right"/>
              <w:spacing w:after="0"/>
              <w:rPr>
                <w:sz w:val="20"/>
                <w:szCs w:val="20"/>
                <w:color w:val="auto"/>
              </w:rPr>
            </w:pPr>
            <w:r>
              <w:rPr>
                <w:rFonts w:ascii="Arial" w:cs="Arial" w:eastAsia="Arial" w:hAnsi="Arial"/>
                <w:sz w:val="16"/>
                <w:szCs w:val="16"/>
                <w:color w:val="auto"/>
              </w:rPr>
              <w:t>6.2 %</w:t>
            </w: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(13.0 %)</w:t>
            </w: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ind w:right="760"/>
        <w:spacing w:after="0" w:line="284" w:lineRule="auto"/>
        <w:rPr>
          <w:sz w:val="20"/>
          <w:szCs w:val="20"/>
          <w:color w:val="auto"/>
        </w:rPr>
      </w:pPr>
      <w:r>
        <w:rPr>
          <w:rFonts w:ascii="Arial" w:cs="Arial" w:eastAsia="Arial" w:hAnsi="Arial"/>
          <w:sz w:val="17"/>
          <w:szCs w:val="17"/>
          <w:color w:val="auto"/>
        </w:rPr>
        <w:t>The following table shows AFG’s available for sale fixed maturity investments by Standard &amp; Poor’s Corporation or comparable rating as of December 31, 2023 (dollars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1300" w:type="dxa"/>
            <w:vAlign w:val="bottom"/>
            <w:gridSpan w:val="3"/>
          </w:tcPr>
          <w:p>
            <w:pPr>
              <w:jc w:val="center"/>
              <w:ind w:right="80"/>
              <w:spacing w:after="0"/>
              <w:rPr>
                <w:sz w:val="20"/>
                <w:szCs w:val="20"/>
                <w:color w:val="auto"/>
              </w:rPr>
            </w:pPr>
            <w:r>
              <w:rPr>
                <w:rFonts w:ascii="Arial" w:cs="Arial" w:eastAsia="Arial" w:hAnsi="Arial"/>
                <w:sz w:val="14"/>
                <w:szCs w:val="14"/>
                <w:color w:val="auto"/>
              </w:rPr>
              <w:t>Amortized Cost,</w:t>
            </w: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color w:val="auto"/>
              </w:rPr>
              <w:t>Fair Value</w:t>
            </w:r>
          </w:p>
        </w:tc>
        <w:tc>
          <w:tcPr>
            <w:tcW w:w="860" w:type="dxa"/>
            <w:vAlign w:val="bottom"/>
            <w:tcBorders>
              <w:bottom w:val="single" w:sz="8" w:color="auto"/>
            </w:tcBorders>
          </w:tcPr>
          <w:p>
            <w:pPr>
              <w:spacing w:after="0"/>
              <w:rPr>
                <w:sz w:val="16"/>
                <w:szCs w:val="16"/>
                <w:color w:val="auto"/>
              </w:rPr>
            </w:pPr>
          </w:p>
        </w:tc>
      </w:tr>
      <w:tr>
        <w:trPr>
          <w:trHeight w:val="200"/>
        </w:trPr>
        <w:tc>
          <w:tcPr>
            <w:tcW w:w="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color w:val="auto"/>
              </w:rPr>
              <w:t>net (*)</w:t>
            </w:r>
          </w:p>
        </w:tc>
        <w:tc>
          <w:tcPr>
            <w:tcW w:w="240" w:type="dxa"/>
            <w:vAlign w:val="bottom"/>
          </w:tcPr>
          <w:p>
            <w:pPr>
              <w:spacing w:after="0"/>
              <w:rPr>
                <w:sz w:val="17"/>
                <w:szCs w:val="17"/>
                <w:color w:val="auto"/>
              </w:rPr>
            </w:pPr>
          </w:p>
        </w:tc>
        <w:tc>
          <w:tcPr>
            <w:tcW w:w="1520" w:type="dxa"/>
            <w:vAlign w:val="bottom"/>
            <w:gridSpan w:val="3"/>
          </w:tcPr>
          <w:p>
            <w:pPr>
              <w:ind w:left="120"/>
              <w:spacing w:after="0"/>
              <w:rPr>
                <w:sz w:val="20"/>
                <w:szCs w:val="20"/>
                <w:color w:val="auto"/>
              </w:rPr>
            </w:pPr>
            <w:r>
              <w:rPr>
                <w:rFonts w:ascii="Arial" w:cs="Arial" w:eastAsia="Arial" w:hAnsi="Arial"/>
                <w:sz w:val="14"/>
                <w:szCs w:val="14"/>
                <w:color w:val="auto"/>
              </w:rPr>
              <w:t>Amount</w:t>
            </w:r>
          </w:p>
        </w:tc>
        <w:tc>
          <w:tcPr>
            <w:tcW w:w="860" w:type="dxa"/>
            <w:vAlign w:val="bottom"/>
          </w:tcPr>
          <w:p>
            <w:pPr>
              <w:jc w:val="right"/>
              <w:ind w:right="520"/>
              <w:spacing w:after="0"/>
              <w:rPr>
                <w:sz w:val="20"/>
                <w:szCs w:val="20"/>
                <w:color w:val="auto"/>
              </w:rPr>
            </w:pPr>
            <w:r>
              <w:rPr>
                <w:rFonts w:ascii="Arial" w:cs="Arial" w:eastAsia="Arial" w:hAnsi="Arial"/>
                <w:sz w:val="14"/>
                <w:szCs w:val="14"/>
                <w:color w:val="auto"/>
              </w:rPr>
              <w:t>%</w:t>
            </w:r>
          </w:p>
        </w:tc>
      </w:tr>
      <w:tr>
        <w:trPr>
          <w:trHeight w:val="176"/>
        </w:trPr>
        <w:tc>
          <w:tcPr>
            <w:tcW w:w="20" w:type="dxa"/>
            <w:vAlign w:val="bottom"/>
            <w:tcBorders>
              <w:top w:val="single" w:sz="8" w:color="CCEEFF"/>
            </w:tcBorders>
            <w:shd w:val="clear" w:color="auto" w:fill="CCEEFF"/>
          </w:tcPr>
          <w:p>
            <w:pPr>
              <w:spacing w:after="0"/>
              <w:rPr>
                <w:sz w:val="15"/>
                <w:szCs w:val="15"/>
                <w:color w:val="auto"/>
              </w:rPr>
            </w:pPr>
          </w:p>
        </w:tc>
        <w:tc>
          <w:tcPr>
            <w:tcW w:w="7300" w:type="dxa"/>
            <w:vAlign w:val="bottom"/>
            <w:tcBorders>
              <w:top w:val="single" w:sz="8" w:color="CCEEFF"/>
            </w:tcBorders>
            <w:gridSpan w:val="2"/>
            <w:shd w:val="clear" w:color="auto" w:fill="CCEEFF"/>
          </w:tcPr>
          <w:p>
            <w:pPr>
              <w:spacing w:after="0" w:line="155" w:lineRule="exact"/>
              <w:rPr>
                <w:sz w:val="20"/>
                <w:szCs w:val="20"/>
                <w:color w:val="auto"/>
              </w:rPr>
            </w:pPr>
            <w:r>
              <w:rPr>
                <w:rFonts w:ascii="Arial" w:cs="Arial" w:eastAsia="Arial" w:hAnsi="Arial"/>
                <w:sz w:val="16"/>
                <w:szCs w:val="16"/>
                <w:color w:val="auto"/>
              </w:rPr>
              <w:t>S&amp;P or comparable rating</w:t>
            </w:r>
          </w:p>
        </w:tc>
        <w:tc>
          <w:tcPr>
            <w:tcW w:w="2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18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AAA, AA, A</w:t>
            </w:r>
          </w:p>
        </w:tc>
        <w:tc>
          <w:tcPr>
            <w:tcW w:w="5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jc w:val="right"/>
              <w:ind w:right="62"/>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7,806</w:t>
            </w: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7,529</w:t>
            </w: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73 %</w:t>
            </w:r>
          </w:p>
        </w:tc>
      </w:tr>
      <w:tr>
        <w:trPr>
          <w:trHeight w:val="217"/>
        </w:trPr>
        <w:tc>
          <w:tcPr>
            <w:tcW w:w="20" w:type="dxa"/>
            <w:vAlign w:val="bottom"/>
            <w:shd w:val="clear" w:color="auto" w:fill="CCEEFF"/>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BBB</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2,225</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21 %</w:t>
            </w:r>
          </w:p>
        </w:tc>
      </w:tr>
      <w:tr>
        <w:trPr>
          <w:trHeight w:val="209"/>
        </w:trPr>
        <w:tc>
          <w:tcPr>
            <w:tcW w:w="20" w:type="dxa"/>
            <w:vAlign w:val="bottom"/>
            <w:tcBorders>
              <w:bottom w:val="single" w:sz="8" w:color="CCEEFF"/>
            </w:tcBorders>
          </w:tcPr>
          <w:p>
            <w:pPr>
              <w:spacing w:after="0"/>
              <w:rPr>
                <w:sz w:val="18"/>
                <w:szCs w:val="18"/>
                <w:color w:val="auto"/>
              </w:rPr>
            </w:pPr>
          </w:p>
        </w:tc>
        <w:tc>
          <w:tcPr>
            <w:tcW w:w="730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Total investment grade</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10,106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9,754</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94 %</w:t>
            </w:r>
          </w:p>
        </w:tc>
      </w:tr>
      <w:tr>
        <w:trPr>
          <w:trHeight w:val="210"/>
        </w:trPr>
        <w:tc>
          <w:tcPr>
            <w:tcW w:w="20" w:type="dxa"/>
            <w:vAlign w:val="bottom"/>
            <w:shd w:val="clear" w:color="auto" w:fill="CCEEFF"/>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BB</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r>
      <w:tr>
        <w:trPr>
          <w:trHeight w:val="215"/>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6"/>
                <w:szCs w:val="16"/>
                <w:color w:val="auto"/>
              </w:rPr>
              <w:t>B</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1 %</w:t>
            </w:r>
          </w:p>
        </w:tc>
      </w:tr>
      <w:tr>
        <w:trPr>
          <w:trHeight w:val="217"/>
        </w:trPr>
        <w:tc>
          <w:tcPr>
            <w:tcW w:w="20" w:type="dxa"/>
            <w:vAlign w:val="bottom"/>
            <w:shd w:val="clear" w:color="auto" w:fill="CCEEFF"/>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CCC, CC, C</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5"/>
        </w:trPr>
        <w:tc>
          <w:tcPr>
            <w:tcW w:w="20" w:type="dxa"/>
            <w:vAlign w:val="bottom"/>
            <w:tcBorders>
              <w:bottom w:val="single" w:sz="8" w:color="CCEEFF"/>
            </w:tcBorders>
          </w:tcPr>
          <w:p>
            <w:pPr>
              <w:spacing w:after="0"/>
              <w:rPr>
                <w:sz w:val="18"/>
                <w:szCs w:val="18"/>
                <w:color w:val="auto"/>
              </w:rPr>
            </w:pPr>
          </w:p>
        </w:tc>
        <w:tc>
          <w:tcPr>
            <w:tcW w:w="73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D</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r>
      <w:tr>
        <w:trPr>
          <w:trHeight w:val="210"/>
        </w:trPr>
        <w:tc>
          <w:tcPr>
            <w:tcW w:w="20" w:type="dxa"/>
            <w:vAlign w:val="bottom"/>
            <w:shd w:val="clear" w:color="auto" w:fill="CCEEFF"/>
          </w:tcPr>
          <w:p>
            <w:pPr>
              <w:spacing w:after="0"/>
              <w:rPr>
                <w:sz w:val="18"/>
                <w:szCs w:val="18"/>
                <w:color w:val="auto"/>
              </w:rPr>
            </w:pPr>
          </w:p>
        </w:tc>
        <w:tc>
          <w:tcPr>
            <w:tcW w:w="73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non-investment grade</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3 %</w:t>
            </w:r>
          </w:p>
        </w:tc>
      </w:tr>
      <w:tr>
        <w:trPr>
          <w:trHeight w:val="209"/>
        </w:trPr>
        <w:tc>
          <w:tcPr>
            <w:tcW w:w="20" w:type="dxa"/>
            <w:vAlign w:val="bottom"/>
            <w:tcBorders>
              <w:bottom w:val="single" w:sz="8" w:color="CCEEFF"/>
            </w:tcBorders>
          </w:tcPr>
          <w:p>
            <w:pPr>
              <w:spacing w:after="0"/>
              <w:rPr>
                <w:sz w:val="18"/>
                <w:szCs w:val="18"/>
                <w:color w:val="auto"/>
              </w:rPr>
            </w:pPr>
          </w:p>
        </w:tc>
        <w:tc>
          <w:tcPr>
            <w:tcW w:w="73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Not rated</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3 %</w:t>
            </w: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7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10,740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10,377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Amortized cost, net of allowance for expected credit losses.</w:t>
      </w:r>
    </w:p>
    <w:p>
      <w:pPr>
        <w:spacing w:after="0" w:line="250" w:lineRule="exact"/>
        <w:rPr>
          <w:sz w:val="20"/>
          <w:szCs w:val="20"/>
          <w:color w:val="auto"/>
        </w:rPr>
      </w:pPr>
    </w:p>
    <w:p>
      <w:pPr>
        <w:ind w:right="320"/>
        <w:spacing w:after="0" w:line="266" w:lineRule="auto"/>
        <w:rPr>
          <w:sz w:val="20"/>
          <w:szCs w:val="20"/>
          <w:color w:val="auto"/>
        </w:rPr>
      </w:pPr>
      <w:r>
        <w:rPr>
          <w:rFonts w:ascii="Arial" w:cs="Arial" w:eastAsia="Arial" w:hAnsi="Arial"/>
          <w:sz w:val="17"/>
          <w:szCs w:val="17"/>
          <w:color w:val="auto"/>
        </w:rPr>
        <w:t>At December 31, 2023, 97% (based on statutory carrying value of $10.54 billion) of AFG’s fixed maturity investments held by its insurance companies had a National Association of Insurance Commissioners (“NAIC”) designation of 1 or 2 (the highest of the six designations) based not only on the probability of loss but also on the severity of loss.</w:t>
      </w:r>
    </w:p>
    <w:p>
      <w:pPr>
        <w:spacing w:after="0" w:line="189" w:lineRule="exact"/>
        <w:rPr>
          <w:sz w:val="20"/>
          <w:szCs w:val="20"/>
          <w:color w:val="auto"/>
        </w:rPr>
      </w:pPr>
    </w:p>
    <w:p>
      <w:pPr>
        <w:spacing w:after="0"/>
        <w:rPr>
          <w:sz w:val="20"/>
          <w:szCs w:val="20"/>
          <w:color w:val="auto"/>
        </w:rPr>
      </w:pPr>
      <w:r>
        <w:rPr>
          <w:rFonts w:ascii="Arial" w:cs="Arial" w:eastAsia="Arial" w:hAnsi="Arial"/>
          <w:sz w:val="29"/>
          <w:szCs w:val="29"/>
          <w:b w:val="1"/>
          <w:bCs w:val="1"/>
          <w:color w:val="00274E"/>
        </w:rPr>
        <w:t>Regulation</w:t>
      </w:r>
    </w:p>
    <w:p>
      <w:pPr>
        <w:spacing w:after="0" w:line="272"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AFG’s insurance company subsidiaries are subject to U.S. and international regulation in the jurisdictions where they do business. In general, the insurance laws of the various jurisdictions establish regulatory agencies with broad administrative powers governing, among other things, premium rates, solvency standards, licensing of insurers, agents and brokers, trade practices, forms of policies, maintenance of specified reserves and capital for the protection of policyholders, deposits of securities for the benefit of policyholders, investment activities and relationships between insurance subsidiaries and their parents and affiliates. Various transactions between insurance subsidiaries and their parents and affiliates must receive prior approval of the applicable insurance regulatory authorities and be disclosed.</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b w:val="1"/>
          <w:bCs w:val="1"/>
          <w:color w:val="00274E"/>
        </w:rPr>
        <w:t>U.S. Regulation</w:t>
      </w:r>
    </w:p>
    <w:p>
      <w:pPr>
        <w:spacing w:after="0" w:line="267" w:lineRule="exact"/>
        <w:rPr>
          <w:sz w:val="20"/>
          <w:szCs w:val="20"/>
          <w:color w:val="auto"/>
        </w:rPr>
      </w:pPr>
    </w:p>
    <w:p>
      <w:pPr>
        <w:ind w:right="100"/>
        <w:spacing w:after="0" w:line="241" w:lineRule="auto"/>
        <w:rPr>
          <w:sz w:val="20"/>
          <w:szCs w:val="20"/>
          <w:color w:val="auto"/>
        </w:rPr>
      </w:pPr>
      <w:r>
        <w:rPr>
          <w:rFonts w:ascii="Arial" w:cs="Arial" w:eastAsia="Arial" w:hAnsi="Arial"/>
          <w:sz w:val="20"/>
          <w:szCs w:val="20"/>
          <w:b w:val="1"/>
          <w:bCs w:val="1"/>
          <w:color w:val="00274E"/>
        </w:rPr>
        <w:t xml:space="preserve">Holding Company Statutes </w:t>
      </w:r>
      <w:r>
        <w:rPr>
          <w:rFonts w:ascii="Arial" w:cs="Arial" w:eastAsia="Arial" w:hAnsi="Arial"/>
          <w:sz w:val="17"/>
          <w:szCs w:val="17"/>
          <w:color w:val="000000"/>
        </w:rPr>
        <w:t>AFG is subject to state statutes governing insurance holding company systems. Typically, those statutes require</w:t>
      </w:r>
      <w:r>
        <w:rPr>
          <w:rFonts w:ascii="Arial" w:cs="Arial" w:eastAsia="Arial" w:hAnsi="Arial"/>
          <w:sz w:val="20"/>
          <w:szCs w:val="20"/>
          <w:b w:val="1"/>
          <w:bCs w:val="1"/>
          <w:color w:val="00274E"/>
        </w:rPr>
        <w:t xml:space="preserve"> </w:t>
      </w:r>
      <w:r>
        <w:rPr>
          <w:rFonts w:ascii="Arial" w:cs="Arial" w:eastAsia="Arial" w:hAnsi="Arial"/>
          <w:sz w:val="17"/>
          <w:szCs w:val="17"/>
          <w:color w:val="000000"/>
        </w:rPr>
        <w:t>that AFG periodically file information with the appropriate state insurance commissioner, including information concerning capital structure, ownership, financial condition, dividend payments and other certain transactions with affiliates, and general business operations.</w:t>
      </w:r>
    </w:p>
    <w:p>
      <w:pPr>
        <w:spacing w:after="0" w:line="233" w:lineRule="exact"/>
        <w:rPr>
          <w:sz w:val="20"/>
          <w:szCs w:val="20"/>
          <w:color w:val="auto"/>
        </w:rPr>
      </w:pPr>
    </w:p>
    <w:p>
      <w:pPr>
        <w:ind w:right="100"/>
        <w:spacing w:after="0" w:line="243" w:lineRule="auto"/>
        <w:rPr>
          <w:sz w:val="20"/>
          <w:szCs w:val="20"/>
          <w:color w:val="auto"/>
        </w:rPr>
      </w:pPr>
      <w:r>
        <w:rPr>
          <w:rFonts w:ascii="Arial" w:cs="Arial" w:eastAsia="Arial" w:hAnsi="Arial"/>
          <w:sz w:val="20"/>
          <w:szCs w:val="20"/>
          <w:b w:val="1"/>
          <w:bCs w:val="1"/>
          <w:color w:val="00274E"/>
        </w:rPr>
        <w:t xml:space="preserve">Risk Based Capital Requirements </w:t>
      </w:r>
      <w:r>
        <w:rPr>
          <w:rFonts w:ascii="Arial" w:cs="Arial" w:eastAsia="Arial" w:hAnsi="Arial"/>
          <w:sz w:val="17"/>
          <w:szCs w:val="17"/>
          <w:color w:val="000000"/>
        </w:rPr>
        <w:t>The NAIC and state insurance departments use a risk-based capital (“RBC”) formula that is designed to</w:t>
      </w:r>
      <w:r>
        <w:rPr>
          <w:rFonts w:ascii="Arial" w:cs="Arial" w:eastAsia="Arial" w:hAnsi="Arial"/>
          <w:sz w:val="20"/>
          <w:szCs w:val="20"/>
          <w:b w:val="1"/>
          <w:bCs w:val="1"/>
          <w:color w:val="00274E"/>
        </w:rPr>
        <w:t xml:space="preserve"> </w:t>
      </w:r>
      <w:r>
        <w:rPr>
          <w:rFonts w:ascii="Arial" w:cs="Arial" w:eastAsia="Arial" w:hAnsi="Arial"/>
          <w:sz w:val="17"/>
          <w:szCs w:val="17"/>
          <w:color w:val="000000"/>
        </w:rPr>
        <w:t>measure the adequacy of an insurer’s statutory surplus in relation to the risks inherent in its business. The RBC formula develops risk adjusted target levels of adjusted statutory capital by applying certain factors to various asset, premium and reserve items. The insurance company’s state of domicile imposes RBC requirements.</w:t>
      </w:r>
    </w:p>
    <w:p>
      <w:pPr>
        <w:spacing w:after="0" w:line="232"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b w:val="1"/>
          <w:bCs w:val="1"/>
          <w:color w:val="00274E"/>
        </w:rPr>
        <w:t xml:space="preserve">Statutory Accounting Principles </w:t>
      </w:r>
      <w:r>
        <w:rPr>
          <w:rFonts w:ascii="Arial" w:cs="Arial" w:eastAsia="Arial" w:hAnsi="Arial"/>
          <w:sz w:val="17"/>
          <w:szCs w:val="17"/>
          <w:color w:val="000000"/>
        </w:rPr>
        <w:t>Each U.S. insurance subsidiary is required to file detailed quarterly and annual reports, including financial</w:t>
      </w:r>
      <w:r>
        <w:rPr>
          <w:rFonts w:ascii="Arial" w:cs="Arial" w:eastAsia="Arial" w:hAnsi="Arial"/>
          <w:sz w:val="20"/>
          <w:szCs w:val="20"/>
          <w:b w:val="1"/>
          <w:bCs w:val="1"/>
          <w:color w:val="00274E"/>
        </w:rPr>
        <w:t xml:space="preserve"> </w:t>
      </w:r>
      <w:r>
        <w:rPr>
          <w:rFonts w:ascii="Arial" w:cs="Arial" w:eastAsia="Arial" w:hAnsi="Arial"/>
          <w:sz w:val="17"/>
          <w:szCs w:val="17"/>
          <w:color w:val="000000"/>
        </w:rPr>
        <w:t>statements, in accordance with prescribed statutory accounting rules, with regulatory officials in the jurisdictions in which they conduct business. The quarterly and annual financial reports filed with the state insurance departments utilize statutory accounting principles (“SAP”) that are different from U.S. GAAP. In developing SAP, insurance regulators were primarily concerned with monitoring the solvency of insurance companies to assure an insurer’s ability to pay all its current and future obligations to policyholders.</w:t>
      </w:r>
    </w:p>
    <w:p>
      <w:pPr>
        <w:spacing w:after="0" w:line="215"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b w:val="1"/>
          <w:bCs w:val="1"/>
          <w:color w:val="00274E"/>
        </w:rPr>
        <w:t xml:space="preserve">Cybersecurity Regulations </w:t>
      </w:r>
      <w:r>
        <w:rPr>
          <w:rFonts w:ascii="Arial" w:cs="Arial" w:eastAsia="Arial" w:hAnsi="Arial"/>
          <w:sz w:val="17"/>
          <w:szCs w:val="17"/>
          <w:color w:val="000000"/>
        </w:rPr>
        <w:t>Numerous states have enacted new insurance laws that require certain regulated entities to implement and</w:t>
      </w:r>
      <w:r>
        <w:rPr>
          <w:rFonts w:ascii="Arial" w:cs="Arial" w:eastAsia="Arial" w:hAnsi="Arial"/>
          <w:sz w:val="20"/>
          <w:szCs w:val="20"/>
          <w:b w:val="1"/>
          <w:bCs w:val="1"/>
          <w:color w:val="00274E"/>
        </w:rPr>
        <w:t xml:space="preserve"> </w:t>
      </w:r>
      <w:r>
        <w:rPr>
          <w:rFonts w:ascii="Arial" w:cs="Arial" w:eastAsia="Arial" w:hAnsi="Arial"/>
          <w:sz w:val="17"/>
          <w:szCs w:val="17"/>
          <w:color w:val="000000"/>
        </w:rPr>
        <w:t>maintain comprehensive information security programs to safeguard the personal information of insureds. For example, the New York State Department of Financial Services (“NYDFS”) cybersecurity regulation requires banks, insurance companies and other financial services institutions regulated by the NYDFS to establish and maintain a cybersecurity program “designed to protect consumers and ensure the safety and soundness of New York State’s financial services industry.” The NAIC adopted an Insurance Data Security Model Law which, when adopted by the states, requires licensed insurance entities to comply with detailed information security requirements. To date, the Insurance Data Security</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color w:val="auto"/>
        </w:rPr>
        <w:t>Model Law has been adopted by a number of states, including Ohio, where several of AFG’s insurance subsidiaries are domiciled.</w:t>
      </w:r>
    </w:p>
    <w:p>
      <w:pPr>
        <w:spacing w:after="0" w:line="250"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Certain states are developing or have developed regulations related to privacy and data security. For example, the California Consumer Privacy Act of 2018, as amended by the California Privacy Rights Act, broadly regulates the collection, processing and disclosure of California residents’ personal information, imposes limits on the “sale” and “sharing” of personal information and grants California residents certain rights to, among other things, access and delete data about them in certain circumstances.</w:t>
      </w:r>
    </w:p>
    <w:p>
      <w:pPr>
        <w:spacing w:after="0" w:line="198" w:lineRule="exact"/>
        <w:rPr>
          <w:sz w:val="20"/>
          <w:szCs w:val="20"/>
          <w:color w:val="auto"/>
        </w:rPr>
      </w:pPr>
    </w:p>
    <w:p>
      <w:pPr>
        <w:ind w:right="260"/>
        <w:spacing w:after="0" w:line="248" w:lineRule="auto"/>
        <w:rPr>
          <w:sz w:val="20"/>
          <w:szCs w:val="20"/>
          <w:color w:val="auto"/>
        </w:rPr>
      </w:pPr>
      <w:r>
        <w:rPr>
          <w:rFonts w:ascii="Arial" w:cs="Arial" w:eastAsia="Arial" w:hAnsi="Arial"/>
          <w:sz w:val="20"/>
          <w:szCs w:val="20"/>
          <w:b w:val="1"/>
          <w:bCs w:val="1"/>
          <w:color w:val="00274E"/>
        </w:rPr>
        <w:t xml:space="preserve">Own Risk and Solvency Assessment </w:t>
      </w:r>
      <w:r>
        <w:rPr>
          <w:rFonts w:ascii="Arial" w:cs="Arial" w:eastAsia="Arial" w:hAnsi="Arial"/>
          <w:sz w:val="17"/>
          <w:szCs w:val="17"/>
          <w:color w:val="000000"/>
        </w:rPr>
        <w:t>AFG must submit an Own Risk and Solvency Assessment Summary Report (“ORSA”) at least</w:t>
      </w:r>
      <w:r>
        <w:rPr>
          <w:rFonts w:ascii="Arial" w:cs="Arial" w:eastAsia="Arial" w:hAnsi="Arial"/>
          <w:sz w:val="20"/>
          <w:szCs w:val="20"/>
          <w:b w:val="1"/>
          <w:bCs w:val="1"/>
          <w:color w:val="00274E"/>
        </w:rPr>
        <w:t xml:space="preserve"> </w:t>
      </w:r>
      <w:r>
        <w:rPr>
          <w:rFonts w:ascii="Arial" w:cs="Arial" w:eastAsia="Arial" w:hAnsi="Arial"/>
          <w:sz w:val="17"/>
          <w:szCs w:val="17"/>
          <w:color w:val="000000"/>
        </w:rPr>
        <w:t>annually to its lead state insurance regulator. The ORSA, which is a component of an insurer’s enterprise risk management framework, is a confidential internal assessment of the material and relevant risks associated with an insurer’s current business plan and the sufficiency of capital resources to support those risks.</w:t>
      </w:r>
    </w:p>
    <w:p>
      <w:pPr>
        <w:spacing w:after="0" w:line="214" w:lineRule="exact"/>
        <w:rPr>
          <w:sz w:val="20"/>
          <w:szCs w:val="20"/>
          <w:color w:val="auto"/>
        </w:rPr>
      </w:pPr>
    </w:p>
    <w:p>
      <w:pPr>
        <w:ind w:right="120"/>
        <w:spacing w:after="0" w:line="249" w:lineRule="auto"/>
        <w:rPr>
          <w:sz w:val="20"/>
          <w:szCs w:val="20"/>
          <w:color w:val="auto"/>
        </w:rPr>
      </w:pPr>
      <w:r>
        <w:rPr>
          <w:rFonts w:ascii="Arial" w:cs="Arial" w:eastAsia="Arial" w:hAnsi="Arial"/>
          <w:sz w:val="20"/>
          <w:szCs w:val="20"/>
          <w:b w:val="1"/>
          <w:bCs w:val="1"/>
          <w:color w:val="00274E"/>
        </w:rPr>
        <w:t xml:space="preserve">Dividends </w:t>
      </w:r>
      <w:r>
        <w:rPr>
          <w:rFonts w:ascii="Arial" w:cs="Arial" w:eastAsia="Arial" w:hAnsi="Arial"/>
          <w:sz w:val="17"/>
          <w:szCs w:val="17"/>
          <w:color w:val="000000"/>
        </w:rPr>
        <w:t>The laws of the domiciliary states of AFG’s U.S. insurance subsidiaries govern the amount of dividends that may be paid to its</w:t>
      </w:r>
      <w:r>
        <w:rPr>
          <w:rFonts w:ascii="Arial" w:cs="Arial" w:eastAsia="Arial" w:hAnsi="Arial"/>
          <w:sz w:val="20"/>
          <w:szCs w:val="20"/>
          <w:b w:val="1"/>
          <w:bCs w:val="1"/>
          <w:color w:val="00274E"/>
        </w:rPr>
        <w:t xml:space="preserve"> </w:t>
      </w:r>
      <w:r>
        <w:rPr>
          <w:rFonts w:ascii="Arial" w:cs="Arial" w:eastAsia="Arial" w:hAnsi="Arial"/>
          <w:sz w:val="17"/>
          <w:szCs w:val="17"/>
          <w:color w:val="000000"/>
        </w:rPr>
        <w:t>shareholders in any twelve-month period, generally based on net earnings or statutory surplus. Under applicable restrictions, the maximum amount of dividends available to AFG in 2024 from its insurance subsidiaries without seeking prior regulatory approval is approximately $944 million.</w:t>
      </w:r>
    </w:p>
    <w:p>
      <w:pPr>
        <w:spacing w:after="0" w:line="211" w:lineRule="exact"/>
        <w:rPr>
          <w:sz w:val="20"/>
          <w:szCs w:val="20"/>
          <w:color w:val="auto"/>
        </w:rPr>
      </w:pPr>
    </w:p>
    <w:p>
      <w:pPr>
        <w:ind w:right="220"/>
        <w:spacing w:after="0" w:line="249" w:lineRule="auto"/>
        <w:rPr>
          <w:sz w:val="20"/>
          <w:szCs w:val="20"/>
          <w:color w:val="auto"/>
        </w:rPr>
      </w:pPr>
      <w:r>
        <w:rPr>
          <w:rFonts w:ascii="Arial" w:cs="Arial" w:eastAsia="Arial" w:hAnsi="Arial"/>
          <w:sz w:val="20"/>
          <w:szCs w:val="20"/>
          <w:b w:val="1"/>
          <w:bCs w:val="1"/>
          <w:color w:val="00274E"/>
        </w:rPr>
        <w:t xml:space="preserve">Investment Regulation </w:t>
      </w:r>
      <w:r>
        <w:rPr>
          <w:rFonts w:ascii="Arial" w:cs="Arial" w:eastAsia="Arial" w:hAnsi="Arial"/>
          <w:sz w:val="17"/>
          <w:szCs w:val="17"/>
          <w:color w:val="000000"/>
        </w:rPr>
        <w:t>Investments must comply with applicable laws and regulations that prescribe the kind, quality and concentration of</w:t>
      </w:r>
      <w:r>
        <w:rPr>
          <w:rFonts w:ascii="Arial" w:cs="Arial" w:eastAsia="Arial" w:hAnsi="Arial"/>
          <w:sz w:val="20"/>
          <w:szCs w:val="20"/>
          <w:b w:val="1"/>
          <w:bCs w:val="1"/>
          <w:color w:val="00274E"/>
        </w:rPr>
        <w:t xml:space="preserve"> </w:t>
      </w:r>
      <w:r>
        <w:rPr>
          <w:rFonts w:ascii="Arial" w:cs="Arial" w:eastAsia="Arial" w:hAnsi="Arial"/>
          <w:sz w:val="17"/>
          <w:szCs w:val="17"/>
          <w:color w:val="000000"/>
        </w:rPr>
        <w:t>investments. In general, these laws and regulations permit investments in federal, state and municipal obligations, corporate bonds, preferred and common equity securities, mortgage loans, real estate and certain other investments, subject to specified limits and certain other qualifications.</w:t>
      </w:r>
    </w:p>
    <w:p>
      <w:pPr>
        <w:spacing w:after="0" w:line="210" w:lineRule="exact"/>
        <w:rPr>
          <w:sz w:val="20"/>
          <w:szCs w:val="20"/>
          <w:color w:val="auto"/>
        </w:rPr>
      </w:pPr>
    </w:p>
    <w:p>
      <w:pPr>
        <w:spacing w:after="0"/>
        <w:rPr>
          <w:sz w:val="20"/>
          <w:szCs w:val="20"/>
          <w:color w:val="auto"/>
        </w:rPr>
      </w:pPr>
      <w:r>
        <w:rPr>
          <w:rFonts w:ascii="Arial" w:cs="Arial" w:eastAsia="Arial" w:hAnsi="Arial"/>
          <w:sz w:val="25"/>
          <w:szCs w:val="25"/>
          <w:b w:val="1"/>
          <w:bCs w:val="1"/>
          <w:color w:val="00274E"/>
        </w:rPr>
        <w:t>Federal Regulation</w:t>
      </w:r>
    </w:p>
    <w:p>
      <w:pPr>
        <w:spacing w:after="0" w:line="255"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Although the federal government and its regulatory agencies generally do not directly regulate the business of insurance, federal legislation and administrative rules adopted apply to AFG’s business. For instance, privacy laws, such as the Gramm-Leach-Bliley Act and the Fair Credit Reporting Act, affect AFG’s day-to-day operations. AFG is also subject to other federal laws, such as the Terrorism Risk Insurance Act (“TRIA”), the Nonadmitted and Reinsurance Reform Act (“NRRA”), the U.S. Foreign Corrupt Practices Act (“FCPA”), and the rules and regulations of the Office of Foreign Assets Control (“OFAC”).</w:t>
      </w:r>
    </w:p>
    <w:p>
      <w:pPr>
        <w:spacing w:after="0" w:line="206"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The Dodd-Frank Wall Street Reform and Consumer Protection Act of 2010 (“Dodd-Frank”), contains insurance industry-specific provisions, including establishment of the Federal Insurance Office (“FIO”) and streamlining the regulation and taxation of surplus lines insurance and reinsurance among the states. The FIO, part of the U.S. Department of the Treasury, has limited authority and no direct regulatory authority over the business of insurance. The FIO’s principal mandates include monitoring the insurance industry, monitoring the extent to which traditionally underserved communities and consumers have access to affordable non-health insurance products, collecting insurance industry information and data and representing the U.S. with international insurance regulators.</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b w:val="1"/>
          <w:bCs w:val="1"/>
          <w:color w:val="00274E"/>
        </w:rPr>
        <w:t>International Regulation</w:t>
      </w:r>
    </w:p>
    <w:p>
      <w:pPr>
        <w:spacing w:after="0" w:line="268"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AFG operates in limited foreign jurisdictions where its operations are subject to regulation and supervision of the various jurisdictions. These regulations, which vary depending on the jurisdiction, include, among others, solvency and market conduct regulations, including Solvency II; anti-corruption and anti-terrorist financing guidelines, laws and regulations; various privacy, insurance, tax, tariff, trade and sanctions laws and regulations, including the EU and UK General Data Protection Regulation (“GDPR”); and corporate, employment, intellectual property and investment laws and regulations. AFG has foreign insurance company subsidiaries domiciled in the United Kingdom, Ireland, Mexico, Bermuda, and the Cayman Islands and branch operations in Canada and Singapore, all of which are subject to regulation by the insurance regulator of such jurisdiction.</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36"/>
          <w:szCs w:val="36"/>
          <w:b w:val="1"/>
          <w:bCs w:val="1"/>
          <w:color w:val="00274E"/>
        </w:rPr>
        <w:t>Item 1A. Risk Factors</w:t>
      </w:r>
    </w:p>
    <w:p>
      <w:pPr>
        <w:spacing w:after="0" w:line="263"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 xml:space="preserve">In addition to the other information set forth in this report, particularly information under </w:t>
      </w:r>
      <w:r>
        <w:rPr>
          <w:rFonts w:ascii="Arial" w:cs="Arial" w:eastAsia="Arial" w:hAnsi="Arial"/>
          <w:sz w:val="17"/>
          <w:szCs w:val="17"/>
          <w:i w:val="1"/>
          <w:iCs w:val="1"/>
          <w:color w:val="auto"/>
        </w:rPr>
        <w:t>“Forward-Looking Statements”</w:t>
      </w:r>
      <w:r>
        <w:rPr>
          <w:rFonts w:ascii="Arial" w:cs="Arial" w:eastAsia="Arial" w:hAnsi="Arial"/>
          <w:sz w:val="17"/>
          <w:szCs w:val="17"/>
          <w:color w:val="auto"/>
        </w:rPr>
        <w:t xml:space="preserve"> and </w:t>
      </w:r>
      <w:r>
        <w:rPr>
          <w:rFonts w:ascii="Arial" w:cs="Arial" w:eastAsia="Arial" w:hAnsi="Arial"/>
          <w:sz w:val="17"/>
          <w:szCs w:val="17"/>
          <w:i w:val="1"/>
          <w:iCs w:val="1"/>
          <w:color w:val="auto"/>
        </w:rPr>
        <w:t>“Management’s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Discussion and Analysis of Financial Condition and Results of Operations,” </w:t>
      </w:r>
      <w:r>
        <w:rPr>
          <w:rFonts w:ascii="Arial" w:cs="Arial" w:eastAsia="Arial" w:hAnsi="Arial"/>
          <w:sz w:val="17"/>
          <w:szCs w:val="17"/>
          <w:color w:val="auto"/>
        </w:rPr>
        <w:t>the following are the material factors affecting AFG’s business. Any one</w:t>
      </w:r>
      <w:r>
        <w:rPr>
          <w:rFonts w:ascii="Arial" w:cs="Arial" w:eastAsia="Arial" w:hAnsi="Arial"/>
          <w:sz w:val="17"/>
          <w:szCs w:val="17"/>
          <w:i w:val="1"/>
          <w:iCs w:val="1"/>
          <w:color w:val="auto"/>
        </w:rPr>
        <w:t xml:space="preserve"> </w:t>
      </w:r>
      <w:r>
        <w:rPr>
          <w:rFonts w:ascii="Arial" w:cs="Arial" w:eastAsia="Arial" w:hAnsi="Arial"/>
          <w:sz w:val="17"/>
          <w:szCs w:val="17"/>
          <w:color w:val="auto"/>
        </w:rPr>
        <w:t>of these factors could cause AFG’s actual results to vary materially from recent results or from anticipated future results. Additional risks and uncertainties not currently known to AFG or that AFG currently deems to be immaterial also may materially adversely affect AFG’s business, financial condition or 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274E"/>
        </w:rPr>
        <w:t>RISKS RELATING TO AFG’S INSURANCE OPERATIONS, DISTRIBUTION AND PRODUCTS</w:t>
      </w:r>
    </w:p>
    <w:p>
      <w:pPr>
        <w:spacing w:after="0" w:line="103" w:lineRule="exact"/>
        <w:rPr>
          <w:sz w:val="20"/>
          <w:szCs w:val="20"/>
          <w:color w:val="auto"/>
        </w:rPr>
      </w:pPr>
    </w:p>
    <w:p>
      <w:pPr>
        <w:ind w:right="380"/>
        <w:spacing w:after="0" w:line="275" w:lineRule="auto"/>
        <w:rPr>
          <w:sz w:val="20"/>
          <w:szCs w:val="20"/>
          <w:color w:val="auto"/>
        </w:rPr>
      </w:pPr>
      <w:r>
        <w:rPr>
          <w:rFonts w:ascii="Arial" w:cs="Arial" w:eastAsia="Arial" w:hAnsi="Arial"/>
          <w:sz w:val="20"/>
          <w:szCs w:val="20"/>
          <w:b w:val="1"/>
          <w:bCs w:val="1"/>
          <w:color w:val="auto"/>
        </w:rPr>
        <w:t>AFG’s results of operations could be adversely impacted by catastrophes, both natural and man-made, pandemics, severe weather conditions or climate change.</w:t>
      </w:r>
    </w:p>
    <w:p>
      <w:pPr>
        <w:spacing w:after="0" w:line="1"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Catastrophes can be caused by unpredictable natural events such as hurricanes, windstorms, severe storms, tornadoes, floods, hailstorms, earthquakes, explosions and fire, and by other events, such as terrorist attacks and civil unrest, as well as pandemics and other similar outbreaks in many parts of the world. These events may have a material adverse effect on AFG’s workforce and business operations as well as the workforce and operations of AFG’s customers and independent agents.</w:t>
      </w:r>
    </w:p>
    <w:p>
      <w:pPr>
        <w:spacing w:after="0" w:line="200"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The extent of gross losses for AFG’s insurance operations from a catastrophe event is a function of both the total amount of insured exposure in the area affected by the event and the severity of the event. In addition, certain catastrophes could result in both property and non-property claims from the same event. AFG purchases catastrophe reinsurance as protection against catastrophe losses. Reinsurance is subject to the adequacy and counterparty reinsurance risks described below under “The inability to obtain reinsurance or to collect on ceded reinsurance could adversely affect AFG’s results of operations.” A severe catastrophe or a series of catastrophes could result in losses exceeding AFG’s reinsurance protection and may have a material adverse impact on its results of operations or financial condition.</w:t>
      </w:r>
    </w:p>
    <w:p>
      <w:pPr>
        <w:spacing w:after="0" w:line="206"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Changing weather patterns and climate change have added to the unpredictability, frequency and severity of weather-related catastrophes and other losses, such as wildfires or flooding, incurred by the industry in recent years. These changing weather patterns, whether as a result of global climate change caused by human activities or otherwise, make it more difficult for AFG to predict and model catastrophic events, reducing AFG’s ability to accurately price its exposure to such events and mitigate its risks. In addition, claims for catastrophic events, or an unusual frequency of smaller losses in a particular period, such as from lower severity convective storms, could expose AFG to large losses, cause substantial volatility in its results of operations and could have a material adverse effect on its ability to write new business if AFG is not able to adequately assess and reserve for the increased frequency and severity of catastrophes resulting from these environmental factors. In addition, any increase in the frequency or severity of catastrophic events may result in losses exceeding AFG’s reinsurance protection or may result in substantial volatility in or materially impact AFG’s results of operations or financial condition.</w:t>
      </w:r>
    </w:p>
    <w:p>
      <w:pPr>
        <w:spacing w:after="0" w:line="207" w:lineRule="exact"/>
        <w:rPr>
          <w:sz w:val="20"/>
          <w:szCs w:val="20"/>
          <w:color w:val="auto"/>
        </w:rPr>
      </w:pPr>
    </w:p>
    <w:p>
      <w:pPr>
        <w:ind w:right="500"/>
        <w:spacing w:after="0" w:line="261" w:lineRule="auto"/>
        <w:rPr>
          <w:sz w:val="20"/>
          <w:szCs w:val="20"/>
          <w:color w:val="auto"/>
        </w:rPr>
      </w:pPr>
      <w:r>
        <w:rPr>
          <w:rFonts w:ascii="Arial" w:cs="Arial" w:eastAsia="Arial" w:hAnsi="Arial"/>
          <w:sz w:val="20"/>
          <w:szCs w:val="20"/>
          <w:b w:val="1"/>
          <w:bCs w:val="1"/>
          <w:color w:val="auto"/>
        </w:rPr>
        <w:t>Volatility in crop prices, as a result of weather conditions or other events, could adversely impact AFG’s results of operations.</w:t>
      </w:r>
    </w:p>
    <w:p>
      <w:pPr>
        <w:spacing w:after="0" w:line="1"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Weather conditions, including too much moisture (flooding or excessive rain), not enough moisture (droughts), and the level of crop prices in the commodities market heavily impact AFG’s crop insurance business. These factors are inherently unpredictable and could result in significant volatility in the results of the crop insurance business from one year to the next. AFG’s crop results could also be negatively impacted by pests and plant disease. A large decline in the commodity prices of one or more of the major crops that AFG insures could have a material adverse effect on AFG’s results of operations or financial condition.</w:t>
      </w:r>
    </w:p>
    <w:p>
      <w:pPr>
        <w:spacing w:after="0" w:line="221" w:lineRule="exact"/>
        <w:rPr>
          <w:sz w:val="20"/>
          <w:szCs w:val="20"/>
          <w:color w:val="auto"/>
        </w:rPr>
      </w:pPr>
    </w:p>
    <w:p>
      <w:pPr>
        <w:ind w:right="200"/>
        <w:spacing w:after="0" w:line="275" w:lineRule="auto"/>
        <w:rPr>
          <w:sz w:val="20"/>
          <w:szCs w:val="20"/>
          <w:color w:val="auto"/>
        </w:rPr>
      </w:pPr>
      <w:r>
        <w:rPr>
          <w:rFonts w:ascii="Arial" w:cs="Arial" w:eastAsia="Arial" w:hAnsi="Arial"/>
          <w:sz w:val="20"/>
          <w:szCs w:val="20"/>
          <w:b w:val="1"/>
          <w:bCs w:val="1"/>
          <w:color w:val="auto"/>
        </w:rPr>
        <w:t>AFG’s results of operations and revenues may fluctuate as a result of many factors, including cyclical changes in the insurance industry.</w:t>
      </w:r>
    </w:p>
    <w:p>
      <w:pPr>
        <w:spacing w:after="0" w:line="1"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The results of operations of companies in the property and casualty insurance industry historically have been subject to fluctuations and uncertainties from many factors including competitive pressures, rising loss costs and changes in the level of reinsurance pricing and capacity, among others. Such factors often cause cyclical changes in the insurance industry with effects that are not uniform among product lines. The demand for property and casualty insurance, both admitted and excess and surplus lines, can vary significantly, rising as the overall level of economic activity increases and falling as that activity decreases, causing AFG’s revenues to fluctuate. As a result, AFG’s premium levels, renewal rates, expense ratio and other items could be materially adversely impacted. These factors could produce results that would have a negative impact on AFG’s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right="140"/>
        <w:spacing w:after="0" w:line="275" w:lineRule="auto"/>
        <w:rPr>
          <w:sz w:val="20"/>
          <w:szCs w:val="20"/>
          <w:color w:val="auto"/>
        </w:rPr>
      </w:pPr>
      <w:r>
        <w:rPr>
          <w:rFonts w:ascii="Arial" w:cs="Arial" w:eastAsia="Arial" w:hAnsi="Arial"/>
          <w:sz w:val="20"/>
          <w:szCs w:val="20"/>
          <w:b w:val="1"/>
          <w:bCs w:val="1"/>
          <w:color w:val="auto"/>
        </w:rPr>
        <w:t>AFG’s success will depend on its ability to maintain and enhance effective operating procedures and manage risks on an enterprise-wide basis.</w:t>
      </w:r>
    </w:p>
    <w:p>
      <w:pPr>
        <w:spacing w:after="0" w:line="1"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Operational risk and losses can result from, among other things, fraud, errors, failure to document transactions properly, failure to obtain proper internal authorization, failure to comply with regulatory requirements, information technology failures or external events. AFG continues to enhance its operating procedures and internal controls to effectively support its business and its regulatory and reporting requirements. The NAIC and state legislatures have increased their focus on risks within an insurer’s holding company system that may pose enterprise risk to insurers. AFG must submit an Own Risk and Solvency Assessment Summary Report (“ORSA”) at least annually to its lead state insurance regulator. The ORSA is a confidential internal assessment of the material and relevant risks associated with an insurer’s current business plan and the sufficiency of capital resources to support those risks.</w:t>
      </w:r>
    </w:p>
    <w:p>
      <w:pPr>
        <w:spacing w:after="0" w:line="222"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AFG operates within an enterprise risk management (“ERM”) framework designed to assess and monitor risks. However, assurance that AFG can effectively identify, review and monitor all risks or that all its employees will operate within the ERM framework cannot be guaranteed. Assurances that AFG’s ERM framework will result in the Company accurately identifying all risks and accurately limiting its exposures based on its assessments also cannot be guaranteed. Any ineffectiveness in AFG’s control or procedures or failure to manage these risks may have an adverse effect on AFG’s results of operations and financial condition.</w:t>
      </w:r>
    </w:p>
    <w:p>
      <w:pPr>
        <w:spacing w:after="0" w:line="207" w:lineRule="exact"/>
        <w:rPr>
          <w:sz w:val="20"/>
          <w:szCs w:val="20"/>
          <w:color w:val="auto"/>
        </w:rPr>
      </w:pPr>
    </w:p>
    <w:p>
      <w:pPr>
        <w:spacing w:after="0" w:line="282" w:lineRule="auto"/>
        <w:rPr>
          <w:sz w:val="20"/>
          <w:szCs w:val="20"/>
          <w:color w:val="auto"/>
        </w:rPr>
      </w:pPr>
      <w:r>
        <w:rPr>
          <w:rFonts w:ascii="Arial" w:cs="Arial" w:eastAsia="Arial" w:hAnsi="Arial"/>
          <w:sz w:val="20"/>
          <w:szCs w:val="20"/>
          <w:b w:val="1"/>
          <w:bCs w:val="1"/>
          <w:color w:val="auto"/>
        </w:rPr>
        <w:t>AFG could face unanticipated losses from war, terrorism, political unrest and geopolitical uncertainty which could have a material adverse effect on AFG’s financial condition and results of operations.</w:t>
      </w:r>
    </w:p>
    <w:p>
      <w:pPr>
        <w:spacing w:after="0" w:line="1"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AFG has substantial exposure to unexpected losses resulting from war, acts of terrorism, political unrest and geopolitical instability in many regions of the world. Private sector catastrophe reinsurance is limited and generally unavailable for terrorism losses caused by attacks with nuclear, biological, chemical or radiological weapons. On December 20, 2019, the President of the United States signed the Terrorism Risk Insurance Program Reauthorization Act of 2019 (“TRIP"), extending the program through December 31, 2027. Although TRIP provides benefits in the event of certain acts of terrorism, those benefits are subject to a deductible and to other limitations. AFG cannot predict or eliminate its exposure to events of war, terrorism, political unrest or geopolitical uncertainty, and to the extent that losses from such events occur, AFG’s financial condition and results of operations could be materially adversely affected.</w:t>
      </w:r>
    </w:p>
    <w:p>
      <w:pPr>
        <w:spacing w:after="0" w:line="207" w:lineRule="exact"/>
        <w:rPr>
          <w:sz w:val="20"/>
          <w:szCs w:val="20"/>
          <w:color w:val="auto"/>
        </w:rPr>
      </w:pPr>
    </w:p>
    <w:p>
      <w:pPr>
        <w:ind w:right="320"/>
        <w:spacing w:after="0" w:line="275" w:lineRule="auto"/>
        <w:rPr>
          <w:sz w:val="20"/>
          <w:szCs w:val="20"/>
          <w:color w:val="auto"/>
        </w:rPr>
      </w:pPr>
      <w:r>
        <w:rPr>
          <w:rFonts w:ascii="Arial" w:cs="Arial" w:eastAsia="Arial" w:hAnsi="Arial"/>
          <w:sz w:val="20"/>
          <w:szCs w:val="20"/>
          <w:b w:val="1"/>
          <w:bCs w:val="1"/>
          <w:color w:val="auto"/>
        </w:rPr>
        <w:t>AFG’s international operations expose it to investment, political and economic risks, including foreign currency and credit risk.</w:t>
      </w:r>
    </w:p>
    <w:p>
      <w:pPr>
        <w:spacing w:after="0" w:line="1"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AFG’s international operations expose AFG to additional risks including restrictions such as price controls, capital controls, currency exchange limits, ownership limits and other restrictive or anti-competitive governmental actions or requirements, which could have an adverse effect on AFG’s business and reputation. AFG’s business activities outside the United States may also be subject to political and economic risks, including foreign currency and credit risk.</w:t>
      </w:r>
    </w:p>
    <w:p>
      <w:pPr>
        <w:spacing w:after="0" w:line="200"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AFG’s business activities outside the United States subject AFG to additional domestic and foreign laws and regulations, including the Foreign Corrupt Practices Act, the UK Bribery Act and similar laws in other countries that prohibit the making of improper payments to foreign officials. Although AFG has policies and controls in place that are designed to ensure compliance with these laws, if those controls are ineffective and an employee or intermediary fails to comply with applicable laws and regulations, AFG could suffer civil and criminal penalties and AFG’s business and reputation could be adversely affected. Some countries have laws and regulations that lack clarity and, even with local expertise and effective controls, it can be difficult to determine the exact requirements of, and potential liability for non-compliance under, the local laws. Failure to comply with local laws in a particular market may result in substantial liability and could have a significant and negative effect not only on AFG’s business in that market but also on AFG’s reputation generally.</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00274E"/>
        </w:rPr>
        <w:t>RISKS RELATING TO THE INSURANCE INDUSTRY</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Intense competition could adversely affect AFG’s results of operations.</w:t>
      </w:r>
    </w:p>
    <w:p>
      <w:pPr>
        <w:spacing w:after="0" w:line="55"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The property and casualty insurance segment operates in a highly competitive industry that is affected by many factors that can cause significant fluctuations in its results of operations. The lines of business in this segment compete with other individual insurers, state funds and insurance groups of varying sizes, some of which are mutual insurance companies possessing competitive advantages in that all their profits inure to their policyholders. The property and casualty insurance segment also competes with self-insurance plans, captive programs and risk retention groups. In addition, certain foreign insurers may be taxed at lower rates, which may result in a competitive advantage over AFG.</w:t>
      </w:r>
    </w:p>
    <w:p>
      <w:pPr>
        <w:spacing w:after="0" w:line="206" w:lineRule="exact"/>
        <w:rPr>
          <w:sz w:val="20"/>
          <w:szCs w:val="20"/>
          <w:color w:val="auto"/>
        </w:rPr>
      </w:pPr>
    </w:p>
    <w:p>
      <w:pPr>
        <w:jc w:val="both"/>
        <w:ind w:right="220"/>
        <w:spacing w:after="0" w:line="266" w:lineRule="auto"/>
        <w:rPr>
          <w:sz w:val="20"/>
          <w:szCs w:val="20"/>
          <w:color w:val="auto"/>
        </w:rPr>
      </w:pPr>
      <w:r>
        <w:rPr>
          <w:rFonts w:ascii="Arial" w:cs="Arial" w:eastAsia="Arial" w:hAnsi="Arial"/>
          <w:sz w:val="17"/>
          <w:szCs w:val="17"/>
          <w:color w:val="auto"/>
        </w:rPr>
        <w:t>In recent years, various types of investors have increasingly sought to participate in the property and casualty insurance industry. Well-capitalized new entrants to the property and casualty insurance industry, or existing competitors that receive substantial infusions of capital or access to third-party capital, provide increasing competition, which may adversely impact</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AFG’s business and profitability. Further, technology companies or other third parties have created, and may in the future create, technology-enabled business models, processes, platforms or alternate distribution channels that may adversely impact AFG’s competitive position in some parts of its business.</w:t>
      </w:r>
    </w:p>
    <w:p>
      <w:pPr>
        <w:spacing w:after="0" w:line="214"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AFG may utilize artificial intelligence and machine learning (“AI”) in its business or incorporate AI into its products and services. The AI used by AFG may not operate properly or as expected, which could cause AFG to write policies it may not have otherwise written, misprice policies, assume greater risks, or overpay customer claims, among other potential negative impacts on its business and operations. AFG’s existing competitors, new entrants, technology companies or other third parties may leverage AI to the benefit of their business or operations or may incorporate AI into their products and services more quickly or successfully than AFG, which could make AFG less competitive and negatively impact its results of operations. In addition, if the content, analyses, output or recommendations produced by or with the assistance of AI are unintentionally, or are alleged to be, deficient, inaccurate or misleading, AFG’s business, financial condition and results of operation may be adversely impacted.</w:t>
      </w:r>
    </w:p>
    <w:p>
      <w:pPr>
        <w:spacing w:after="0" w:line="209"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Competition is based on many factors, including service to policyholders and agents, product design, reputation for claims handling, price, commissions, ratings and financial strength. The property and casualty market has experienced periods characterized by increased competition, resulting in less restrictive underwriting standards and relatively low premium rates, followed by periods of relatively lower levels of competition, more selective underwriting standards and relatively high premium rates. During periods in which price competition is high or industry underwriting standards have loosened or degraded, AFG may lose business to competitors offering competitive insurance products at lower prices or more favorable terms. Some of AFG’s competitors have more capital and greater resources than AFG and may offer a broader range of products, lower prices or better terms than AFG offers. If competition limits AFG’s ability to write new or renewal business at adequate rates, its results of operations will be adversely affected.</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AFG’s revenues could be adversely affected if it is not able to attract and retain independent agents.</w:t>
      </w:r>
    </w:p>
    <w:p>
      <w:pPr>
        <w:spacing w:after="0" w:line="68"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AFG’s reliance on the independent agency market makes it vulnerable to a reduction in the amount of business written by agents. Many of AFG’s competitors also rely significantly on the independent agency market. Some of AFG’s competitors offer a wider variety of products or higher commissions. AFG also faces credit risk with respect to its independent agents, as they may not pay all the premiums owed to AFG and it may be difficult or impossible to recover such amounts. A reduction in the number of independent agencies marketing AFG’s products, the failure of agencies to successfully market AFG’s products, changes in the strategy or operations of agencies (including agency consolidation), the inability of AFG to collect amounts owed by agencies or the choice of agencies to reduce their writings of AFG products could adversely affect AFG’s revenues and profitability.</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00274E"/>
        </w:rPr>
        <w:t>RISKS RELATING TO ESTIMATES, ASSUMPTIONS AND VALUATIONS</w:t>
      </w:r>
    </w:p>
    <w:p>
      <w:pPr>
        <w:spacing w:after="0" w:line="103" w:lineRule="exact"/>
        <w:rPr>
          <w:sz w:val="20"/>
          <w:szCs w:val="20"/>
          <w:color w:val="auto"/>
        </w:rPr>
      </w:pPr>
    </w:p>
    <w:p>
      <w:pPr>
        <w:ind w:right="80"/>
        <w:spacing w:after="0" w:line="282" w:lineRule="auto"/>
        <w:rPr>
          <w:sz w:val="20"/>
          <w:szCs w:val="20"/>
          <w:color w:val="auto"/>
        </w:rPr>
      </w:pPr>
      <w:r>
        <w:rPr>
          <w:rFonts w:ascii="Arial" w:cs="Arial" w:eastAsia="Arial" w:hAnsi="Arial"/>
          <w:sz w:val="20"/>
          <w:szCs w:val="20"/>
          <w:b w:val="1"/>
          <w:bCs w:val="1"/>
          <w:color w:val="auto"/>
        </w:rPr>
        <w:t>AFG’s property and casualty reserves may be inadequate, which could have a material adverse effect on AFG’s results of operations.</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Liabilities for unpaid losses and loss adjustment expenses (“LAE”) do not represent an exact calculation of liability but instead represent management estimates of what the ultimate settlement and administration of claims will cost, supported by actuarial expertise and projection techniques, at a given accounting date. The process of estimating unpaid losses and LAE reserves involves a high degree of judgment and is subject to numerous internal and external factors. Variability is introduced by changes in claims handling procedures, the impact of general and wage inflation on loss cost trends, increasing litigation and erosion of causation and coverage defenses for insurance claims, legislative actions, evolving mass tort issues and varying judgments and viewpoints of the individuals involved in the estimation process, among others. The impact of many of these items on ultimate costs for unpaid losses and LAE is difficult to estimate. Unpaid losses and LAE reserve estimation difficulties also differ significantly by product line due to differences in claim complexity, the volume of claims, the potential severity of individual claims, the determination of an occurrence date for a claim and lags in the time between damage, loss or injury and when a claim is actually reported to the insurer. In addition, the historic development of AFG’s liability for unpaid losses and LAE may not necessarily reflect future trends in the development of these amounts. To the extent that reserves are inadequate and are strengthened, AFG’s profitability would be adversely affected because the amount of any such increase would be treated as a charge to earnings in the period in which the deficiency is recognized.</w:t>
      </w:r>
    </w:p>
    <w:p>
      <w:pPr>
        <w:spacing w:after="0" w:line="216" w:lineRule="exact"/>
        <w:rPr>
          <w:sz w:val="20"/>
          <w:szCs w:val="20"/>
          <w:color w:val="auto"/>
        </w:rPr>
      </w:pPr>
    </w:p>
    <w:p>
      <w:pPr>
        <w:ind w:right="200"/>
        <w:spacing w:after="0" w:line="275" w:lineRule="auto"/>
        <w:rPr>
          <w:sz w:val="20"/>
          <w:szCs w:val="20"/>
          <w:color w:val="auto"/>
        </w:rPr>
      </w:pPr>
      <w:r>
        <w:rPr>
          <w:rFonts w:ascii="Arial" w:cs="Arial" w:eastAsia="Arial" w:hAnsi="Arial"/>
          <w:sz w:val="20"/>
          <w:szCs w:val="20"/>
          <w:b w:val="1"/>
          <w:bCs w:val="1"/>
          <w:color w:val="auto"/>
        </w:rPr>
        <w:t>AFG uses analytical models to assist in its underwriting, reserving and reinsurance purchasing decision-making, and actual results may differ materially from the model outputs and related analyses.</w:t>
      </w:r>
    </w:p>
    <w:p>
      <w:pPr>
        <w:spacing w:after="0" w:line="1"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color w:val="auto"/>
        </w:rPr>
        <w:t>AFG uses various modeling techniques and data analytics to analyze and estimate exposures, loss trends and other risks associated with its assets and liabilities. AFG uses the modeled outputs and related analyses to assist in decision-making</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in areas such as underwriting, claims, reserving, reinsurance and catastrophe risk. The modeled outputs and related analyses are subject to various assumptions, uncertainties, model errors and the inherent limitations of any statistical analysis, including the use of historical internal and industry data. In addition, the modeled outputs and related analyses may from time to time contain inaccuracies, perhaps in material respects, including as a result of inaccurate inputs or applications thereof. Consequently, actual results may differ materially from AFG’s modeled results. AFG may also utilize AI to assist with modeled outputs and related analyses, the results of which may be unintentionally deficient, inaccurate or misleading. If, based upon these models or other factors, AFG underestimates the frequency and/or severity of loss events or overestimates the risks it is exposed to, new business growth and retention of AFG’s existing business may be adversely affected which could have an adverse effect on AFG’s results of operations and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Exposure to mass tort claims could materially adversely affect AFG’s results of operations and financial condition.</w:t>
      </w:r>
    </w:p>
    <w:p>
      <w:pPr>
        <w:spacing w:after="0" w:line="55"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AFG has current exposures and may in the future have additional exposures arising from its insurance operations and former railroad and manufacturing operations, including those relating to asbestos and environmental matters (“A&amp;E”), as well as other potentially harmful products or substances, such as per- and polyfluoroalkyl substances (“PFAS”), talc and opioids, or cumulative trauma (e.g. concussion/abuse). Establishing A&amp;E liabilities is subject to uncertainties that are significantly greater than those presented by other types of liabilities. Uncertainties include the long delays between exposure and manifestation of any bodily injury or property damage, difficulty in identifying the source of the asbestos or environmental contamination, long reporting delays, the risks inherent in complex litigation and difficulty in properly allocating liability for the asbestos or environmental damage. As a result, A&amp;E liabilities are subject to revision as new information becomes available and as claims are made and develop. Claimants continue to assert new and novel theories of recovery and expand the right to sue, judicial interpretations continue to evolve, and from time to time, there is proposed state and federal legislation regarding mass tort claim liability, which would also affect AFG’s exposure. In addition, third party funding of litigation has continued to grow, which may increase the number of claims and result in higher jury awards. If AFG has not established adequate reserves to cover future claims, AFG’s results of operations and financial condition could be materially adversely affected.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00274E"/>
        </w:rPr>
        <w:t>RISKS RELATING TO ECONOMIC, POLITICAL AND GLOBAL MARKET CONDITIONS</w:t>
      </w:r>
    </w:p>
    <w:p>
      <w:pPr>
        <w:spacing w:after="0" w:line="103" w:lineRule="exact"/>
        <w:rPr>
          <w:sz w:val="20"/>
          <w:szCs w:val="20"/>
          <w:color w:val="auto"/>
        </w:rPr>
      </w:pPr>
    </w:p>
    <w:p>
      <w:pPr>
        <w:ind w:right="260"/>
        <w:spacing w:after="0" w:line="282" w:lineRule="auto"/>
        <w:rPr>
          <w:sz w:val="20"/>
          <w:szCs w:val="20"/>
          <w:color w:val="auto"/>
        </w:rPr>
      </w:pPr>
      <w:r>
        <w:rPr>
          <w:rFonts w:ascii="Arial" w:cs="Arial" w:eastAsia="Arial" w:hAnsi="Arial"/>
          <w:sz w:val="20"/>
          <w:szCs w:val="20"/>
          <w:b w:val="1"/>
          <w:bCs w:val="1"/>
          <w:color w:val="auto"/>
        </w:rPr>
        <w:t>AFG’s investment portfolio is subject to market risk, including changes in interest rates, which could have a material adverse effect on AFG’s results of operations and financial condition.</w:t>
      </w:r>
    </w:p>
    <w:p>
      <w:pPr>
        <w:spacing w:after="0" w:line="1"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Investment returns are an important part of AFG’s profitability. AFG’s investments are subject to market-wide risks and fluctuations, including in the fixed maturity and equity securities markets, which could impair its profitability, financial condition and cash flows.</w:t>
      </w:r>
    </w:p>
    <w:p>
      <w:pPr>
        <w:spacing w:after="0" w:line="185"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AFG’s investment portfolio is highly concentrated in fixed maturity investments that are sensitive to changes in interest rates. Changes in interest rates may materially adversely affect the performance of some of its investments, including by materially reducing the fair value of and net investment income from fixed maturities and increasing unrealized losses in AFG’s investment portfolio. AFG’s fixed maturity portfolio is also subject to credit risk as certain investments may default or become impaired due to deterioration in the financial condition of issuers of those investments. In addition to the risks applicable to the entire fixed maturity investment portfolio, changes in interest rates can expose AFG to prepayment risks on its mortgage-backed securities. In periods of declining interest rates, mortgage prepayments generally increase and mortgage-backed securities are paid down more quickly, which may require AFG to reinvest the proceeds at lower interest rates.</w:t>
      </w:r>
    </w:p>
    <w:p>
      <w:pPr>
        <w:spacing w:after="0" w:line="207" w:lineRule="exact"/>
        <w:rPr>
          <w:sz w:val="20"/>
          <w:szCs w:val="20"/>
          <w:color w:val="auto"/>
        </w:rPr>
      </w:pPr>
    </w:p>
    <w:p>
      <w:pPr>
        <w:ind w:right="120"/>
        <w:spacing w:after="0" w:line="275" w:lineRule="auto"/>
        <w:rPr>
          <w:sz w:val="20"/>
          <w:szCs w:val="20"/>
          <w:color w:val="auto"/>
        </w:rPr>
      </w:pPr>
      <w:r>
        <w:rPr>
          <w:rFonts w:ascii="Arial" w:cs="Arial" w:eastAsia="Arial" w:hAnsi="Arial"/>
          <w:sz w:val="20"/>
          <w:szCs w:val="20"/>
          <w:b w:val="1"/>
          <w:bCs w:val="1"/>
          <w:color w:val="auto"/>
        </w:rPr>
        <w:t>General economic, financial market and political conditions and conditions in the markets in which AFG operates may materially adversely affect its investment portfolio, results of operations, financial condition and stock price.</w:t>
      </w:r>
    </w:p>
    <w:p>
      <w:pPr>
        <w:spacing w:after="0" w:line="1"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General economic, financial market and political conditions and conditions in the markets in which AFG operates could have a material adverse effect on its results of operations and financial condition. Limited availability of credit, deteriorations of the domestic or global equity, debt, mortgage and real estate markets; declines in consumer confidence and consumer spending; increases in prices or in the rate of inflation; periods of high unemployment; persistently low or rapidly increasing interest rates; disruptive geopolitical events and other events outside of AFG’s control, such as a major epidemic or another pandemic (including a renewed surge of COVID-19 or any variants of the virus), could contribute to increased volatility and diminished expectations for the economy and the financial markets, including the value of AFG’s investment portfolio and the market for its stock.</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right="180"/>
        <w:spacing w:after="0" w:line="275" w:lineRule="auto"/>
        <w:rPr>
          <w:sz w:val="20"/>
          <w:szCs w:val="20"/>
          <w:color w:val="auto"/>
        </w:rPr>
      </w:pPr>
      <w:r>
        <w:rPr>
          <w:rFonts w:ascii="Arial" w:cs="Arial" w:eastAsia="Arial" w:hAnsi="Arial"/>
          <w:sz w:val="20"/>
          <w:szCs w:val="20"/>
          <w:b w:val="1"/>
          <w:bCs w:val="1"/>
          <w:color w:val="auto"/>
        </w:rPr>
        <w:t>AFG’s alternative investments may be illiquid and volatile in terms of value and returns, which could negatively affect AFG’s investment income and liquidity.</w:t>
      </w:r>
    </w:p>
    <w:p>
      <w:pPr>
        <w:spacing w:after="0" w:line="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AFG has invested, and intends to continue to invest in, alternative investments, such as limited partnerships and subordinate tranches of collateralized loan obligations for which changes in value are reported in net earnings. These and other similar investments may have different, more significant risk characteristics than investments in fixed maturity securities, may be more volatile and may be illiquid due to restrictions on sales, transfers and redemption terms, all of which could negatively affect AFG’s investment income and overall portfolio liquidity.</w:t>
      </w:r>
    </w:p>
    <w:p>
      <w:pPr>
        <w:spacing w:after="0" w:line="200" w:lineRule="exact"/>
        <w:rPr>
          <w:sz w:val="20"/>
          <w:szCs w:val="20"/>
          <w:color w:val="auto"/>
        </w:rPr>
      </w:pPr>
    </w:p>
    <w:p>
      <w:pPr>
        <w:ind w:right="280"/>
        <w:spacing w:after="0" w:line="266" w:lineRule="auto"/>
        <w:rPr>
          <w:sz w:val="20"/>
          <w:szCs w:val="20"/>
          <w:color w:val="auto"/>
        </w:rPr>
      </w:pPr>
      <w:r>
        <w:rPr>
          <w:rFonts w:ascii="Arial" w:cs="Arial" w:eastAsia="Arial" w:hAnsi="Arial"/>
          <w:sz w:val="17"/>
          <w:szCs w:val="17"/>
          <w:color w:val="auto"/>
        </w:rPr>
        <w:t>AFG has also invested, and intends to continue to invest in, limited partnerships and other entities that AFG does not control. AFG does not have management or operational control over the investees which may limit AFG’s ability to take actions that could protect or increase the value of the investment. In addition, these investments may be illiquid due to contractual provisions, and AFG may be unable to obtain liquidity through distributions from these investments in a timely manner or on favorable terms.</w:t>
      </w:r>
    </w:p>
    <w:p>
      <w:pPr>
        <w:spacing w:after="0" w:line="200" w:lineRule="exact"/>
        <w:rPr>
          <w:sz w:val="20"/>
          <w:szCs w:val="20"/>
          <w:color w:val="auto"/>
        </w:rPr>
      </w:pPr>
    </w:p>
    <w:p>
      <w:pPr>
        <w:ind w:right="320"/>
        <w:spacing w:after="0" w:line="266" w:lineRule="auto"/>
        <w:rPr>
          <w:sz w:val="20"/>
          <w:szCs w:val="20"/>
          <w:color w:val="auto"/>
        </w:rPr>
      </w:pPr>
      <w:r>
        <w:rPr>
          <w:rFonts w:ascii="Arial" w:cs="Arial" w:eastAsia="Arial" w:hAnsi="Arial"/>
          <w:sz w:val="17"/>
          <w:szCs w:val="17"/>
          <w:color w:val="auto"/>
        </w:rPr>
        <w:t>Alternative or “other” investments may not meet regulatory admissibility requirements or may result in increased regulatory capital charges to the insurance subsidiaries that hold these investments, which could limit those subsidiaries’ ability to pay dividends and negatively impact AFG’s liquidity.</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AFG’s access to capital may be limited or may not be available on favorable terms.</w:t>
      </w:r>
    </w:p>
    <w:p>
      <w:pPr>
        <w:spacing w:after="0" w:line="68"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AFG’s future capital requirements depend on many factors, including rating agency and regulatory requirements, the performance of the investment portfolio, the ability to write new business successfully and the ability to establish premium rates and loss reserves at levels sufficient to cover losses. Financial markets in the U.S. and elsewhere can experience extreme volatility, which exerts downward pressure on stock prices and limits access to the equity and debt markets for certain issuers, including AFG. While AFG can borrow up to $450 million under its revolving credit facility (“2023 Credit Facility”), AFG’s access to funds through the 2023 Credit Facility is dependent on the ability of its banks to meet their funding commitments. There were no borrowings outstanding under the 2023 Credit Facility (or its prior bank credit line) or any other parent company short-term borrowing arrangements during 2023. If AFG cannot obtain adequate capital or sources of credit on favorable terms, or at all, its business, operating results and financial condition could be adversely affected.</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00274E"/>
        </w:rPr>
        <w:t>RISKS RELATED TO TECHNOLOGY, DATA SECURITY AND PRIVACY</w:t>
      </w:r>
    </w:p>
    <w:p>
      <w:pPr>
        <w:spacing w:after="0" w:line="116" w:lineRule="exact"/>
        <w:rPr>
          <w:sz w:val="20"/>
          <w:szCs w:val="20"/>
          <w:color w:val="auto"/>
        </w:rPr>
      </w:pPr>
    </w:p>
    <w:p>
      <w:pPr>
        <w:ind w:right="200"/>
        <w:spacing w:after="0" w:line="275" w:lineRule="auto"/>
        <w:rPr>
          <w:sz w:val="20"/>
          <w:szCs w:val="20"/>
          <w:color w:val="auto"/>
        </w:rPr>
      </w:pPr>
      <w:r>
        <w:rPr>
          <w:rFonts w:ascii="Arial" w:cs="Arial" w:eastAsia="Arial" w:hAnsi="Arial"/>
          <w:sz w:val="20"/>
          <w:szCs w:val="20"/>
          <w:b w:val="1"/>
          <w:bCs w:val="1"/>
          <w:color w:val="auto"/>
        </w:rPr>
        <w:t>AFG may experience difficulties with technology or data security, which could have an adverse effect on its business or reputation.</w:t>
      </w:r>
    </w:p>
    <w:p>
      <w:pPr>
        <w:spacing w:after="0" w:line="1"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AFG uses computer systems and services, which may include or utilize AI applications, to store, retrieve, evaluate and utilize company and customer data and information. Systems failures or outages could compromise AFG’s ability to perform business functions in a timely manner, which could harm its ability to conduct business and hurt its relationships with business partners and customers. In the event of a disaster such as a natural catastrophe, an industrial accident, a blackout, a malicious software attack, a terrorist attack or war, AFG’s systems may be inaccessible to employees, customers or business partners for an extended period of time. Even if AFG’s employees are able to report to work, they may be unable to perform their duties for an extended period of time if AFG’s data or systems are disabled or destroyed.</w:t>
      </w:r>
    </w:p>
    <w:p>
      <w:pPr>
        <w:spacing w:after="0" w:line="206"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Businesses in the United States and in other countries have increasingly become the targets of “cyberattacks,” “ransomware,” “phishing,” “hacking” or similar illegal or unauthorized intrusions into computer systems and networks. Such events are often highly publicized, can result in significant disruptions to information technology systems and the theft of significant amounts of information as well as funds from online financial accounts, and can cause negative publicity and extensive damage to the reputation of the targeted business, in addition to leading to significant expenses associated with investigation, remediation and customer protection measures. Like others in the insurance industry, AFG experiences cyber-attacks and other attempts to gain unauthorized access to its systems on a regular basis and anticipates continuing to be subject to such attempts. AFG’s administrative and technical controls as well as other preventative actions used to reduce the risk of cyber incidents and protect AFG’s information may be insufficient to detect or prevent future unauthorized access, other physical and electronic break-ins, cyber-attacks or other security breaches to AFG’s computer systems or those of third parties with whom AFG does business.</w:t>
      </w:r>
    </w:p>
    <w:p>
      <w:pPr>
        <w:spacing w:after="0" w:line="223"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AFG has outsourced certain technology and business process functions to third parties over which it has no control and may continue to do so in the future. Outsourcing of certain technology and business process functions to third parties may expose AFG to increased risk related to data security or service disruptions. If AFG does not effectively develop, implement and monitor these relationships, third-party providers do not perform as anticipated, technological or other problems are incurred with a transition, or outsourcing relationships relevant to AFG’s business process functions are</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ind w:right="440"/>
        <w:spacing w:after="0" w:line="284" w:lineRule="auto"/>
        <w:rPr>
          <w:sz w:val="20"/>
          <w:szCs w:val="20"/>
          <w:color w:val="auto"/>
        </w:rPr>
      </w:pPr>
      <w:r>
        <w:rPr>
          <w:rFonts w:ascii="Arial" w:cs="Arial" w:eastAsia="Arial" w:hAnsi="Arial"/>
          <w:sz w:val="17"/>
          <w:szCs w:val="17"/>
          <w:color w:val="auto"/>
        </w:rPr>
        <w:t>terminated, AFG may not realize expected productivity improvements or cost efficiencies and may experience operational difficulties, increased costs and a loss of business.</w:t>
      </w:r>
    </w:p>
    <w:p>
      <w:pPr>
        <w:spacing w:after="0" w:line="185" w:lineRule="exact"/>
        <w:rPr>
          <w:sz w:val="20"/>
          <w:szCs w:val="20"/>
          <w:color w:val="auto"/>
        </w:rPr>
      </w:pPr>
    </w:p>
    <w:p>
      <w:pPr>
        <w:ind w:right="340"/>
        <w:spacing w:after="0" w:line="259" w:lineRule="auto"/>
        <w:rPr>
          <w:sz w:val="20"/>
          <w:szCs w:val="20"/>
          <w:color w:val="auto"/>
        </w:rPr>
      </w:pPr>
      <w:r>
        <w:rPr>
          <w:rFonts w:ascii="Arial" w:cs="Arial" w:eastAsia="Arial" w:hAnsi="Arial"/>
          <w:sz w:val="17"/>
          <w:szCs w:val="17"/>
          <w:color w:val="auto"/>
        </w:rPr>
        <w:t>The increased risks identified above could expose AFG to data loss, disruption of service, monetary and reputational damages, competitive disadvantage and significant increases in compliance costs and costs to improve the security and resiliency of AFG’s computer systems. The compromise of personal, confidential or proprietary information could also subject AFG to legal liability or regulatory action under evolving cyber-security, data protection and privacy laws and regulations enacted by the U.S. federal and state governments, Canada, the European Union (the “EU”) or other jurisdictions or by various regulatory organizations or exchanges. As a result, AFG’s ability to conduct business and its results of operations might be materially and adversely affected.</w:t>
      </w:r>
    </w:p>
    <w:p>
      <w:pPr>
        <w:spacing w:after="0" w:line="218" w:lineRule="exact"/>
        <w:rPr>
          <w:sz w:val="20"/>
          <w:szCs w:val="20"/>
          <w:color w:val="auto"/>
        </w:rPr>
      </w:pPr>
    </w:p>
    <w:p>
      <w:pPr>
        <w:ind w:right="100"/>
        <w:spacing w:after="0" w:line="263" w:lineRule="auto"/>
        <w:rPr>
          <w:sz w:val="20"/>
          <w:szCs w:val="20"/>
          <w:color w:val="auto"/>
        </w:rPr>
      </w:pPr>
      <w:r>
        <w:rPr>
          <w:rFonts w:ascii="Arial" w:cs="Arial" w:eastAsia="Arial" w:hAnsi="Arial"/>
          <w:sz w:val="20"/>
          <w:szCs w:val="20"/>
          <w:b w:val="1"/>
          <w:bCs w:val="1"/>
          <w:color w:val="auto"/>
        </w:rPr>
        <w:t>Any failure to appropriately collect, administer and protect consumer information could adversely affect AFG’s reputation, subject AFG to fines, claims and penalties, and have a material adverse effect on AFG’s business, financial condition and results of operations.</w:t>
      </w:r>
    </w:p>
    <w:p>
      <w:pPr>
        <w:spacing w:after="0" w:line="1"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AFG and certain of its third-party vendors collect and store sensitive data in the ordinary course of AFG’s business, including personal identification information of its employees and that of its customers, vendors, investors and other third parties and may include health information. Laws and regulations in this area are evolving at an international, national and state level and are generally becoming more rigorous, including through the adoption of more stringent subject matter-specific laws, such as the California Consumer Privacy Act of 2018 (as amended by the California Privacy Rights Act of 2020), the New York Department of Financial Services’ Cybersecurity Regulation and Ohio’s insurance data security law, which regulate the collection and use of data and security and data breach obligations. The use of AI by AFG or its business partners may also result in potential breaches of existing or future laws or regulations related to privacy or data security. If any disruption or security breach results in a loss or damage to AFG’s data, or inappropriate disclosure of AFG’s confidential information or that of others, it could damage AFG’s reputation, affect its relationships with customers and clients, lead to claims against AFG, result in regulatory action and harm AFG’s business. In addition, AFG may be required to incur significant costs to mitigate the damage caused by any security breach or to protect against future damage.</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00274E"/>
        </w:rPr>
        <w:t>RISKS RELATED TO FINANCIAL STRENGTH, CREDIT AND COUNTERPARTIES</w:t>
      </w:r>
    </w:p>
    <w:p>
      <w:pPr>
        <w:spacing w:after="0" w:line="103" w:lineRule="exact"/>
        <w:rPr>
          <w:sz w:val="20"/>
          <w:szCs w:val="20"/>
          <w:color w:val="auto"/>
        </w:rPr>
      </w:pPr>
    </w:p>
    <w:p>
      <w:pPr>
        <w:ind w:right="220"/>
        <w:spacing w:after="0" w:line="282" w:lineRule="auto"/>
        <w:rPr>
          <w:sz w:val="20"/>
          <w:szCs w:val="20"/>
          <w:color w:val="auto"/>
        </w:rPr>
      </w:pPr>
      <w:r>
        <w:rPr>
          <w:rFonts w:ascii="Arial" w:cs="Arial" w:eastAsia="Arial" w:hAnsi="Arial"/>
          <w:sz w:val="20"/>
          <w:szCs w:val="20"/>
          <w:b w:val="1"/>
          <w:bCs w:val="1"/>
          <w:color w:val="auto"/>
        </w:rPr>
        <w:t>A downgrade or potential downgrade in AFG’s financial strength and/or credit ratings by one or more rating agencies could adversely affect its business, financial condition, results of operations and/or cash flows.</w:t>
      </w:r>
    </w:p>
    <w:p>
      <w:pPr>
        <w:spacing w:after="0" w:line="1" w:lineRule="exact"/>
        <w:rPr>
          <w:sz w:val="20"/>
          <w:szCs w:val="20"/>
          <w:color w:val="auto"/>
        </w:rPr>
      </w:pPr>
    </w:p>
    <w:p>
      <w:pPr>
        <w:ind w:right="240"/>
        <w:spacing w:after="0" w:line="260" w:lineRule="auto"/>
        <w:rPr>
          <w:sz w:val="20"/>
          <w:szCs w:val="20"/>
          <w:color w:val="auto"/>
        </w:rPr>
      </w:pPr>
      <w:r>
        <w:rPr>
          <w:rFonts w:ascii="Arial" w:cs="Arial" w:eastAsia="Arial" w:hAnsi="Arial"/>
          <w:sz w:val="17"/>
          <w:szCs w:val="17"/>
          <w:color w:val="auto"/>
        </w:rPr>
        <w:t>Financial strength ratings are an important factor in establishing the competitive position of insurance companies and may have an effect on an insurance company’s sales. A downgrade out of the “A” category in AFG’s insurers’ claims-paying and financial strength ratings could significantly reduce AFG’s business volumes in certain lines of business, adversely impact AFG’s ability to access the capital markets and increase AFG’s borrowing costs.</w:t>
      </w:r>
    </w:p>
    <w:p>
      <w:pPr>
        <w:spacing w:after="0" w:line="206"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In addition to the financial strength ratings of AFG’s principal insurance company subsidiaries, various rating agencies also publish credit ratings for AFG. Credit ratings are indicators of a debt issuer’s ability to meet the terms of debt obligations in a timely manner, are part of AFG’s overall financial profile and affect AFG’s ability to access and the associated cost of certain types of capital. A downgrade in AFG’s credit ratings could have a material adverse effect on AFG’s financial condition and results of operations and cash flows in a number of ways, including adversely limiting access to capital markets, potentially increasing the cost of debt or increasing borrowing costs under AFG’s current revolving credit facility.</w:t>
      </w:r>
    </w:p>
    <w:p>
      <w:pPr>
        <w:spacing w:after="0" w:line="205" w:lineRule="exact"/>
        <w:rPr>
          <w:sz w:val="20"/>
          <w:szCs w:val="20"/>
          <w:color w:val="auto"/>
        </w:rPr>
      </w:pPr>
    </w:p>
    <w:p>
      <w:pPr>
        <w:ind w:right="1020"/>
        <w:spacing w:after="0" w:line="275" w:lineRule="auto"/>
        <w:rPr>
          <w:sz w:val="20"/>
          <w:szCs w:val="20"/>
          <w:color w:val="auto"/>
        </w:rPr>
      </w:pPr>
      <w:r>
        <w:rPr>
          <w:rFonts w:ascii="Arial" w:cs="Arial" w:eastAsia="Arial" w:hAnsi="Arial"/>
          <w:sz w:val="20"/>
          <w:szCs w:val="20"/>
          <w:b w:val="1"/>
          <w:bCs w:val="1"/>
          <w:color w:val="auto"/>
        </w:rPr>
        <w:t>The inability to obtain reinsurance or to collect on ceded reinsurance could adversely affect AFG’s results of operations.</w:t>
      </w:r>
    </w:p>
    <w:p>
      <w:pPr>
        <w:spacing w:after="0" w:line="1"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AFG purchases reinsurance to limit the amount of risk it retains. Market conditions determine the availability and cost of the reinsurance protection AFG purchases, which affects the level of AFG’s business and profitability, as well as the level and types of risk AFG retains. If AFG is unable to obtain sufficient reinsurance at a cost AFG deems acceptable, AFG may opt to reduce the volume of its underwriting. AFG is also subject to credit risk with respect to its reinsurers, as AFG will remain liable to its insureds regardless of whether a reinsurer is able to meet its obligations under agreements covering the reinsurance ceded. As of December 31, 2023, AFG has $4.48 billion of recoverables from reinsurers on its balance sheet. The collectability of recoverables from reinsurers is subject to uncertainty arising from a number of factors, including a reinsurers’ financial capacity and willingness to make payments under the terms of a reinsurance treaty or contract and changes in market conditions.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b w:val="1"/>
          <w:bCs w:val="1"/>
          <w:color w:val="00274E"/>
        </w:rPr>
        <w:t>REGULATORY AND LEGAL RISKS</w:t>
      </w:r>
    </w:p>
    <w:p>
      <w:pPr>
        <w:spacing w:after="0" w:line="103" w:lineRule="exact"/>
        <w:rPr>
          <w:sz w:val="20"/>
          <w:szCs w:val="20"/>
          <w:color w:val="auto"/>
        </w:rPr>
      </w:pPr>
    </w:p>
    <w:p>
      <w:pPr>
        <w:ind w:right="580"/>
        <w:spacing w:after="0" w:line="275" w:lineRule="auto"/>
        <w:rPr>
          <w:sz w:val="20"/>
          <w:szCs w:val="20"/>
          <w:color w:val="auto"/>
        </w:rPr>
      </w:pPr>
      <w:r>
        <w:rPr>
          <w:rFonts w:ascii="Arial" w:cs="Arial" w:eastAsia="Arial" w:hAnsi="Arial"/>
          <w:sz w:val="20"/>
          <w:szCs w:val="20"/>
          <w:b w:val="1"/>
          <w:bCs w:val="1"/>
          <w:color w:val="auto"/>
        </w:rPr>
        <w:t>AFG may suffer losses from litigation, including from effects of emerging claim and coverage issues which could materially and adversely affect AFG’s financial condition and business operations.</w:t>
      </w:r>
    </w:p>
    <w:p>
      <w:pPr>
        <w:spacing w:after="0" w:line="1"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AFG is involved in routine legal proceedings incidental to its insurance operations and litigation related to asbestos and environmental claims from its historical operations. Litigation by nature is unpredictable, and the outcome of any case is uncertain and could result in liabilities that vary from the amounts AFG has currently recorded. Pervasive or significant changes in the judicial environment relating to matters such as trends in the size of jury awards, developments in the law relating to the liability of insurers or tort defendants, and rulings concerning the availability or amount of certain types of damages could cause AFG’s ultimate liabilities to change from current expectations. In addition, as industry practices and legal, judicial, social and other environmental conditions change, unexpected and unintended issues related to claims and coverage may emerge. These issues may adversely affect AFG’s business, including by extending coverage beyond underwriting intent or by increasing the number, size or types of claims as a result of, among other things, plaintiffs targeting property and casualty insurers in purported class action litigation relating to claims-handling and other practices; increased claims due to third party funding of litigation; and social inflation and legal system abuse influencing trends like more frequent claims, judgments that are unfavorable for insurers and an increase in “nuclear verdicts” leading to higher jury awards. Changes in federal or state tort litigation laws or other applicable law could have a similar effect. It is not possible to predict changes in the judicial and legislative environment, including in connection with asbestos and environmental claims. In addition, potential exposure to losses related to PFAS, whether through AFG’s insurance operations or its former railroad and manufacturing operations, are inherently difficult to forecast or estimate, as many factors could influence potential liability for any such losses. These factors may include developments in PFAS-related litigation, including the establishment or expansion of theories of causation and liability; new or enhanced rules, regulations and enforcement actions by the U.S. federal government and its agencies, including the Environmental Protection Agency, as well as state governments and agencies; and medical or research findings pertaining to actual or potential harm or illness to human health resulting from PFAS. AFG’s business, financial condition, results of operations and liquidity could also be adversely affected if judicial or legislative developments cause AFG’s ultimate liabilities to increase from current expectations.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AFG is subject to comprehensive regulation, and its ability to earn profits may be restricted by these regulations.</w:t>
      </w:r>
    </w:p>
    <w:p>
      <w:pPr>
        <w:spacing w:after="0" w:line="68"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AFG is subject to comprehensive regulation by government agencies in the states and countries where its insurance company subsidiaries are domiciled and where these subsidiaries issue policies and handle claims. Most insurance regulations are designed to protect the interests of AFG’s policyholders and third-party claimants as opposed to its investors.</w:t>
      </w:r>
    </w:p>
    <w:p>
      <w:pPr>
        <w:spacing w:after="0" w:line="201"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While the federal government’s role in regulating insurance companies is currently limited, the Dodd-Frank Act established a Federal Insurance Office (“FIO”) within the U.S. Department of Treasury to collect data on the insurance industry, recommend changes to the state system of insurance regulation and preempt certain state insurance laws. The potential impact on AFG remains unclear, but the implementation of any federal insurance regulations that constrain AFG’s business opportunities or reduce investment flexibility could change the competitive landscape of the financial services sector or the insurance industry, make it more expensive for AFG to conduct its business and otherwise have a material adverse effect on AFG’s financial condition and results of operations.</w:t>
      </w:r>
    </w:p>
    <w:p>
      <w:pPr>
        <w:spacing w:after="0" w:line="206"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Environmental, Social, and Governance standards (“ESG”) and sustainability have become major topics that encompass a wide range of issues, including climate change and other environmental risks. For example, California recently adopted two new climate-related bills, which require companies doing business in California that meet certain revenue thresholds to publicly disclose certain greenhouse gas emissions data and climate-related financial risk reports, and compliance with such requirements will require significant effort and resources. AFG is subject to complex and changing laws, regulation and public policy debates relating to climate change which are difficult to predict and quantify and may have an adverse impact on its business. Changes in regulations relating to climate change may result in an increase in the cost of doing business or a decrease in premiums in certain lines of business.</w:t>
      </w:r>
    </w:p>
    <w:p>
      <w:pPr>
        <w:spacing w:after="0" w:line="22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a participant in the federal crop insurance program, AFG could also be impacted by regulatory and legislative changes affecting that program. For example, the reinsurance levels that the federal government provides to authorized carriers could be reduced by future legislation. AFG will continue to monitor new and changing federal regulations and the potential impact, if any, on its insurance company subsidiaries.</w:t>
      </w:r>
    </w:p>
    <w:p>
      <w:pPr>
        <w:spacing w:after="0" w:line="201" w:lineRule="exact"/>
        <w:rPr>
          <w:sz w:val="20"/>
          <w:szCs w:val="20"/>
          <w:color w:val="auto"/>
        </w:rPr>
      </w:pPr>
    </w:p>
    <w:p>
      <w:pPr>
        <w:jc w:val="both"/>
        <w:ind w:right="160"/>
        <w:spacing w:after="0" w:line="266" w:lineRule="auto"/>
        <w:rPr>
          <w:sz w:val="20"/>
          <w:szCs w:val="20"/>
          <w:color w:val="auto"/>
        </w:rPr>
      </w:pPr>
      <w:r>
        <w:rPr>
          <w:rFonts w:ascii="Arial" w:cs="Arial" w:eastAsia="Arial" w:hAnsi="Arial"/>
          <w:sz w:val="17"/>
          <w:szCs w:val="17"/>
          <w:color w:val="auto"/>
        </w:rPr>
        <w:t>Both state and federal regulators in the U.S., as well as regulators in foreign jurisdictions, including the EU (whether under its regulatory framework proposed in April 2021 or otherwise), continue to evaluate and assess potential laws and regulations to limit and restrict companies’ use of AI, and enact new and expanding bases of liability for businesses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utilizing AI. Such laws and regulations may limit or prevent AFG’s development and use of AI applications, or may eliminate or restrict the confidentiality of our proprietary technology, which could adversely affect AFG’s business, operations and financial results, including by reducing the utility of AFG’s products, increasing AFG’s costs and exposing AFG to litigation or other liabilities.</w:t>
      </w:r>
    </w:p>
    <w:p>
      <w:pPr>
        <w:spacing w:after="0" w:line="214"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Existing insurance-related laws and regulations may become more restrictive in the future or new restrictive laws may be enacted; it is not possible to predict the potential effects of these laws and regulations. The costs of compliance or the failure to comply with existing or future regulations could impose significant burdens on AFG.</w:t>
      </w:r>
    </w:p>
    <w:p>
      <w:pPr>
        <w:spacing w:after="0" w:line="199" w:lineRule="exact"/>
        <w:rPr>
          <w:sz w:val="20"/>
          <w:szCs w:val="20"/>
          <w:color w:val="auto"/>
        </w:rPr>
      </w:pPr>
    </w:p>
    <w:p>
      <w:pPr>
        <w:ind w:right="920"/>
        <w:spacing w:after="0" w:line="275" w:lineRule="auto"/>
        <w:rPr>
          <w:sz w:val="20"/>
          <w:szCs w:val="20"/>
          <w:color w:val="auto"/>
        </w:rPr>
      </w:pPr>
      <w:r>
        <w:rPr>
          <w:rFonts w:ascii="Arial" w:cs="Arial" w:eastAsia="Arial" w:hAnsi="Arial"/>
          <w:sz w:val="20"/>
          <w:szCs w:val="20"/>
          <w:b w:val="1"/>
          <w:bCs w:val="1"/>
          <w:color w:val="auto"/>
        </w:rPr>
        <w:t>As a holding company, AFG is dependent on the operations of its insurance company subsidiaries to meet its obligations and pay future dividends.</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AFG is a holding company and a legal entity separate and distinct from its insurance company subsidiaries. As a holding company without significant operations of its own, AFG’s principal sources of funds are dividends and other distributions from its insurance company subsidiaries. State insurance laws differ from state to state but may, absent advance regulatory approval, restrict the maximum amount of dividends that may be paid by an insurer to its shareholders in any twelve-month period. AFG’s rights to participate in any distribution of assets of its insurance company subsidiaries are subject to prior claims of policyholders and creditors (except to the extent that its rights, if any, as a creditor are recognized). Consequently, AFG’s ability to pay its debts, expenses and dividends to its shareholders may be limited.</w:t>
      </w:r>
    </w:p>
    <w:p>
      <w:pPr>
        <w:spacing w:after="0" w:line="206"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Statutory capital requirements set by the NAIC and the various state insurance regulatory bodies establish regulations that provide minimum capitalization requirements based on risk-based capital (“RBC”) ratios for insurance companies. Statutory surplus and RBC ratios may change in a given year based on a number of factors, including statutory earnings/losses, reserve changes, excess capital held to support growth, equity market and interest rate changes, the value of investment securities and changes to the RBC formulas. Increases in the amount of capital or reserves that AFG’s larger insurance subsidiaries are required to hold could reduce the amount of future dividends such subsidiaries are able to distribute to the holding company or require capital contributions. Any reduction in the RBC ratios of AFG’s insurance subsidiaries could also adversely affect their financial strength ratings as determined by rating agencies.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AFG could be adversely impacted by changes to the U.S. Federal income tax laws.</w:t>
      </w:r>
    </w:p>
    <w:p>
      <w:pPr>
        <w:spacing w:after="0" w:line="43"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Changes in domestic or foreign tax laws or interpretations of such laws could increase AFG’s corporate taxes and reduce earnings. For example, on August 16, 2022, the U.S. government enacted the Inflation Reduction Act (“IRA”) which, among other changes, created a new corporate alternative minimum tax (“AMT”) based on adjusted financial statement income and imposes a 1% excise tax on corporate stock repurchases. These provisions became effective January 1, 2023. Any AMT incurred, under this provision, would be treated as a timing difference and generate a deferred tax asset that would be carried forward to offset regular tax liability in the future. Any excise tax incurred on corporate stock repurchases will generally be recognized as part of the cost basis of the stock acquired and not reported as part of income tax expense. As additional guidance is provided, AFG will continue to evaluate the impact that the new law will have on AFG’s financial results. Any changes in federal income tax laws, including changes to the IRA or the Tax Cuts and Jobs Act of 2017, could adversely affect the federal income taxation of AFG’s ongoing operations and have a material adverse impact on its financial condition and results of operations.</w:t>
      </w:r>
    </w:p>
    <w:p>
      <w:pPr>
        <w:spacing w:after="0" w:line="213" w:lineRule="exact"/>
        <w:rPr>
          <w:sz w:val="20"/>
          <w:szCs w:val="20"/>
          <w:color w:val="auto"/>
        </w:rPr>
      </w:pPr>
    </w:p>
    <w:p>
      <w:pPr>
        <w:ind w:right="240"/>
        <w:spacing w:after="0" w:line="275" w:lineRule="auto"/>
        <w:rPr>
          <w:sz w:val="20"/>
          <w:szCs w:val="20"/>
          <w:color w:val="auto"/>
        </w:rPr>
      </w:pPr>
      <w:r>
        <w:rPr>
          <w:rFonts w:ascii="Arial" w:cs="Arial" w:eastAsia="Arial" w:hAnsi="Arial"/>
          <w:sz w:val="20"/>
          <w:szCs w:val="20"/>
          <w:b w:val="1"/>
          <w:bCs w:val="1"/>
          <w:color w:val="auto"/>
        </w:rPr>
        <w:t>New accounting rules or changes to existing accounting standards could adversely impact AFG’s reported results of operations.</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As a U.S.-based SEC registrant, AFG prepares its financial statements in accordance with GAAP, as promulgated by the Financial Accounting Standards Board, subject to the accounting-related rules and interpretations of the SEC. New accounting rules or changes in accounting standards, particularly those that specifically apply to insurance company operations, may impact AFG’s reported financial results and could cause increased volatility in reported earnings, resulting in other adverse impacts on AFG’s ratings and cost of capital, and decrease the understandability of AFG’s financial results as well as the comparability of AFG’s reported results with other insurers.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274E"/>
        </w:rPr>
        <w:t>GENERAL RISK FACTORS</w:t>
      </w:r>
    </w:p>
    <w:p>
      <w:pPr>
        <w:spacing w:after="0" w:line="103" w:lineRule="exact"/>
        <w:rPr>
          <w:sz w:val="20"/>
          <w:szCs w:val="20"/>
          <w:color w:val="auto"/>
        </w:rPr>
      </w:pPr>
    </w:p>
    <w:p>
      <w:pPr>
        <w:ind w:right="1080"/>
        <w:spacing w:after="0" w:line="275" w:lineRule="auto"/>
        <w:rPr>
          <w:sz w:val="20"/>
          <w:szCs w:val="20"/>
          <w:color w:val="auto"/>
        </w:rPr>
      </w:pPr>
      <w:r>
        <w:rPr>
          <w:rFonts w:ascii="Arial" w:cs="Arial" w:eastAsia="Arial" w:hAnsi="Arial"/>
          <w:sz w:val="20"/>
          <w:szCs w:val="20"/>
          <w:b w:val="1"/>
          <w:bCs w:val="1"/>
          <w:color w:val="auto"/>
        </w:rPr>
        <w:t>Certain shareholders exercise substantial control over AFG’s affairs, which may impede a change of control transaction.</w:t>
      </w:r>
    </w:p>
    <w:p>
      <w:pPr>
        <w:spacing w:after="0" w:line="1"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Carl H. Lindner III and S. Craig Lindner are each Co-Chief Executive Officers and Directors of AFG. Together, Carl H. Lindner III and S. Craig Lindner beneficially own 11.9% of AFG’s outstanding Common Stock as of February 1, 2024. Other members of the Lindner family own, directly or through trusts, a significant number of additional shares of AFG Common Stock. As a result, the Lindner family has the ability to exercise significant influence over AFG’s management and over matters requiring shareholder approval. Such influence could prevent an acquisition of AFG at a price and upon terms that other shareholders may find attractive.</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500"/>
        <w:spacing w:after="0" w:line="275" w:lineRule="auto"/>
        <w:rPr>
          <w:sz w:val="20"/>
          <w:szCs w:val="20"/>
          <w:color w:val="auto"/>
        </w:rPr>
      </w:pPr>
      <w:r>
        <w:rPr>
          <w:rFonts w:ascii="Arial" w:cs="Arial" w:eastAsia="Arial" w:hAnsi="Arial"/>
          <w:sz w:val="20"/>
          <w:szCs w:val="20"/>
          <w:b w:val="1"/>
          <w:bCs w:val="1"/>
          <w:color w:val="auto"/>
        </w:rPr>
        <w:t>AFG’s business and operations may be negatively impacted by its and its business partners’ failure to recruit and retain key employees</w:t>
      </w:r>
    </w:p>
    <w:p>
      <w:pPr>
        <w:spacing w:after="0" w:line="1"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The expertise and experience of AFG’s employees is a critical component of the company’s success. The continuation of such success depends, in large part, on AFG’s ability to attract and retain key individuals. There can be intense competition for qualified candidates in the activities that AFG conducts and in the markets that it serves, both within the insurance industry and from businesses outside the industry. This is particularly acute in certain specialized positions and areas of expertise, such as underwriting, data and analytics and AI-related and technology fields. Competition for employees may increase AFG’s expenses and may result in the company not being able to hire key employees or retain them. If AFG is unable to hire qualified candidates or retain its key personnel, AFG may be unable to execute its business strategies and may suffer material adverse consequences to its business, operations and financial condition.</w:t>
      </w:r>
    </w:p>
    <w:p>
      <w:pPr>
        <w:spacing w:after="0" w:line="221" w:lineRule="exact"/>
        <w:rPr>
          <w:sz w:val="20"/>
          <w:szCs w:val="20"/>
          <w:color w:val="auto"/>
        </w:rPr>
      </w:pPr>
    </w:p>
    <w:p>
      <w:pPr>
        <w:ind w:right="160"/>
        <w:spacing w:after="0" w:line="275" w:lineRule="auto"/>
        <w:rPr>
          <w:sz w:val="20"/>
          <w:szCs w:val="20"/>
          <w:color w:val="auto"/>
        </w:rPr>
      </w:pPr>
      <w:r>
        <w:rPr>
          <w:rFonts w:ascii="Arial" w:cs="Arial" w:eastAsia="Arial" w:hAnsi="Arial"/>
          <w:sz w:val="20"/>
          <w:szCs w:val="20"/>
          <w:b w:val="1"/>
          <w:bCs w:val="1"/>
          <w:color w:val="auto"/>
        </w:rPr>
        <w:t>The price of AFG Common Stock may fluctuate significantly, which may make it difficult for holders to resell common stock when they want or at a price they find attractive.</w:t>
      </w:r>
    </w:p>
    <w:p>
      <w:pPr>
        <w:spacing w:after="0" w:line="1"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price of AFG Common Stock, which is listed on the NYSE, constantly changes. AFG’s Common Stock price could materially fluctuate or decrease in response to a number of events or factors discussed in this section in addition to other events or factors including: quarterly variations in AFG’s operating results; operating and stock price performance of comparable companies; and negative publicity relating to AFG or its competitors. In addition, broad market and industry fluctuations may materially and adversely affect the trading price or volume of AFG Common Stock, regardless of AFG’s actual operating performance.</w:t>
      </w:r>
    </w:p>
    <w:p>
      <w:pPr>
        <w:spacing w:after="0" w:line="220" w:lineRule="exact"/>
        <w:rPr>
          <w:sz w:val="20"/>
          <w:szCs w:val="20"/>
          <w:color w:val="auto"/>
        </w:rPr>
      </w:pPr>
    </w:p>
    <w:p>
      <w:pPr>
        <w:spacing w:after="0"/>
        <w:rPr>
          <w:sz w:val="20"/>
          <w:szCs w:val="20"/>
          <w:color w:val="auto"/>
        </w:rPr>
      </w:pPr>
      <w:r>
        <w:rPr>
          <w:rFonts w:ascii="Arial" w:cs="Arial" w:eastAsia="Arial" w:hAnsi="Arial"/>
          <w:sz w:val="36"/>
          <w:szCs w:val="36"/>
          <w:b w:val="1"/>
          <w:bCs w:val="1"/>
          <w:color w:val="00274E"/>
        </w:rPr>
        <w:t>Item 1B. Unresolved Staff Comments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32" w:lineRule="exact"/>
        <w:rPr>
          <w:sz w:val="20"/>
          <w:szCs w:val="20"/>
          <w:color w:val="auto"/>
        </w:rPr>
      </w:pPr>
    </w:p>
    <w:p>
      <w:pPr>
        <w:spacing w:after="0"/>
        <w:rPr>
          <w:sz w:val="20"/>
          <w:szCs w:val="20"/>
          <w:color w:val="auto"/>
        </w:rPr>
      </w:pPr>
      <w:r>
        <w:rPr>
          <w:rFonts w:ascii="Arial" w:cs="Arial" w:eastAsia="Arial" w:hAnsi="Arial"/>
          <w:sz w:val="36"/>
          <w:szCs w:val="36"/>
          <w:b w:val="1"/>
          <w:bCs w:val="1"/>
          <w:color w:val="00274E"/>
        </w:rPr>
        <w:t>Item 1C. Cybersecurity</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Risk Management and Strategy</w:t>
      </w:r>
    </w:p>
    <w:p>
      <w:pPr>
        <w:spacing w:after="0" w:line="55"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AFG recognizes the importance of assessing, identifying and managing material risks associated with cybersecurity threats as defined by the Securities and Exchange Commission. Like all businesses, AFG is a target for “cyberattacks,” “ransomware,” “phishing,” “hacking” and similar illegal or unauthorized intrusions into computer systems and networks. Such events can result in significant disruptions to information technology systems, the theft of information and financial assets and reputational harm. AFG could also incur significant expenses associated with investigating and remediating any such event.</w:t>
      </w:r>
    </w:p>
    <w:p>
      <w:pPr>
        <w:spacing w:after="0" w:line="206" w:lineRule="exact"/>
        <w:rPr>
          <w:sz w:val="20"/>
          <w:szCs w:val="20"/>
          <w:color w:val="auto"/>
        </w:rPr>
      </w:pPr>
    </w:p>
    <w:p>
      <w:pPr>
        <w:ind w:right="20"/>
        <w:spacing w:after="0" w:line="301" w:lineRule="auto"/>
        <w:rPr>
          <w:sz w:val="20"/>
          <w:szCs w:val="20"/>
          <w:color w:val="auto"/>
        </w:rPr>
      </w:pPr>
      <w:r>
        <w:rPr>
          <w:rFonts w:ascii="Arial" w:cs="Arial" w:eastAsia="Arial" w:hAnsi="Arial"/>
          <w:sz w:val="17"/>
          <w:szCs w:val="17"/>
          <w:color w:val="auto"/>
        </w:rPr>
        <w:t>As discussed below, AFG’s enterprise risk management (“ERM”) process considers cybersecurity threat risks alongside other company risks as part of the overall risk assessment process.</w:t>
      </w:r>
    </w:p>
    <w:p>
      <w:pPr>
        <w:spacing w:after="0" w:line="171"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AFG has adopted the National Institute of Standards and Technology (“NIST”) framework which provides a comprehensive method for developing a flexible, repeatable, performance-based and cost-effective approach to identifying and managing cybersecurity risks. The Company uses the framework to assess and improve its security posture.</w:t>
      </w:r>
    </w:p>
    <w:p>
      <w:pPr>
        <w:spacing w:after="0" w:line="201" w:lineRule="exact"/>
        <w:rPr>
          <w:sz w:val="20"/>
          <w:szCs w:val="20"/>
          <w:color w:val="auto"/>
        </w:rPr>
      </w:pPr>
    </w:p>
    <w:p>
      <w:pPr>
        <w:ind w:right="200"/>
        <w:spacing w:after="0" w:line="262" w:lineRule="auto"/>
        <w:rPr>
          <w:sz w:val="20"/>
          <w:szCs w:val="20"/>
          <w:color w:val="auto"/>
        </w:rPr>
      </w:pPr>
      <w:r>
        <w:rPr>
          <w:rFonts w:ascii="Arial" w:cs="Arial" w:eastAsia="Arial" w:hAnsi="Arial"/>
          <w:sz w:val="17"/>
          <w:szCs w:val="17"/>
          <w:color w:val="auto"/>
        </w:rPr>
        <w:t>AFG utilizes a variety of techniques to provide for the availability of critical data and systems, maintain regulatory compliance, manage its material risks from cybersecurity threats and to protect against, detect, and respond to cybersecurity incidents including, but not limited to, the following:</w:t>
      </w:r>
    </w:p>
    <w:p>
      <w:pPr>
        <w:ind w:left="640" w:hanging="308"/>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Conducts regular phishing testing of all employees and all members of the Board of Directors;</w:t>
      </w:r>
    </w:p>
    <w:p>
      <w:pPr>
        <w:spacing w:after="0" w:line="14" w:lineRule="exact"/>
        <w:rPr>
          <w:rFonts w:ascii="Arial" w:cs="Arial" w:eastAsia="Arial" w:hAnsi="Arial"/>
          <w:sz w:val="17"/>
          <w:szCs w:val="17"/>
          <w:color w:val="auto"/>
        </w:rPr>
      </w:pPr>
    </w:p>
    <w:p>
      <w:pPr>
        <w:ind w:left="640" w:hanging="308"/>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Utilizes full-desk encryption on all Company laptops and desktops;</w:t>
      </w:r>
    </w:p>
    <w:p>
      <w:pPr>
        <w:spacing w:after="0" w:line="7" w:lineRule="exact"/>
        <w:rPr>
          <w:rFonts w:ascii="Arial" w:cs="Arial" w:eastAsia="Arial" w:hAnsi="Arial"/>
          <w:sz w:val="17"/>
          <w:szCs w:val="17"/>
          <w:color w:val="auto"/>
        </w:rPr>
      </w:pPr>
    </w:p>
    <w:p>
      <w:pPr>
        <w:ind w:left="660" w:right="80" w:hanging="328"/>
        <w:spacing w:after="0" w:line="248" w:lineRule="auto"/>
        <w:tabs>
          <w:tab w:leader="none" w:pos="652"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Maintains a defense in depth security control strategy that is tested against high risk threats such as ransomware and other trending attack vectors;</w:t>
      </w:r>
    </w:p>
    <w:p>
      <w:pPr>
        <w:spacing w:after="0" w:line="1" w:lineRule="exact"/>
        <w:rPr>
          <w:rFonts w:ascii="Arial" w:cs="Arial" w:eastAsia="Arial" w:hAnsi="Arial"/>
          <w:sz w:val="17"/>
          <w:szCs w:val="17"/>
          <w:color w:val="auto"/>
        </w:rPr>
      </w:pPr>
    </w:p>
    <w:p>
      <w:pPr>
        <w:ind w:left="640" w:hanging="308"/>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Performs annual security awareness training and other routinely scheduled educational programming for employees;</w:t>
      </w:r>
    </w:p>
    <w:p>
      <w:pPr>
        <w:spacing w:after="0" w:line="13" w:lineRule="exact"/>
        <w:rPr>
          <w:rFonts w:ascii="Arial" w:cs="Arial" w:eastAsia="Arial" w:hAnsi="Arial"/>
          <w:sz w:val="17"/>
          <w:szCs w:val="17"/>
          <w:color w:val="auto"/>
        </w:rPr>
      </w:pPr>
    </w:p>
    <w:p>
      <w:pPr>
        <w:ind w:left="640" w:hanging="308"/>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Validates compliance with internal data security controls through the use of security monitoring utilities and internal and external audits;</w:t>
      </w:r>
    </w:p>
    <w:p>
      <w:pPr>
        <w:spacing w:after="0" w:line="14" w:lineRule="exact"/>
        <w:rPr>
          <w:rFonts w:ascii="Arial" w:cs="Arial" w:eastAsia="Arial" w:hAnsi="Arial"/>
          <w:sz w:val="17"/>
          <w:szCs w:val="17"/>
          <w:color w:val="auto"/>
        </w:rPr>
      </w:pPr>
    </w:p>
    <w:p>
      <w:pPr>
        <w:ind w:left="660" w:right="460" w:hanging="328"/>
        <w:spacing w:after="0" w:line="248" w:lineRule="auto"/>
        <w:tabs>
          <w:tab w:leader="none" w:pos="652" w:val="left"/>
        </w:tabs>
        <w:numPr>
          <w:ilvl w:val="0"/>
          <w:numId w:val="11"/>
        </w:numPr>
        <w:rPr>
          <w:rFonts w:ascii="Arial" w:cs="Arial" w:eastAsia="Arial" w:hAnsi="Arial"/>
          <w:sz w:val="17"/>
          <w:szCs w:val="17"/>
          <w:color w:val="auto"/>
        </w:rPr>
      </w:pPr>
      <w:r>
        <w:rPr>
          <w:rFonts w:ascii="Arial" w:cs="Arial" w:eastAsia="Arial" w:hAnsi="Arial"/>
          <w:sz w:val="17"/>
          <w:szCs w:val="17"/>
          <w:color w:val="auto"/>
        </w:rPr>
        <w:t>Performs self-assessments measured against industry-leading cybersecurity frameworks for standards, guidelines and best practices, including the NIST cybersecurity framework;</w:t>
      </w:r>
    </w:p>
    <w:p>
      <w:pPr>
        <w:spacing w:after="0" w:line="1" w:lineRule="exact"/>
        <w:rPr>
          <w:rFonts w:ascii="Arial" w:cs="Arial" w:eastAsia="Arial" w:hAnsi="Arial"/>
          <w:sz w:val="17"/>
          <w:szCs w:val="17"/>
          <w:color w:val="auto"/>
        </w:rPr>
      </w:pPr>
    </w:p>
    <w:p>
      <w:pPr>
        <w:ind w:left="640" w:hanging="308"/>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Regularly scans external websites and internal applications;</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ind w:left="660" w:right="80" w:hanging="328"/>
        <w:spacing w:after="0" w:line="258" w:lineRule="auto"/>
        <w:tabs>
          <w:tab w:leader="none" w:pos="652" w:val="left"/>
        </w:tabs>
        <w:numPr>
          <w:ilvl w:val="0"/>
          <w:numId w:val="12"/>
        </w:numPr>
        <w:rPr>
          <w:rFonts w:ascii="Arial" w:cs="Arial" w:eastAsia="Arial" w:hAnsi="Arial"/>
          <w:sz w:val="17"/>
          <w:szCs w:val="17"/>
          <w:color w:val="auto"/>
        </w:rPr>
      </w:pPr>
      <w:r>
        <w:rPr>
          <w:rFonts w:ascii="Arial" w:cs="Arial" w:eastAsia="Arial" w:hAnsi="Arial"/>
          <w:sz w:val="17"/>
          <w:szCs w:val="17"/>
          <w:color w:val="auto"/>
        </w:rPr>
        <w:t>Engages an external third-party to conduct an annual penetration test consisting of advanced adversarial attacks against company systems and from which findings are investigated, ranked by risk level and tracked through appropriate mediation levels;</w:t>
      </w:r>
    </w:p>
    <w:p>
      <w:pPr>
        <w:ind w:left="640" w:hanging="308"/>
        <w:spacing w:after="0"/>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Utilizes user protections including stringent password requirements, two-factor authentication, and timed logoffs;</w:t>
      </w:r>
    </w:p>
    <w:p>
      <w:pPr>
        <w:spacing w:after="0" w:line="13" w:lineRule="exact"/>
        <w:rPr>
          <w:rFonts w:ascii="Arial" w:cs="Arial" w:eastAsia="Arial" w:hAnsi="Arial"/>
          <w:sz w:val="17"/>
          <w:szCs w:val="17"/>
          <w:color w:val="auto"/>
        </w:rPr>
      </w:pPr>
    </w:p>
    <w:p>
      <w:pPr>
        <w:ind w:left="640" w:hanging="308"/>
        <w:spacing w:after="0"/>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Conducts regular network and endpoint monitoring;</w:t>
      </w:r>
    </w:p>
    <w:p>
      <w:pPr>
        <w:spacing w:after="0" w:line="14" w:lineRule="exact"/>
        <w:rPr>
          <w:rFonts w:ascii="Arial" w:cs="Arial" w:eastAsia="Arial" w:hAnsi="Arial"/>
          <w:sz w:val="17"/>
          <w:szCs w:val="17"/>
          <w:color w:val="auto"/>
        </w:rPr>
      </w:pPr>
    </w:p>
    <w:p>
      <w:pPr>
        <w:ind w:left="660" w:right="640" w:hanging="328"/>
        <w:spacing w:after="0" w:line="248" w:lineRule="auto"/>
        <w:tabs>
          <w:tab w:leader="none" w:pos="652" w:val="left"/>
        </w:tabs>
        <w:numPr>
          <w:ilvl w:val="0"/>
          <w:numId w:val="12"/>
        </w:numPr>
        <w:rPr>
          <w:rFonts w:ascii="Arial" w:cs="Arial" w:eastAsia="Arial" w:hAnsi="Arial"/>
          <w:sz w:val="17"/>
          <w:szCs w:val="17"/>
          <w:color w:val="auto"/>
        </w:rPr>
      </w:pPr>
      <w:r>
        <w:rPr>
          <w:rFonts w:ascii="Arial" w:cs="Arial" w:eastAsia="Arial" w:hAnsi="Arial"/>
          <w:sz w:val="17"/>
          <w:szCs w:val="17"/>
          <w:color w:val="auto"/>
        </w:rPr>
        <w:t>Performs regular tabletop exercises, utilizing a third-party data security firm as a facilitator, to simulate a response to a cybersecurity incident where the Company uses the findings to improve its processes and technologies; and</w:t>
      </w:r>
    </w:p>
    <w:p>
      <w:pPr>
        <w:spacing w:after="0" w:line="1" w:lineRule="exact"/>
        <w:rPr>
          <w:rFonts w:ascii="Arial" w:cs="Arial" w:eastAsia="Arial" w:hAnsi="Arial"/>
          <w:sz w:val="17"/>
          <w:szCs w:val="17"/>
          <w:color w:val="auto"/>
        </w:rPr>
      </w:pPr>
    </w:p>
    <w:p>
      <w:pPr>
        <w:ind w:left="660" w:right="220" w:hanging="328"/>
        <w:spacing w:after="0" w:line="264" w:lineRule="auto"/>
        <w:tabs>
          <w:tab w:leader="none" w:pos="652" w:val="left"/>
        </w:tabs>
        <w:numPr>
          <w:ilvl w:val="0"/>
          <w:numId w:val="12"/>
        </w:numPr>
        <w:rPr>
          <w:rFonts w:ascii="Arial" w:cs="Arial" w:eastAsia="Arial" w:hAnsi="Arial"/>
          <w:sz w:val="17"/>
          <w:szCs w:val="17"/>
          <w:color w:val="auto"/>
        </w:rPr>
      </w:pPr>
      <w:r>
        <w:rPr>
          <w:rFonts w:ascii="Arial" w:cs="Arial" w:eastAsia="Arial" w:hAnsi="Arial"/>
          <w:sz w:val="17"/>
          <w:szCs w:val="17"/>
          <w:color w:val="auto"/>
        </w:rPr>
        <w:t>Purchases information security risk insurance from a third-party insurer that provides protection against the potential losses arising from a cybersecurity incident.</w:t>
      </w:r>
    </w:p>
    <w:p>
      <w:pPr>
        <w:spacing w:after="0" w:line="215" w:lineRule="exact"/>
        <w:rPr>
          <w:sz w:val="20"/>
          <w:szCs w:val="20"/>
          <w:color w:val="auto"/>
        </w:rPr>
      </w:pPr>
    </w:p>
    <w:p>
      <w:pPr>
        <w:ind w:right="180"/>
        <w:spacing w:after="0" w:line="260" w:lineRule="auto"/>
        <w:rPr>
          <w:sz w:val="20"/>
          <w:szCs w:val="20"/>
          <w:color w:val="auto"/>
        </w:rPr>
      </w:pPr>
      <w:r>
        <w:rPr>
          <w:rFonts w:ascii="Arial" w:cs="Arial" w:eastAsia="Arial" w:hAnsi="Arial"/>
          <w:sz w:val="17"/>
          <w:szCs w:val="17"/>
          <w:color w:val="auto"/>
        </w:rPr>
        <w:t>AFG continues to integrate assessing cybersecurity threat risks associated with its use of third-party service providers, generally at the initial engagement or renewal of the relationship. When conducting these assessments, AFG’s Enterprise Information Security Group (“EISG”) considers the risk profile of the vendor or supplier assesses security controls with the third parties and engages in contractual review to ensure appropriate security controls are in place.</w:t>
      </w:r>
    </w:p>
    <w:p>
      <w:pPr>
        <w:spacing w:after="0" w:line="206" w:lineRule="exact"/>
        <w:rPr>
          <w:sz w:val="20"/>
          <w:szCs w:val="20"/>
          <w:color w:val="auto"/>
        </w:rPr>
      </w:pPr>
    </w:p>
    <w:p>
      <w:pPr>
        <w:jc w:val="both"/>
        <w:ind w:right="440"/>
        <w:spacing w:after="0" w:line="274" w:lineRule="auto"/>
        <w:rPr>
          <w:sz w:val="20"/>
          <w:szCs w:val="20"/>
          <w:color w:val="auto"/>
        </w:rPr>
      </w:pPr>
      <w:r>
        <w:rPr>
          <w:rFonts w:ascii="Arial" w:cs="Arial" w:eastAsia="Arial" w:hAnsi="Arial"/>
          <w:sz w:val="17"/>
          <w:szCs w:val="17"/>
          <w:color w:val="auto"/>
        </w:rPr>
        <w:t>AFG describes whether and how risks from identified cybersecurity threats are reasonably likely to materially affect the Company, including its business strategy, results of operations, or financial condition in its risk factor disclosures at Item 1A of this Annual Report on Form 10-K, which disclosures are incorporated by reference in this Item 1C.</w:t>
      </w:r>
    </w:p>
    <w:p>
      <w:pPr>
        <w:spacing w:after="0" w:line="195" w:lineRule="exact"/>
        <w:rPr>
          <w:sz w:val="20"/>
          <w:szCs w:val="20"/>
          <w:color w:val="auto"/>
        </w:rPr>
      </w:pPr>
    </w:p>
    <w:p>
      <w:pPr>
        <w:jc w:val="both"/>
        <w:ind w:right="300"/>
        <w:spacing w:after="0" w:line="266" w:lineRule="auto"/>
        <w:rPr>
          <w:sz w:val="20"/>
          <w:szCs w:val="20"/>
          <w:color w:val="auto"/>
        </w:rPr>
      </w:pPr>
      <w:r>
        <w:rPr>
          <w:rFonts w:ascii="Arial" w:cs="Arial" w:eastAsia="Arial" w:hAnsi="Arial"/>
          <w:sz w:val="17"/>
          <w:szCs w:val="17"/>
          <w:color w:val="auto"/>
        </w:rPr>
        <w:t>Like others in the insurance industry, AFG experiences cyber-attacks and other attempts to gain unauthorized access to its systems on a regular basis and anticipates continuing to be subject to such attempts. Over the last three years, AFG has not experienced any material adverse events and has not paid any penalties or settlements related to an information security breach.</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Governance</w:t>
      </w:r>
    </w:p>
    <w:p>
      <w:pPr>
        <w:spacing w:after="0" w:line="68"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AFG’s Audit Committee is responsible for the oversight of risks from cybersecurity threats. At least annually, the full Board of Directors receives and at least quarterly, the Audit Committee receives an overview from the Chief Information Security Officer (“CISO”) or another senior member of the EISG of the Company’s cybersecurity threat risk management and strategy processes covering topics such as data security posture, results from third-party assessments, progress towards predetermined risk-mitigation-related goals, incident response planning and material cybersecurity threat risks or incidents and developments, as well as the steps management has taken to respond to such risks. In such sessions, materials including a cybersecurity scorecard and other information indicating current and emerging material cybersecurity threat risks and describing the Company’s ability to mitigate those risks are provided. Members of the Board also regularly receive educational materials and engage in ad hoc conversations with management on cybersecurity-related news events and discuss any updates to AFG’s cybersecurity risk management and strategy programs.</w:t>
      </w:r>
    </w:p>
    <w:p>
      <w:pPr>
        <w:spacing w:after="0" w:line="208"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AFG has designed its ERM program to reinforce the way the Company operates its business and reflects its culture, organizational structure and risks. The AFG Enterprise Risk Committee (“ERC”), consisting of AFG’s Chief Administrative Officer and Chief Human Resources Officer, AFG’s Chief Financial Officer, AFG’s General Counsel and Great American Insurance Company’s President, oversees the ERM process including risk identification, risk impact and mitigation strategies. Each member of the ERC directly reports to AFG’s Co-CEOs. On a day-to-day basis, the Company’s ERM process is overseen by an AFG Enterprise Risk Officer, who regularly meets with senior leaders, including the CISO, representing key areas throughout the organization. Cybersecurity risk has been identified as a significant risk monitored under the ERM program. In addition, Ms. Murray, one of AFG’s independent Directors, completed the National Association of Corporate Directors’ Cyber-Risk Oversight Program and received the CERT Certificate in Cybersecurity Oversight issued by the Software Engineering Institute at Carnegie Mellon University.</w:t>
      </w:r>
    </w:p>
    <w:p>
      <w:pPr>
        <w:spacing w:after="0" w:line="209"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AFG has also adopted a Security Incident Response Plan (“SIRP”) that is designed to provide a management framework across Company functions for a coordinated assessment and response to potential security incidents. The AFG CISO leads and facilitates the SIRP team, which also includes AFG’s Chief Administrative Officer and Chief Human Resources Officer, AFG’s Chief Financial Officer, AFG’s Chief Information Officer, AFG’s General Counsel and Great American Insurance Group’s President and its General Counsel.</w:t>
      </w:r>
    </w:p>
    <w:p>
      <w:pPr>
        <w:spacing w:after="0" w:line="200"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The SIRP provides for the interaction and coordination of executive, strategic and tactical teams, depending on the severity level of the incident, aimed at facilitating coordination across multiple units and departments of the Company. The incident response plan is reviewed, updated and tested at least annually. The SIRP covers the major phases of incident response process, including preparation; detection and analysis; containment and investigation; where required, notification to federal or state regulators; eradication and recovery; and incident closure and post-incident analysis.</w:t>
      </w:r>
    </w:p>
    <w:p>
      <w:pPr>
        <w:spacing w:after="0" w:line="206" w:lineRule="exact"/>
        <w:rPr>
          <w:sz w:val="20"/>
          <w:szCs w:val="20"/>
          <w:color w:val="auto"/>
        </w:rPr>
      </w:pPr>
    </w:p>
    <w:p>
      <w:pPr>
        <w:spacing w:after="0" w:line="301" w:lineRule="auto"/>
        <w:rPr>
          <w:sz w:val="20"/>
          <w:szCs w:val="20"/>
          <w:color w:val="auto"/>
        </w:rPr>
      </w:pPr>
      <w:r>
        <w:rPr>
          <w:rFonts w:ascii="Arial" w:cs="Arial" w:eastAsia="Arial" w:hAnsi="Arial"/>
          <w:sz w:val="17"/>
          <w:szCs w:val="17"/>
          <w:color w:val="auto"/>
        </w:rPr>
        <w:t>AFG’s cybersecurity program is directed by its EISG leadership team that is headed by the AFG CISO and three divisional vice presidents that report to the CISO. This leadership group has collectively over 70 years of cybersecurity work</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experience, over 90 years of Information Technology (“IT”) experience and over 20 years of IT audit experience. This experience involved various roles related to managing information security; developing cybersecurity strategy; implementing and monitoring effective cybersecurity controls and penetration testing. These individuals hold many industry-standard certifications including but not limited to Certified Information Systems Security Professional, Information Systems Security Management Professional, G2700 certification, GIAC Security Leadership Certification, Certified in Risk and Information Systems Control®, Certified Information Security Manager, ITL certification and others. The CISO also holds a master’s degree in information security. All members of this leadership team are active in their local cybersecurity communities and national conferences. They speak at local universities, local conferences, national conferences, and have conducted training sessions at international conferences like Black Hat, an internationally recognized cybersecurity event series providing the most technical and relevant information security research. Their work has also been used in various best practice case studies by industry leading consulting and research firms.</w:t>
      </w:r>
    </w:p>
    <w:p>
      <w:pPr>
        <w:spacing w:after="0" w:line="207" w:lineRule="exact"/>
        <w:rPr>
          <w:sz w:val="20"/>
          <w:szCs w:val="20"/>
          <w:color w:val="auto"/>
        </w:rPr>
      </w:pPr>
    </w:p>
    <w:p>
      <w:pPr>
        <w:spacing w:after="0"/>
        <w:rPr>
          <w:sz w:val="20"/>
          <w:szCs w:val="20"/>
          <w:color w:val="auto"/>
        </w:rPr>
      </w:pPr>
      <w:r>
        <w:rPr>
          <w:rFonts w:ascii="Arial" w:cs="Arial" w:eastAsia="Arial" w:hAnsi="Arial"/>
          <w:sz w:val="36"/>
          <w:szCs w:val="36"/>
          <w:b w:val="1"/>
          <w:bCs w:val="1"/>
          <w:color w:val="00274E"/>
        </w:rPr>
        <w:t>Item 2. Properties</w:t>
      </w:r>
    </w:p>
    <w:p>
      <w:pPr>
        <w:spacing w:after="0" w:line="263"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AFG and its insurance subsidiaries lease the majority of their office and storage facilities in numerous cities throughout the United States and internationally, including the Company’s headquarters in Cincinnati, Ohio. Subsidiaries of AFG own several other buildings in downtown Cincinnati. AFG and its affiliates occupy approximately half of the aggregate 640,000 square feet of commercial and office space in these buildings.</w:t>
      </w:r>
    </w:p>
    <w:p>
      <w:pPr>
        <w:spacing w:after="0" w:line="201"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Property and casualty subsidiaries own and occupy approximately 90% of the 281,000 square feet of rentable office space on 17.5 acres of land in Richfield, Ohio and 100% of the 135,000 square feet of rentable office space on 1.3 acres of land in Lakeland, Florida.</w:t>
      </w:r>
    </w:p>
    <w:p>
      <w:pPr>
        <w:spacing w:after="0" w:line="197" w:lineRule="exact"/>
        <w:rPr>
          <w:sz w:val="20"/>
          <w:szCs w:val="20"/>
          <w:color w:val="auto"/>
        </w:rPr>
      </w:pPr>
    </w:p>
    <w:p>
      <w:pPr>
        <w:spacing w:after="0"/>
        <w:rPr>
          <w:sz w:val="20"/>
          <w:szCs w:val="20"/>
          <w:color w:val="auto"/>
        </w:rPr>
      </w:pPr>
      <w:r>
        <w:rPr>
          <w:rFonts w:ascii="Arial" w:cs="Arial" w:eastAsia="Arial" w:hAnsi="Arial"/>
          <w:sz w:val="36"/>
          <w:szCs w:val="36"/>
          <w:b w:val="1"/>
          <w:bCs w:val="1"/>
          <w:color w:val="00274E"/>
        </w:rPr>
        <w:t>Item 3. Legal Proceedings</w:t>
      </w:r>
    </w:p>
    <w:p>
      <w:pPr>
        <w:spacing w:after="0" w:line="263"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AFG and its subsidiaries are involved in litigation from time to time, generally arising in the ordinary course of business. This litigation may include, but is not limited to, general commercial disputes, lawsuits brought by policyholders, employment matters, reinsurance collection matters and actions challenging certain business practices of insurance subsidiaries. Except for the following, management believes that none of the litigation meets the threshold for disclosure under this Item.</w:t>
      </w:r>
    </w:p>
    <w:p>
      <w:pPr>
        <w:spacing w:after="0" w:line="206" w:lineRule="exact"/>
        <w:rPr>
          <w:sz w:val="20"/>
          <w:szCs w:val="20"/>
          <w:color w:val="auto"/>
        </w:rPr>
      </w:pPr>
    </w:p>
    <w:p>
      <w:pPr>
        <w:ind w:right="220"/>
        <w:spacing w:after="0" w:line="261" w:lineRule="auto"/>
        <w:rPr>
          <w:sz w:val="20"/>
          <w:szCs w:val="20"/>
          <w:color w:val="auto"/>
        </w:rPr>
      </w:pPr>
      <w:r>
        <w:rPr>
          <w:rFonts w:ascii="Arial" w:cs="Arial" w:eastAsia="Arial" w:hAnsi="Arial"/>
          <w:sz w:val="17"/>
          <w:szCs w:val="17"/>
          <w:color w:val="auto"/>
        </w:rPr>
        <w:t>AFG’s insurance company subsidiaries and its 100%-owned subsidiary, American Premier Underwriters, Inc. (including its subsidiaries, “American Premier”), are parties to litigation and receive claims alleging injuries and damages from asbestos, environmental and other substances and workplace hazards and have established loss accruals for such potential liabilities. None of such litigation or claims is individually material to AFG; however, the ultimate loss for these claims may vary materially from amounts currently recorded as the conditions surrounding resolution of these claims continue to change.</w:t>
      </w:r>
    </w:p>
    <w:p>
      <w:pPr>
        <w:spacing w:after="0" w:line="206"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American Premier is a party or named as a potentially responsible party in a number of proceedings and claims by regulatory agencies and private parties under various environmental protection laws, including the Comprehensive Environmental Response, Compensation and Liability Act, seeking to impose responsibility on American Premier for hazardous waste or discharge remediation costs at certain railroad sites formerly owned by its predecessor, Penn Central Transportation Company (“PCTC”), and at certain other sites where hazardous waste or discharge allegedly generated by PCTC’s railroad operations and American Premier’s former manufacturing operations is present. It is difficult to estimate American Premier’s liability for remediation costs at these sites for a number of reasons, including the number and financial resources of other potentially responsible parties involved at a given site, the varying availability of evidence by which to allocate responsibility among such parties, the wide range of costs for possible remediation alternatives, changing technology and the period of time over which these matters develop. Nevertheless, American Premier believes that its accruals for potential environmental liabilities are adequate to cover the probable amount of such liabilities, based on American Premier’s estimates of remediation costs and related expenses and its estimates of the portions of such costs that will be borne by other parties. Such estimates are based on information currently available to American Premier and are subject to future change as additional information becomes available.</w:t>
      </w:r>
    </w:p>
    <w:p>
      <w:pPr>
        <w:spacing w:after="0" w:line="229" w:lineRule="exact"/>
        <w:rPr>
          <w:sz w:val="20"/>
          <w:szCs w:val="20"/>
          <w:color w:val="auto"/>
        </w:rPr>
      </w:pPr>
    </w:p>
    <w:p>
      <w:pPr>
        <w:spacing w:after="0"/>
        <w:rPr>
          <w:sz w:val="20"/>
          <w:szCs w:val="20"/>
          <w:color w:val="auto"/>
        </w:rPr>
      </w:pPr>
      <w:r>
        <w:rPr>
          <w:rFonts w:ascii="Arial" w:cs="Arial" w:eastAsia="Arial" w:hAnsi="Arial"/>
          <w:sz w:val="36"/>
          <w:szCs w:val="36"/>
          <w:b w:val="1"/>
          <w:bCs w:val="1"/>
          <w:color w:val="00274E"/>
        </w:rPr>
        <w:t>Item 4. Mine Safety Disclosures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5"/>
          <w:szCs w:val="25"/>
          <w:b w:val="1"/>
          <w:bCs w:val="1"/>
          <w:color w:val="00274E"/>
        </w:rPr>
        <w:t>PART II</w:t>
      </w:r>
    </w:p>
    <w:p>
      <w:pPr>
        <w:spacing w:after="0" w:line="46" w:lineRule="exact"/>
        <w:rPr>
          <w:sz w:val="20"/>
          <w:szCs w:val="20"/>
          <w:color w:val="auto"/>
        </w:rPr>
      </w:pPr>
    </w:p>
    <w:p>
      <w:pPr>
        <w:ind w:right="500"/>
        <w:spacing w:after="0" w:line="291" w:lineRule="auto"/>
        <w:rPr>
          <w:sz w:val="20"/>
          <w:szCs w:val="20"/>
          <w:color w:val="auto"/>
        </w:rPr>
      </w:pPr>
      <w:r>
        <w:rPr>
          <w:rFonts w:ascii="Arial" w:cs="Arial" w:eastAsia="Arial" w:hAnsi="Arial"/>
          <w:sz w:val="35"/>
          <w:szCs w:val="35"/>
          <w:b w:val="1"/>
          <w:bCs w:val="1"/>
          <w:color w:val="00274E"/>
        </w:rPr>
        <w:t>Item 5. Market for Registrant’s Common Equity, Related Stockholder Matters and Issuer Purchases of Equity Securities</w:t>
      </w:r>
    </w:p>
    <w:p>
      <w:pPr>
        <w:spacing w:after="0" w:line="97" w:lineRule="exact"/>
        <w:rPr>
          <w:sz w:val="20"/>
          <w:szCs w:val="20"/>
          <w:color w:val="auto"/>
        </w:rPr>
      </w:pPr>
    </w:p>
    <w:p>
      <w:pPr>
        <w:ind w:right="80"/>
        <w:spacing w:after="0" w:line="301" w:lineRule="auto"/>
        <w:rPr>
          <w:sz w:val="20"/>
          <w:szCs w:val="20"/>
          <w:color w:val="auto"/>
        </w:rPr>
      </w:pPr>
      <w:r>
        <w:rPr>
          <w:rFonts w:ascii="Arial" w:cs="Arial" w:eastAsia="Arial" w:hAnsi="Arial"/>
          <w:sz w:val="17"/>
          <w:szCs w:val="17"/>
          <w:color w:val="auto"/>
        </w:rPr>
        <w:t>AFG Common Stock is listed and traded on the New York Stock Exchange under the symbol AFG. There were approximately 4,400 shareholders of record of AFG Common Stock at February 1, 2024.</w:t>
      </w:r>
    </w:p>
    <w:p>
      <w:pPr>
        <w:spacing w:after="0" w:line="169" w:lineRule="exact"/>
        <w:rPr>
          <w:sz w:val="20"/>
          <w:szCs w:val="20"/>
          <w:color w:val="auto"/>
        </w:rPr>
      </w:pPr>
    </w:p>
    <w:p>
      <w:pPr>
        <w:spacing w:after="0"/>
        <w:rPr>
          <w:sz w:val="20"/>
          <w:szCs w:val="20"/>
          <w:color w:val="auto"/>
        </w:rPr>
      </w:pPr>
      <w:r>
        <w:rPr>
          <w:rFonts w:ascii="Arial" w:cs="Arial" w:eastAsia="Arial" w:hAnsi="Arial"/>
          <w:sz w:val="25"/>
          <w:szCs w:val="25"/>
          <w:b w:val="1"/>
          <w:bCs w:val="1"/>
          <w:color w:val="00274E"/>
        </w:rPr>
        <w:t>Issuer Purchases of Equity Securities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AFG repurchased shares of its Common Stock during 2023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rPr>
              <w:t>Total Number</w:t>
            </w:r>
          </w:p>
        </w:tc>
        <w:tc>
          <w:tcPr>
            <w:tcW w:w="8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rPr>
              <w:t>Maximum Number</w:t>
            </w:r>
          </w:p>
        </w:tc>
        <w:tc>
          <w:tcPr>
            <w:tcW w:w="0" w:type="dxa"/>
            <w:vAlign w:val="bottom"/>
          </w:tcPr>
          <w:p>
            <w:pPr>
              <w:spacing w:after="0"/>
              <w:rPr>
                <w:sz w:val="1"/>
                <w:szCs w:val="1"/>
                <w:color w:val="auto"/>
              </w:rPr>
            </w:pPr>
          </w:p>
        </w:tc>
      </w:tr>
      <w:tr>
        <w:trPr>
          <w:trHeight w:val="144"/>
        </w:trPr>
        <w:tc>
          <w:tcPr>
            <w:tcW w:w="4980" w:type="dxa"/>
            <w:vAlign w:val="bottom"/>
          </w:tcPr>
          <w:p>
            <w:pPr>
              <w:spacing w:after="0"/>
              <w:rPr>
                <w:sz w:val="12"/>
                <w:szCs w:val="12"/>
                <w:color w:val="auto"/>
              </w:rPr>
            </w:pPr>
          </w:p>
        </w:tc>
        <w:tc>
          <w:tcPr>
            <w:tcW w:w="130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6"/>
              </w:rPr>
              <w:t>Total</w:t>
            </w: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0" w:type="dxa"/>
            <w:vAlign w:val="bottom"/>
          </w:tcPr>
          <w:p>
            <w:pPr>
              <w:jc w:val="center"/>
              <w:spacing w:after="0" w:line="145" w:lineRule="exact"/>
              <w:rPr>
                <w:sz w:val="20"/>
                <w:szCs w:val="20"/>
                <w:color w:val="auto"/>
              </w:rPr>
            </w:pPr>
            <w:r>
              <w:rPr>
                <w:rFonts w:ascii="Arial" w:cs="Arial" w:eastAsia="Arial" w:hAnsi="Arial"/>
                <w:sz w:val="14"/>
                <w:szCs w:val="14"/>
                <w:color w:val="auto"/>
              </w:rPr>
              <w:t>of Shares</w:t>
            </w:r>
          </w:p>
        </w:tc>
        <w:tc>
          <w:tcPr>
            <w:tcW w:w="80" w:type="dxa"/>
            <w:vAlign w:val="bottom"/>
          </w:tcPr>
          <w:p>
            <w:pPr>
              <w:spacing w:after="0"/>
              <w:rPr>
                <w:sz w:val="12"/>
                <w:szCs w:val="12"/>
                <w:color w:val="auto"/>
              </w:rPr>
            </w:pPr>
          </w:p>
        </w:tc>
        <w:tc>
          <w:tcPr>
            <w:tcW w:w="1680" w:type="dxa"/>
            <w:vAlign w:val="bottom"/>
          </w:tcPr>
          <w:p>
            <w:pPr>
              <w:jc w:val="center"/>
              <w:spacing w:after="0" w:line="145" w:lineRule="exact"/>
              <w:rPr>
                <w:sz w:val="20"/>
                <w:szCs w:val="20"/>
                <w:color w:val="auto"/>
              </w:rPr>
            </w:pPr>
            <w:r>
              <w:rPr>
                <w:rFonts w:ascii="Arial" w:cs="Arial" w:eastAsia="Arial" w:hAnsi="Arial"/>
                <w:sz w:val="14"/>
                <w:szCs w:val="14"/>
                <w:color w:val="auto"/>
              </w:rPr>
              <w:t>of Shares</w:t>
            </w:r>
          </w:p>
        </w:tc>
        <w:tc>
          <w:tcPr>
            <w:tcW w:w="0" w:type="dxa"/>
            <w:vAlign w:val="bottom"/>
          </w:tcPr>
          <w:p>
            <w:pPr>
              <w:spacing w:after="0"/>
              <w:rPr>
                <w:sz w:val="1"/>
                <w:szCs w:val="1"/>
                <w:color w:val="auto"/>
              </w:rPr>
            </w:pPr>
          </w:p>
        </w:tc>
      </w:tr>
      <w:tr>
        <w:trPr>
          <w:trHeight w:val="139"/>
        </w:trPr>
        <w:tc>
          <w:tcPr>
            <w:tcW w:w="49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restart"/>
          </w:tcPr>
          <w:p>
            <w:pPr>
              <w:jc w:val="right"/>
              <w:ind w:right="262"/>
              <w:spacing w:after="0"/>
              <w:rPr>
                <w:sz w:val="20"/>
                <w:szCs w:val="20"/>
                <w:color w:val="auto"/>
              </w:rPr>
            </w:pPr>
            <w:r>
              <w:rPr>
                <w:rFonts w:ascii="Arial" w:cs="Arial" w:eastAsia="Arial" w:hAnsi="Arial"/>
                <w:sz w:val="14"/>
                <w:szCs w:val="14"/>
                <w:color w:val="auto"/>
              </w:rPr>
              <w:t>Average</w:t>
            </w:r>
          </w:p>
        </w:tc>
        <w:tc>
          <w:tcPr>
            <w:tcW w:w="380" w:type="dxa"/>
            <w:vAlign w:val="bottom"/>
          </w:tcPr>
          <w:p>
            <w:pPr>
              <w:spacing w:after="0"/>
              <w:rPr>
                <w:sz w:val="12"/>
                <w:szCs w:val="12"/>
                <w:color w:val="auto"/>
              </w:rPr>
            </w:pPr>
          </w:p>
        </w:tc>
        <w:tc>
          <w:tcPr>
            <w:tcW w:w="1600" w:type="dxa"/>
            <w:vAlign w:val="bottom"/>
          </w:tcPr>
          <w:p>
            <w:pPr>
              <w:jc w:val="center"/>
              <w:spacing w:after="0" w:line="139" w:lineRule="exact"/>
              <w:rPr>
                <w:sz w:val="20"/>
                <w:szCs w:val="20"/>
                <w:color w:val="auto"/>
              </w:rPr>
            </w:pPr>
            <w:r>
              <w:rPr>
                <w:rFonts w:ascii="Arial" w:cs="Arial" w:eastAsia="Arial" w:hAnsi="Arial"/>
                <w:sz w:val="14"/>
                <w:szCs w:val="14"/>
                <w:color w:val="auto"/>
              </w:rPr>
              <w:t>Purchased as</w:t>
            </w:r>
          </w:p>
        </w:tc>
        <w:tc>
          <w:tcPr>
            <w:tcW w:w="80" w:type="dxa"/>
            <w:vAlign w:val="bottom"/>
          </w:tcPr>
          <w:p>
            <w:pPr>
              <w:spacing w:after="0"/>
              <w:rPr>
                <w:sz w:val="12"/>
                <w:szCs w:val="12"/>
                <w:color w:val="auto"/>
              </w:rPr>
            </w:pPr>
          </w:p>
        </w:tc>
        <w:tc>
          <w:tcPr>
            <w:tcW w:w="1680" w:type="dxa"/>
            <w:vAlign w:val="bottom"/>
          </w:tcPr>
          <w:p>
            <w:pPr>
              <w:jc w:val="center"/>
              <w:spacing w:after="0" w:line="139" w:lineRule="exact"/>
              <w:rPr>
                <w:sz w:val="20"/>
                <w:szCs w:val="20"/>
                <w:color w:val="auto"/>
              </w:rPr>
            </w:pPr>
            <w:r>
              <w:rPr>
                <w:rFonts w:ascii="Arial" w:cs="Arial" w:eastAsia="Arial" w:hAnsi="Arial"/>
                <w:sz w:val="14"/>
                <w:szCs w:val="14"/>
                <w:color w:val="auto"/>
              </w:rPr>
              <w:t>that May</w:t>
            </w:r>
          </w:p>
        </w:tc>
        <w:tc>
          <w:tcPr>
            <w:tcW w:w="0" w:type="dxa"/>
            <w:vAlign w:val="bottom"/>
          </w:tcPr>
          <w:p>
            <w:pPr>
              <w:spacing w:after="0"/>
              <w:rPr>
                <w:sz w:val="1"/>
                <w:szCs w:val="1"/>
                <w:color w:val="auto"/>
              </w:rPr>
            </w:pPr>
          </w:p>
        </w:tc>
      </w:tr>
      <w:tr>
        <w:trPr>
          <w:trHeight w:val="144"/>
        </w:trPr>
        <w:tc>
          <w:tcPr>
            <w:tcW w:w="4980" w:type="dxa"/>
            <w:vAlign w:val="bottom"/>
          </w:tcPr>
          <w:p>
            <w:pPr>
              <w:spacing w:after="0"/>
              <w:rPr>
                <w:sz w:val="12"/>
                <w:szCs w:val="12"/>
                <w:color w:val="auto"/>
              </w:rPr>
            </w:pPr>
          </w:p>
        </w:tc>
        <w:tc>
          <w:tcPr>
            <w:tcW w:w="1300" w:type="dxa"/>
            <w:vAlign w:val="bottom"/>
            <w:gridSpan w:val="2"/>
          </w:tcPr>
          <w:p>
            <w:pPr>
              <w:jc w:val="center"/>
              <w:ind w:right="80"/>
              <w:spacing w:after="0" w:line="145" w:lineRule="exact"/>
              <w:rPr>
                <w:sz w:val="20"/>
                <w:szCs w:val="20"/>
                <w:color w:val="auto"/>
              </w:rPr>
            </w:pPr>
            <w:r>
              <w:rPr>
                <w:rFonts w:ascii="Arial" w:cs="Arial" w:eastAsia="Arial" w:hAnsi="Arial"/>
                <w:sz w:val="14"/>
                <w:szCs w:val="14"/>
                <w:color w:val="auto"/>
              </w:rPr>
              <w:t>Number</w:t>
            </w: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600" w:type="dxa"/>
            <w:vAlign w:val="bottom"/>
          </w:tcPr>
          <w:p>
            <w:pPr>
              <w:jc w:val="center"/>
              <w:spacing w:after="0" w:line="145" w:lineRule="exact"/>
              <w:rPr>
                <w:sz w:val="20"/>
                <w:szCs w:val="20"/>
                <w:color w:val="auto"/>
              </w:rPr>
            </w:pPr>
            <w:r>
              <w:rPr>
                <w:rFonts w:ascii="Arial" w:cs="Arial" w:eastAsia="Arial" w:hAnsi="Arial"/>
                <w:sz w:val="14"/>
                <w:szCs w:val="14"/>
                <w:color w:val="auto"/>
              </w:rPr>
              <w:t>Part of Publicly</w:t>
            </w:r>
          </w:p>
        </w:tc>
        <w:tc>
          <w:tcPr>
            <w:tcW w:w="80" w:type="dxa"/>
            <w:vAlign w:val="bottom"/>
          </w:tcPr>
          <w:p>
            <w:pPr>
              <w:spacing w:after="0"/>
              <w:rPr>
                <w:sz w:val="12"/>
                <w:szCs w:val="12"/>
                <w:color w:val="auto"/>
              </w:rPr>
            </w:pPr>
          </w:p>
        </w:tc>
        <w:tc>
          <w:tcPr>
            <w:tcW w:w="1680" w:type="dxa"/>
            <w:vAlign w:val="bottom"/>
          </w:tcPr>
          <w:p>
            <w:pPr>
              <w:jc w:val="center"/>
              <w:spacing w:after="0" w:line="145" w:lineRule="exact"/>
              <w:rPr>
                <w:sz w:val="20"/>
                <w:szCs w:val="20"/>
                <w:color w:val="auto"/>
              </w:rPr>
            </w:pPr>
            <w:r>
              <w:rPr>
                <w:rFonts w:ascii="Arial" w:cs="Arial" w:eastAsia="Arial" w:hAnsi="Arial"/>
                <w:sz w:val="14"/>
                <w:szCs w:val="14"/>
                <w:color w:val="auto"/>
              </w:rPr>
              <w:t>Yet be Purchased</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3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rPr>
              <w:t>of Shares</w:t>
            </w:r>
          </w:p>
        </w:tc>
        <w:tc>
          <w:tcPr>
            <w:tcW w:w="200" w:type="dxa"/>
            <w:vAlign w:val="bottom"/>
          </w:tcPr>
          <w:p>
            <w:pPr>
              <w:spacing w:after="0"/>
              <w:rPr>
                <w:sz w:val="12"/>
                <w:szCs w:val="12"/>
                <w:color w:val="auto"/>
              </w:rPr>
            </w:pPr>
          </w:p>
        </w:tc>
        <w:tc>
          <w:tcPr>
            <w:tcW w:w="1020" w:type="dxa"/>
            <w:vAlign w:val="bottom"/>
          </w:tcPr>
          <w:p>
            <w:pPr>
              <w:jc w:val="right"/>
              <w:ind w:right="202"/>
              <w:spacing w:after="0" w:line="149" w:lineRule="exact"/>
              <w:rPr>
                <w:sz w:val="20"/>
                <w:szCs w:val="20"/>
                <w:color w:val="auto"/>
              </w:rPr>
            </w:pPr>
            <w:r>
              <w:rPr>
                <w:rFonts w:ascii="Arial" w:cs="Arial" w:eastAsia="Arial" w:hAnsi="Arial"/>
                <w:sz w:val="14"/>
                <w:szCs w:val="14"/>
                <w:color w:val="auto"/>
              </w:rPr>
              <w:t>Price Paid</w:t>
            </w:r>
          </w:p>
        </w:tc>
        <w:tc>
          <w:tcPr>
            <w:tcW w:w="38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color w:val="auto"/>
              </w:rPr>
              <w:t>Announced Plans</w:t>
            </w:r>
          </w:p>
        </w:tc>
        <w:tc>
          <w:tcPr>
            <w:tcW w:w="8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rPr>
              <w:t>Under the Plans</w:t>
            </w:r>
          </w:p>
        </w:tc>
        <w:tc>
          <w:tcPr>
            <w:tcW w:w="0" w:type="dxa"/>
            <w:vAlign w:val="bottom"/>
          </w:tcPr>
          <w:p>
            <w:pPr>
              <w:spacing w:after="0"/>
              <w:rPr>
                <w:sz w:val="1"/>
                <w:szCs w:val="1"/>
                <w:color w:val="auto"/>
              </w:rPr>
            </w:pPr>
          </w:p>
        </w:tc>
      </w:tr>
      <w:tr>
        <w:trPr>
          <w:trHeight w:val="189"/>
        </w:trPr>
        <w:tc>
          <w:tcPr>
            <w:tcW w:w="4980" w:type="dxa"/>
            <w:vAlign w:val="bottom"/>
          </w:tcPr>
          <w:p>
            <w:pPr>
              <w:spacing w:after="0"/>
              <w:rPr>
                <w:sz w:val="16"/>
                <w:szCs w:val="16"/>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4"/>
                <w:szCs w:val="14"/>
                <w:color w:val="auto"/>
              </w:rPr>
              <w:t>Purchased</w:t>
            </w:r>
          </w:p>
        </w:tc>
        <w:tc>
          <w:tcPr>
            <w:tcW w:w="200" w:type="dxa"/>
            <w:vAlign w:val="bottom"/>
          </w:tcPr>
          <w:p>
            <w:pPr>
              <w:spacing w:after="0"/>
              <w:rPr>
                <w:sz w:val="16"/>
                <w:szCs w:val="16"/>
                <w:color w:val="auto"/>
              </w:rPr>
            </w:pPr>
          </w:p>
        </w:tc>
        <w:tc>
          <w:tcPr>
            <w:tcW w:w="1020" w:type="dxa"/>
            <w:vAlign w:val="bottom"/>
          </w:tcPr>
          <w:p>
            <w:pPr>
              <w:jc w:val="right"/>
              <w:ind w:right="202"/>
              <w:spacing w:after="0"/>
              <w:rPr>
                <w:sz w:val="20"/>
                <w:szCs w:val="20"/>
                <w:color w:val="auto"/>
              </w:rPr>
            </w:pPr>
            <w:r>
              <w:rPr>
                <w:rFonts w:ascii="Arial" w:cs="Arial" w:eastAsia="Arial" w:hAnsi="Arial"/>
                <w:sz w:val="14"/>
                <w:szCs w:val="14"/>
                <w:color w:val="auto"/>
              </w:rPr>
              <w:t>Per Share</w:t>
            </w:r>
          </w:p>
        </w:tc>
        <w:tc>
          <w:tcPr>
            <w:tcW w:w="38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rPr>
              <w:t>or Programs</w:t>
            </w:r>
          </w:p>
        </w:tc>
        <w:tc>
          <w:tcPr>
            <w:tcW w:w="8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rPr>
              <w:t>or Programs (b)</w:t>
            </w: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First quarter</w:t>
            </w:r>
          </w:p>
        </w:tc>
        <w:tc>
          <w:tcPr>
            <w:tcW w:w="12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199,762</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119.01</w:t>
            </w:r>
          </w:p>
        </w:tc>
        <w:tc>
          <w:tcPr>
            <w:tcW w:w="3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199,762</w:t>
            </w:r>
          </w:p>
        </w:tc>
        <w:tc>
          <w:tcPr>
            <w:tcW w:w="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6"/>
                <w:szCs w:val="16"/>
                <w:color w:val="auto"/>
              </w:rPr>
              <w:t>7,401,792</w:t>
            </w:r>
          </w:p>
        </w:tc>
        <w:tc>
          <w:tcPr>
            <w:tcW w:w="0" w:type="dxa"/>
            <w:vAlign w:val="bottom"/>
          </w:tcPr>
          <w:p>
            <w:pPr>
              <w:spacing w:after="0"/>
              <w:rPr>
                <w:sz w:val="1"/>
                <w:szCs w:val="1"/>
                <w:color w:val="auto"/>
              </w:rPr>
            </w:pPr>
          </w:p>
        </w:tc>
      </w:tr>
      <w:tr>
        <w:trPr>
          <w:trHeight w:val="215"/>
        </w:trPr>
        <w:tc>
          <w:tcPr>
            <w:tcW w:w="4980" w:type="dxa"/>
            <w:vAlign w:val="bottom"/>
          </w:tcPr>
          <w:p>
            <w:pPr>
              <w:ind w:left="20"/>
              <w:spacing w:after="0"/>
              <w:rPr>
                <w:sz w:val="20"/>
                <w:szCs w:val="20"/>
                <w:color w:val="auto"/>
              </w:rPr>
            </w:pPr>
            <w:r>
              <w:rPr>
                <w:rFonts w:ascii="Arial" w:cs="Arial" w:eastAsia="Arial" w:hAnsi="Arial"/>
                <w:sz w:val="16"/>
                <w:szCs w:val="16"/>
                <w:color w:val="auto"/>
              </w:rPr>
              <w:t>Second quarter</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374,958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115.17</w:t>
            </w:r>
          </w:p>
        </w:tc>
        <w:tc>
          <w:tcPr>
            <w:tcW w:w="380" w:type="dxa"/>
            <w:vAlign w:val="bottom"/>
          </w:tcPr>
          <w:p>
            <w:pPr>
              <w:spacing w:after="0"/>
              <w:rPr>
                <w:sz w:val="18"/>
                <w:szCs w:val="18"/>
                <w:color w:val="auto"/>
              </w:rPr>
            </w:pPr>
          </w:p>
        </w:tc>
        <w:tc>
          <w:tcPr>
            <w:tcW w:w="1600" w:type="dxa"/>
            <w:vAlign w:val="bottom"/>
          </w:tcPr>
          <w:p>
            <w:pPr>
              <w:jc w:val="right"/>
              <w:ind w:right="3"/>
              <w:spacing w:after="0"/>
              <w:rPr>
                <w:sz w:val="20"/>
                <w:szCs w:val="20"/>
                <w:color w:val="auto"/>
              </w:rPr>
            </w:pPr>
            <w:r>
              <w:rPr>
                <w:rFonts w:ascii="Arial" w:cs="Arial" w:eastAsia="Arial" w:hAnsi="Arial"/>
                <w:sz w:val="16"/>
                <w:szCs w:val="16"/>
                <w:color w:val="auto"/>
              </w:rPr>
              <w:t>374,958</w:t>
            </w:r>
          </w:p>
        </w:tc>
        <w:tc>
          <w:tcPr>
            <w:tcW w:w="1760" w:type="dxa"/>
            <w:vAlign w:val="bottom"/>
            <w:gridSpan w:val="2"/>
          </w:tcPr>
          <w:p>
            <w:pPr>
              <w:jc w:val="right"/>
              <w:ind w:right="7"/>
              <w:spacing w:after="0"/>
              <w:rPr>
                <w:sz w:val="20"/>
                <w:szCs w:val="20"/>
                <w:color w:val="auto"/>
              </w:rPr>
            </w:pPr>
            <w:r>
              <w:rPr>
                <w:rFonts w:ascii="Arial" w:cs="Arial" w:eastAsia="Arial" w:hAnsi="Arial"/>
                <w:sz w:val="16"/>
                <w:szCs w:val="16"/>
                <w:color w:val="auto"/>
              </w:rPr>
              <w:t>7,026,834</w:t>
            </w:r>
          </w:p>
        </w:tc>
        <w:tc>
          <w:tcPr>
            <w:tcW w:w="0" w:type="dxa"/>
            <w:vAlign w:val="bottom"/>
          </w:tcPr>
          <w:p>
            <w:pPr>
              <w:spacing w:after="0"/>
              <w:rPr>
                <w:sz w:val="1"/>
                <w:szCs w:val="1"/>
                <w:color w:val="auto"/>
              </w:rPr>
            </w:pPr>
          </w:p>
        </w:tc>
      </w:tr>
      <w:tr>
        <w:trPr>
          <w:trHeight w:val="217"/>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Third quarter</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755,111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112.28</w:t>
            </w:r>
          </w:p>
        </w:tc>
        <w:tc>
          <w:tcPr>
            <w:tcW w:w="3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755,111</w:t>
            </w:r>
          </w:p>
        </w:tc>
        <w:tc>
          <w:tcPr>
            <w:tcW w:w="1760" w:type="dxa"/>
            <w:vAlign w:val="bottom"/>
            <w:gridSpan w:val="2"/>
            <w:shd w:val="clear" w:color="auto" w:fill="CCEEFF"/>
          </w:tcPr>
          <w:p>
            <w:pPr>
              <w:jc w:val="right"/>
              <w:ind w:right="7"/>
              <w:spacing w:after="0"/>
              <w:rPr>
                <w:sz w:val="20"/>
                <w:szCs w:val="20"/>
                <w:color w:val="auto"/>
              </w:rPr>
            </w:pPr>
            <w:r>
              <w:rPr>
                <w:rFonts w:ascii="Arial" w:cs="Arial" w:eastAsia="Arial" w:hAnsi="Arial"/>
                <w:sz w:val="16"/>
                <w:szCs w:val="16"/>
                <w:color w:val="auto"/>
              </w:rPr>
              <w:t>6,271,723</w:t>
            </w:r>
          </w:p>
        </w:tc>
        <w:tc>
          <w:tcPr>
            <w:tcW w:w="0" w:type="dxa"/>
            <w:vAlign w:val="bottom"/>
          </w:tcPr>
          <w:p>
            <w:pPr>
              <w:spacing w:after="0"/>
              <w:rPr>
                <w:sz w:val="1"/>
                <w:szCs w:val="1"/>
                <w:color w:val="auto"/>
              </w:rPr>
            </w:pPr>
          </w:p>
        </w:tc>
      </w:tr>
      <w:tr>
        <w:trPr>
          <w:trHeight w:val="215"/>
        </w:trPr>
        <w:tc>
          <w:tcPr>
            <w:tcW w:w="4980" w:type="dxa"/>
            <w:vAlign w:val="bottom"/>
          </w:tcPr>
          <w:p>
            <w:pPr>
              <w:ind w:left="20"/>
              <w:spacing w:after="0"/>
              <w:rPr>
                <w:sz w:val="20"/>
                <w:szCs w:val="20"/>
                <w:color w:val="auto"/>
              </w:rPr>
            </w:pPr>
            <w:r>
              <w:rPr>
                <w:rFonts w:ascii="Arial" w:cs="Arial" w:eastAsia="Arial" w:hAnsi="Arial"/>
                <w:sz w:val="16"/>
                <w:szCs w:val="16"/>
                <w:color w:val="auto"/>
              </w:rPr>
              <w:t>Fourth quarter:</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October</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361,946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110.49</w:t>
            </w:r>
          </w:p>
        </w:tc>
        <w:tc>
          <w:tcPr>
            <w:tcW w:w="3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361,946</w:t>
            </w:r>
          </w:p>
        </w:tc>
        <w:tc>
          <w:tcPr>
            <w:tcW w:w="1760" w:type="dxa"/>
            <w:vAlign w:val="bottom"/>
            <w:gridSpan w:val="2"/>
            <w:shd w:val="clear" w:color="auto" w:fill="CCEEFF"/>
          </w:tcPr>
          <w:p>
            <w:pPr>
              <w:jc w:val="right"/>
              <w:ind w:right="7"/>
              <w:spacing w:after="0"/>
              <w:rPr>
                <w:sz w:val="20"/>
                <w:szCs w:val="20"/>
                <w:color w:val="auto"/>
              </w:rPr>
            </w:pPr>
            <w:r>
              <w:rPr>
                <w:rFonts w:ascii="Arial" w:cs="Arial" w:eastAsia="Arial" w:hAnsi="Arial"/>
                <w:sz w:val="16"/>
                <w:szCs w:val="16"/>
                <w:color w:val="auto"/>
              </w:rPr>
              <w:t>5,909,777</w:t>
            </w:r>
          </w:p>
        </w:tc>
        <w:tc>
          <w:tcPr>
            <w:tcW w:w="0" w:type="dxa"/>
            <w:vAlign w:val="bottom"/>
          </w:tcPr>
          <w:p>
            <w:pPr>
              <w:spacing w:after="0"/>
              <w:rPr>
                <w:sz w:val="1"/>
                <w:szCs w:val="1"/>
                <w:color w:val="auto"/>
              </w:rPr>
            </w:pPr>
          </w:p>
        </w:tc>
      </w:tr>
      <w:tr>
        <w:trPr>
          <w:trHeight w:val="215"/>
        </w:trPr>
        <w:tc>
          <w:tcPr>
            <w:tcW w:w="4980" w:type="dxa"/>
            <w:vAlign w:val="bottom"/>
          </w:tcPr>
          <w:p>
            <w:pPr>
              <w:ind w:left="180"/>
              <w:spacing w:after="0"/>
              <w:rPr>
                <w:sz w:val="20"/>
                <w:szCs w:val="20"/>
                <w:color w:val="auto"/>
              </w:rPr>
            </w:pPr>
            <w:r>
              <w:rPr>
                <w:rFonts w:ascii="Arial" w:cs="Arial" w:eastAsia="Arial" w:hAnsi="Arial"/>
                <w:sz w:val="16"/>
                <w:szCs w:val="16"/>
                <w:color w:val="auto"/>
              </w:rPr>
              <w:t>November</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170,100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109.37</w:t>
            </w:r>
          </w:p>
        </w:tc>
        <w:tc>
          <w:tcPr>
            <w:tcW w:w="380" w:type="dxa"/>
            <w:vAlign w:val="bottom"/>
          </w:tcPr>
          <w:p>
            <w:pPr>
              <w:spacing w:after="0"/>
              <w:rPr>
                <w:sz w:val="18"/>
                <w:szCs w:val="18"/>
                <w:color w:val="auto"/>
              </w:rPr>
            </w:pPr>
          </w:p>
        </w:tc>
        <w:tc>
          <w:tcPr>
            <w:tcW w:w="1600" w:type="dxa"/>
            <w:vAlign w:val="bottom"/>
          </w:tcPr>
          <w:p>
            <w:pPr>
              <w:jc w:val="right"/>
              <w:ind w:right="3"/>
              <w:spacing w:after="0"/>
              <w:rPr>
                <w:sz w:val="20"/>
                <w:szCs w:val="20"/>
                <w:color w:val="auto"/>
              </w:rPr>
            </w:pPr>
            <w:r>
              <w:rPr>
                <w:rFonts w:ascii="Arial" w:cs="Arial" w:eastAsia="Arial" w:hAnsi="Arial"/>
                <w:sz w:val="16"/>
                <w:szCs w:val="16"/>
                <w:color w:val="auto"/>
              </w:rPr>
              <w:t>170,100</w:t>
            </w:r>
          </w:p>
        </w:tc>
        <w:tc>
          <w:tcPr>
            <w:tcW w:w="1760" w:type="dxa"/>
            <w:vAlign w:val="bottom"/>
            <w:gridSpan w:val="2"/>
          </w:tcPr>
          <w:p>
            <w:pPr>
              <w:jc w:val="right"/>
              <w:ind w:right="7"/>
              <w:spacing w:after="0"/>
              <w:rPr>
                <w:sz w:val="20"/>
                <w:szCs w:val="20"/>
                <w:color w:val="auto"/>
              </w:rPr>
            </w:pPr>
            <w:r>
              <w:rPr>
                <w:rFonts w:ascii="Arial" w:cs="Arial" w:eastAsia="Arial" w:hAnsi="Arial"/>
                <w:sz w:val="16"/>
                <w:szCs w:val="16"/>
                <w:color w:val="auto"/>
              </w:rPr>
              <w:t>5,739,677</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December</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10,667</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115.25</w:t>
            </w:r>
          </w:p>
        </w:tc>
        <w:tc>
          <w:tcPr>
            <w:tcW w:w="380" w:type="dxa"/>
            <w:vAlign w:val="bottom"/>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10,667</w:t>
            </w:r>
          </w:p>
        </w:tc>
        <w:tc>
          <w:tcPr>
            <w:tcW w:w="1760" w:type="dxa"/>
            <w:vAlign w:val="bottom"/>
            <w:gridSpan w:val="2"/>
            <w:shd w:val="clear" w:color="auto" w:fill="CCEEFF"/>
          </w:tcPr>
          <w:p>
            <w:pPr>
              <w:jc w:val="right"/>
              <w:ind w:right="7"/>
              <w:spacing w:after="0"/>
              <w:rPr>
                <w:sz w:val="20"/>
                <w:szCs w:val="20"/>
                <w:color w:val="auto"/>
              </w:rPr>
            </w:pPr>
            <w:r>
              <w:rPr>
                <w:rFonts w:ascii="Arial" w:cs="Arial" w:eastAsia="Arial" w:hAnsi="Arial"/>
                <w:sz w:val="16"/>
                <w:szCs w:val="16"/>
                <w:color w:val="auto"/>
              </w:rPr>
              <w:t>5,729,010</w:t>
            </w:r>
          </w:p>
        </w:tc>
        <w:tc>
          <w:tcPr>
            <w:tcW w:w="0" w:type="dxa"/>
            <w:vAlign w:val="bottom"/>
          </w:tcPr>
          <w:p>
            <w:pPr>
              <w:spacing w:after="0"/>
              <w:rPr>
                <w:sz w:val="1"/>
                <w:szCs w:val="1"/>
                <w:color w:val="auto"/>
              </w:rPr>
            </w:pPr>
          </w:p>
        </w:tc>
      </w:tr>
      <w:tr>
        <w:trPr>
          <w:trHeight w:val="210"/>
        </w:trPr>
        <w:tc>
          <w:tcPr>
            <w:tcW w:w="4980" w:type="dxa"/>
            <w:vAlign w:val="bottom"/>
          </w:tcPr>
          <w:p>
            <w:pPr>
              <w:ind w:left="360"/>
              <w:spacing w:after="0"/>
              <w:rPr>
                <w:sz w:val="20"/>
                <w:szCs w:val="20"/>
                <w:color w:val="auto"/>
              </w:rPr>
            </w:pPr>
            <w:r>
              <w:rPr>
                <w:rFonts w:ascii="Arial" w:cs="Arial" w:eastAsia="Arial" w:hAnsi="Arial"/>
                <w:sz w:val="16"/>
                <w:szCs w:val="16"/>
                <w:color w:val="auto"/>
              </w:rPr>
              <w:t>Total</w:t>
            </w: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1,872,544</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112.98</w:t>
            </w:r>
          </w:p>
        </w:tc>
        <w:tc>
          <w:tcPr>
            <w:tcW w:w="380" w:type="dxa"/>
            <w:vAlign w:val="bottom"/>
          </w:tcPr>
          <w:p>
            <w:pPr>
              <w:ind w:left="20"/>
              <w:spacing w:after="0"/>
              <w:rPr>
                <w:sz w:val="20"/>
                <w:szCs w:val="20"/>
                <w:color w:val="auto"/>
              </w:rPr>
            </w:pPr>
            <w:r>
              <w:rPr>
                <w:rFonts w:ascii="Arial" w:cs="Arial" w:eastAsia="Arial" w:hAnsi="Arial"/>
                <w:sz w:val="16"/>
                <w:szCs w:val="16"/>
                <w:color w:val="auto"/>
              </w:rPr>
              <w:t>(a)</w:t>
            </w:r>
          </w:p>
        </w:tc>
        <w:tc>
          <w:tcPr>
            <w:tcW w:w="16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1,872,544</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20" w:right="300" w:hanging="412"/>
        <w:spacing w:after="0" w:line="265" w:lineRule="auto"/>
        <w:tabs>
          <w:tab w:leader="none" w:pos="413" w:val="left"/>
        </w:tabs>
        <w:numPr>
          <w:ilvl w:val="0"/>
          <w:numId w:val="13"/>
        </w:numPr>
        <w:rPr>
          <w:rFonts w:ascii="Arial" w:cs="Arial" w:eastAsia="Arial" w:hAnsi="Arial"/>
          <w:sz w:val="17"/>
          <w:szCs w:val="17"/>
          <w:color w:val="auto"/>
        </w:rPr>
      </w:pPr>
      <w:r>
        <w:rPr>
          <w:rFonts w:ascii="Arial" w:cs="Arial" w:eastAsia="Arial" w:hAnsi="Arial"/>
          <w:sz w:val="17"/>
          <w:szCs w:val="17"/>
          <w:color w:val="auto"/>
        </w:rPr>
        <w:t>AFG declared special dividends totaling $5.50 per share of its Common Stock in 2023. Adjusted for the special dividends, the average price paid per share was $111.56 for 2023. In addition, at December 31, 2023, AFG has a $2 million payable related to the excise tax on share repurchases that was enacted January 1, 2023.</w:t>
      </w:r>
    </w:p>
    <w:p>
      <w:pPr>
        <w:ind w:left="420" w:right="20" w:hanging="412"/>
        <w:spacing w:after="0" w:line="284" w:lineRule="auto"/>
        <w:tabs>
          <w:tab w:leader="none" w:pos="413"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Represents the remaining shares that may be repurchased until December 31, 2025 under the Plans authorized by AFG’s Board of Directors in October 2020 and May 2021.</w:t>
      </w:r>
    </w:p>
    <w:p>
      <w:pPr>
        <w:spacing w:after="0" w:line="185"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color w:val="auto"/>
        </w:rPr>
        <w:t>AFG acquired 56,629 shares of its Common Stock (at an average of $131.98 per share) in the first nine months of 2023, 7,363 shares (at an average of $112.70 per share) in October 2023 and 68 shares (at $109.84 per share) in November 2023 in connection with its stock incentive plans.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5"/>
          <w:szCs w:val="25"/>
          <w:b w:val="1"/>
          <w:bCs w:val="1"/>
          <w:color w:val="00274E"/>
        </w:rPr>
        <w:t>Stock Performance Graph</w:t>
      </w:r>
    </w:p>
    <w:p>
      <w:pPr>
        <w:spacing w:after="0" w:line="28"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The following graph compares the performance of AFG Common Stock during the five year period from December 31, 2018 through December 31, 2023 with the performance of (i) the S&amp;P 500 Composite Stock Index (“S&amp;P 500 Index”) and (ii) the S&amp;P 500 Property &amp; Casualty Insurance Index. The graph assumes that an initial investment of $100 was made on December 31, 2018 and all dividends were reinvested. The stock price performance presented below is not intended to be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-8255</wp:posOffset>
            </wp:positionV>
            <wp:extent cx="5846445" cy="4114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46445"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7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color w:val="auto"/>
              </w:rPr>
              <w:t>As of December 31,</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196"/>
        </w:trPr>
        <w:tc>
          <w:tcPr>
            <w:tcW w:w="47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color w:val="auto"/>
              </w:rPr>
              <w:t>2019</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color w:val="auto"/>
              </w:rPr>
              <w:t>2022</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color w:val="auto"/>
              </w:rPr>
              <w:t>2023</w:t>
            </w:r>
          </w:p>
        </w:tc>
      </w:tr>
      <w:tr>
        <w:trPr>
          <w:trHeight w:val="213"/>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AFG</w:t>
            </w:r>
          </w:p>
        </w:tc>
        <w:tc>
          <w:tcPr>
            <w:tcW w:w="660" w:type="dxa"/>
            <w:vAlign w:val="bottom"/>
            <w:shd w:val="clear" w:color="auto" w:fill="CCEEFF"/>
          </w:tcPr>
          <w:p>
            <w:pPr>
              <w:jc w:val="right"/>
              <w:ind w:right="484"/>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213</w:t>
            </w:r>
          </w:p>
        </w:tc>
      </w:tr>
      <w:tr>
        <w:trPr>
          <w:trHeight w:val="215"/>
        </w:trPr>
        <w:tc>
          <w:tcPr>
            <w:tcW w:w="4700" w:type="dxa"/>
            <w:vAlign w:val="bottom"/>
          </w:tcPr>
          <w:p>
            <w:pPr>
              <w:ind w:left="20"/>
              <w:spacing w:after="0"/>
              <w:rPr>
                <w:sz w:val="20"/>
                <w:szCs w:val="20"/>
                <w:color w:val="auto"/>
              </w:rPr>
            </w:pPr>
            <w:r>
              <w:rPr>
                <w:rFonts w:ascii="Arial" w:cs="Arial" w:eastAsia="Arial" w:hAnsi="Arial"/>
                <w:sz w:val="16"/>
                <w:szCs w:val="16"/>
                <w:color w:val="auto"/>
              </w:rPr>
              <w:t>S&amp;P 500 Index</w:t>
            </w:r>
          </w:p>
        </w:tc>
        <w:tc>
          <w:tcPr>
            <w:tcW w:w="6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w w:val="97"/>
              </w:rPr>
              <w:t>100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131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3"/>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164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207</w:t>
            </w:r>
          </w:p>
        </w:tc>
      </w:tr>
      <w:tr>
        <w:trPr>
          <w:trHeight w:val="21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S&amp;P 500 P&amp;C Index (b)</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207</w:t>
            </w:r>
          </w:p>
        </w:tc>
      </w:tr>
    </w:tbl>
    <w:p>
      <w:pPr>
        <w:spacing w:after="0" w:line="140" w:lineRule="exact"/>
        <w:rPr>
          <w:sz w:val="20"/>
          <w:szCs w:val="20"/>
          <w:color w:val="auto"/>
        </w:rPr>
      </w:pPr>
    </w:p>
    <w:p>
      <w:pPr>
        <w:ind w:left="420" w:right="60" w:hanging="412"/>
        <w:spacing w:after="0" w:line="266" w:lineRule="auto"/>
        <w:tabs>
          <w:tab w:leader="none" w:pos="413" w:val="left"/>
        </w:tabs>
        <w:numPr>
          <w:ilvl w:val="0"/>
          <w:numId w:val="14"/>
        </w:numPr>
        <w:rPr>
          <w:rFonts w:ascii="Arial" w:cs="Arial" w:eastAsia="Arial" w:hAnsi="Arial"/>
          <w:sz w:val="17"/>
          <w:szCs w:val="17"/>
          <w:color w:val="auto"/>
        </w:rPr>
      </w:pPr>
      <w:r>
        <w:rPr>
          <w:rFonts w:ascii="Arial" w:cs="Arial" w:eastAsia="Arial" w:hAnsi="Arial"/>
          <w:sz w:val="17"/>
          <w:szCs w:val="17"/>
          <w:color w:val="auto"/>
        </w:rPr>
        <w:t>Cumulative total shareholder return measures the performance of a company’s stock (or an index) over time and is calculated as the change in the stock price plus cumulative dividends (assuming dividends are reinvested) over a specific period of time divided by the stock price at the beginning of the time period.</w:t>
      </w:r>
    </w:p>
    <w:p>
      <w:pPr>
        <w:spacing w:after="0" w:line="65" w:lineRule="exact"/>
        <w:rPr>
          <w:rFonts w:ascii="Arial" w:cs="Arial" w:eastAsia="Arial" w:hAnsi="Arial"/>
          <w:sz w:val="17"/>
          <w:szCs w:val="17"/>
          <w:color w:val="auto"/>
        </w:rPr>
      </w:pPr>
    </w:p>
    <w:p>
      <w:pPr>
        <w:ind w:left="420" w:right="460" w:hanging="412"/>
        <w:spacing w:after="0" w:line="274" w:lineRule="auto"/>
        <w:tabs>
          <w:tab w:leader="none" w:pos="413"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S&amp;P 500 Property &amp; Casualty Insurance Index included the following companies at December 31, 2023 (weighted by market capitalization): The Allstate Corporation, Arch Capital Group Ltd., Chubb Limited, Cincinnati Financial Corporation, The Hartford Financial Services Group, Inc., Loews Corporation, The Progressive Corporation, The Travelers Companies, Inc. and W.R. Berkley Corporation.</w:t>
      </w:r>
    </w:p>
    <w:p>
      <w:pPr>
        <w:spacing w:after="0" w:line="192" w:lineRule="exact"/>
        <w:rPr>
          <w:sz w:val="20"/>
          <w:szCs w:val="20"/>
          <w:color w:val="auto"/>
        </w:rPr>
      </w:pPr>
    </w:p>
    <w:p>
      <w:pPr>
        <w:spacing w:after="0"/>
        <w:rPr>
          <w:sz w:val="20"/>
          <w:szCs w:val="20"/>
          <w:color w:val="auto"/>
        </w:rPr>
      </w:pPr>
      <w:r>
        <w:rPr>
          <w:rFonts w:ascii="Arial" w:cs="Arial" w:eastAsia="Arial" w:hAnsi="Arial"/>
          <w:sz w:val="36"/>
          <w:szCs w:val="36"/>
          <w:b w:val="1"/>
          <w:bCs w:val="1"/>
          <w:color w:val="00274E"/>
        </w:rPr>
        <w:t>Item 6. Reserved</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060"/>
        <w:spacing w:after="0" w:line="297" w:lineRule="auto"/>
        <w:rPr>
          <w:sz w:val="20"/>
          <w:szCs w:val="20"/>
          <w:color w:val="auto"/>
        </w:rPr>
      </w:pPr>
      <w:r>
        <w:rPr>
          <w:rFonts w:ascii="Arial" w:cs="Arial" w:eastAsia="Arial" w:hAnsi="Arial"/>
          <w:sz w:val="36"/>
          <w:szCs w:val="36"/>
          <w:b w:val="1"/>
          <w:bCs w:val="1"/>
          <w:color w:val="00274E"/>
        </w:rPr>
        <w:t>Item 7. Management’s Discussion and Analysis of Financial Condition and Results of Operations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274E"/>
        </w:rPr>
        <w:t>INDEX TO MD&amp;A</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Page</w:t>
            </w:r>
          </w:p>
        </w:tc>
        <w:tc>
          <w:tcPr>
            <w:tcW w:w="57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w w:val="94"/>
              </w:rPr>
              <w:t>Page</w:t>
            </w:r>
          </w:p>
        </w:tc>
        <w:tc>
          <w:tcPr>
            <w:tcW w:w="0" w:type="dxa"/>
            <w:vAlign w:val="bottom"/>
          </w:tcPr>
          <w:p>
            <w:pPr>
              <w:spacing w:after="0"/>
              <w:rPr>
                <w:sz w:val="1"/>
                <w:szCs w:val="1"/>
                <w:color w:val="auto"/>
              </w:rPr>
            </w:pPr>
          </w:p>
        </w:tc>
      </w:tr>
      <w:tr>
        <w:trPr>
          <w:trHeight w:val="236"/>
        </w:trPr>
        <w:tc>
          <w:tcPr>
            <w:tcW w:w="4000" w:type="dxa"/>
            <w:vAlign w:val="bottom"/>
          </w:tcPr>
          <w:p>
            <w:pPr>
              <w:ind w:left="20"/>
              <w:spacing w:after="0"/>
              <w:rPr>
                <w:sz w:val="20"/>
                <w:szCs w:val="20"/>
                <w:color w:val="auto"/>
              </w:rPr>
            </w:pPr>
            <w:r>
              <w:rPr>
                <w:rFonts w:ascii="Arial" w:cs="Arial" w:eastAsia="Arial" w:hAnsi="Arial"/>
                <w:sz w:val="16"/>
                <w:szCs w:val="16"/>
                <w:b w:val="1"/>
                <w:bCs w:val="1"/>
                <w:color w:val="0000FF"/>
              </w:rPr>
              <w:t>Objective</w:t>
            </w:r>
          </w:p>
        </w:tc>
        <w:tc>
          <w:tcPr>
            <w:tcW w:w="740" w:type="dxa"/>
            <w:vAlign w:val="bottom"/>
          </w:tcPr>
          <w:p>
            <w:pPr>
              <w:spacing w:after="0"/>
              <w:rPr>
                <w:sz w:val="20"/>
                <w:szCs w:val="20"/>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0000FF"/>
              </w:rPr>
              <w:t>31</w:t>
            </w:r>
          </w:p>
        </w:tc>
        <w:tc>
          <w:tcPr>
            <w:tcW w:w="5700" w:type="dxa"/>
            <w:vAlign w:val="bottom"/>
          </w:tcPr>
          <w:p>
            <w:pPr>
              <w:ind w:left="360"/>
              <w:spacing w:after="0"/>
              <w:rPr>
                <w:sz w:val="20"/>
                <w:szCs w:val="20"/>
                <w:color w:val="auto"/>
              </w:rPr>
            </w:pPr>
            <w:r>
              <w:rPr>
                <w:rFonts w:ascii="Arial" w:cs="Arial" w:eastAsia="Arial" w:hAnsi="Arial"/>
                <w:sz w:val="16"/>
                <w:szCs w:val="16"/>
                <w:b w:val="1"/>
                <w:bCs w:val="1"/>
                <w:color w:val="0000FF"/>
              </w:rPr>
              <w:t>Results of Operations — Fourth Quarter</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0000FF"/>
              </w:rPr>
              <w:t>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Arial" w:cs="Arial" w:eastAsia="Arial" w:hAnsi="Arial"/>
                <w:sz w:val="16"/>
                <w:szCs w:val="16"/>
                <w:b w:val="1"/>
                <w:bCs w:val="1"/>
                <w:color w:val="0000FF"/>
              </w:rPr>
              <w:t>Overview</w:t>
            </w: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0000FF"/>
              </w:rPr>
              <w:t>31</w:t>
            </w:r>
          </w:p>
        </w:tc>
        <w:tc>
          <w:tcPr>
            <w:tcW w:w="5700" w:type="dxa"/>
            <w:vAlign w:val="bottom"/>
          </w:tcPr>
          <w:p>
            <w:pPr>
              <w:ind w:left="700"/>
              <w:spacing w:after="0"/>
              <w:rPr>
                <w:sz w:val="20"/>
                <w:szCs w:val="20"/>
                <w:color w:val="auto"/>
              </w:rPr>
            </w:pPr>
            <w:r>
              <w:rPr>
                <w:rFonts w:ascii="Arial" w:cs="Arial" w:eastAsia="Arial" w:hAnsi="Arial"/>
                <w:sz w:val="16"/>
                <w:szCs w:val="16"/>
                <w:b w:val="1"/>
                <w:bCs w:val="1"/>
                <w:color w:val="0000FF"/>
              </w:rPr>
              <w:t>Segmented Statement of Earnings</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Arial" w:cs="Arial" w:eastAsia="Arial" w:hAnsi="Arial"/>
                <w:sz w:val="16"/>
                <w:szCs w:val="16"/>
                <w:b w:val="1"/>
                <w:bCs w:val="1"/>
                <w:color w:val="0000FF"/>
              </w:rPr>
              <w:t>Critical Accounting Policies</w:t>
            </w: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0000FF"/>
              </w:rPr>
              <w:t>32</w:t>
            </w:r>
          </w:p>
        </w:tc>
        <w:tc>
          <w:tcPr>
            <w:tcW w:w="5700" w:type="dxa"/>
            <w:vAlign w:val="bottom"/>
          </w:tcPr>
          <w:p>
            <w:pPr>
              <w:ind w:left="700"/>
              <w:spacing w:after="0"/>
              <w:rPr>
                <w:sz w:val="20"/>
                <w:szCs w:val="20"/>
                <w:color w:val="auto"/>
              </w:rPr>
            </w:pPr>
            <w:r>
              <w:rPr>
                <w:rFonts w:ascii="Arial" w:cs="Arial" w:eastAsia="Arial" w:hAnsi="Arial"/>
                <w:sz w:val="16"/>
                <w:szCs w:val="16"/>
                <w:b w:val="1"/>
                <w:bCs w:val="1"/>
                <w:color w:val="0000FF"/>
              </w:rPr>
              <w:t>Property and Casualty Insurance</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Arial" w:cs="Arial" w:eastAsia="Arial" w:hAnsi="Arial"/>
                <w:sz w:val="16"/>
                <w:szCs w:val="16"/>
                <w:b w:val="1"/>
                <w:bCs w:val="1"/>
                <w:color w:val="0000FF"/>
              </w:rPr>
              <w:t>Liquidity and Capital Resources</w:t>
            </w: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0000FF"/>
              </w:rPr>
              <w:t>32</w:t>
            </w:r>
          </w:p>
        </w:tc>
        <w:tc>
          <w:tcPr>
            <w:tcW w:w="5700" w:type="dxa"/>
            <w:vAlign w:val="bottom"/>
          </w:tcPr>
          <w:p>
            <w:pPr>
              <w:ind w:left="700"/>
              <w:spacing w:after="0"/>
              <w:rPr>
                <w:sz w:val="20"/>
                <w:szCs w:val="20"/>
                <w:color w:val="auto"/>
              </w:rPr>
            </w:pPr>
            <w:r>
              <w:rPr>
                <w:rFonts w:ascii="Arial" w:cs="Arial" w:eastAsia="Arial" w:hAnsi="Arial"/>
                <w:sz w:val="16"/>
                <w:szCs w:val="16"/>
                <w:b w:val="1"/>
                <w:bCs w:val="1"/>
                <w:color w:val="0000FF"/>
              </w:rPr>
              <w:t>Holding Company, Other and Unallocated</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360"/>
              <w:spacing w:after="0"/>
              <w:rPr>
                <w:sz w:val="20"/>
                <w:szCs w:val="20"/>
                <w:color w:val="auto"/>
              </w:rPr>
            </w:pPr>
            <w:r>
              <w:rPr>
                <w:rFonts w:ascii="Arial" w:cs="Arial" w:eastAsia="Arial" w:hAnsi="Arial"/>
                <w:sz w:val="16"/>
                <w:szCs w:val="16"/>
                <w:b w:val="1"/>
                <w:bCs w:val="1"/>
                <w:color w:val="0000FF"/>
              </w:rPr>
              <w:t>Ratios</w:t>
            </w: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0000FF"/>
              </w:rPr>
              <w:t>32</w:t>
            </w:r>
          </w:p>
        </w:tc>
        <w:tc>
          <w:tcPr>
            <w:tcW w:w="5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360"/>
              <w:spacing w:after="0"/>
              <w:rPr>
                <w:sz w:val="20"/>
                <w:szCs w:val="20"/>
                <w:color w:val="auto"/>
              </w:rPr>
            </w:pPr>
            <w:r>
              <w:rPr>
                <w:rFonts w:ascii="Arial" w:cs="Arial" w:eastAsia="Arial" w:hAnsi="Arial"/>
                <w:sz w:val="16"/>
                <w:szCs w:val="16"/>
                <w:b w:val="1"/>
                <w:bCs w:val="1"/>
                <w:color w:val="0000FF"/>
              </w:rPr>
              <w:t>Condensed Consolidated Cash Flows</w:t>
            </w: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0000FF"/>
              </w:rPr>
              <w:t>33</w:t>
            </w:r>
          </w:p>
        </w:tc>
        <w:tc>
          <w:tcPr>
            <w:tcW w:w="5700" w:type="dxa"/>
            <w:vAlign w:val="bottom"/>
          </w:tcPr>
          <w:p>
            <w:pPr>
              <w:ind w:left="360"/>
              <w:spacing w:after="0"/>
              <w:rPr>
                <w:sz w:val="20"/>
                <w:szCs w:val="20"/>
                <w:color w:val="auto"/>
              </w:rPr>
            </w:pPr>
            <w:r>
              <w:rPr>
                <w:rFonts w:ascii="Arial" w:cs="Arial" w:eastAsia="Arial" w:hAnsi="Arial"/>
                <w:sz w:val="16"/>
                <w:szCs w:val="16"/>
                <w:b w:val="1"/>
                <w:bCs w:val="1"/>
                <w:color w:val="0000FF"/>
              </w:rPr>
              <w:t>Results of Operations — Full Year</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360"/>
              <w:spacing w:after="0"/>
              <w:rPr>
                <w:sz w:val="20"/>
                <w:szCs w:val="20"/>
                <w:color w:val="auto"/>
              </w:rPr>
            </w:pPr>
            <w:r>
              <w:rPr>
                <w:rFonts w:ascii="Arial" w:cs="Arial" w:eastAsia="Arial" w:hAnsi="Arial"/>
                <w:sz w:val="16"/>
                <w:szCs w:val="16"/>
                <w:b w:val="1"/>
                <w:bCs w:val="1"/>
                <w:color w:val="0000FF"/>
              </w:rPr>
              <w:t>Parent and Subsidiary Liquidity</w:t>
            </w: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0000FF"/>
              </w:rPr>
              <w:t>34</w:t>
            </w:r>
          </w:p>
        </w:tc>
        <w:tc>
          <w:tcPr>
            <w:tcW w:w="5700" w:type="dxa"/>
            <w:vAlign w:val="bottom"/>
          </w:tcPr>
          <w:p>
            <w:pPr>
              <w:ind w:left="700"/>
              <w:spacing w:after="0"/>
              <w:rPr>
                <w:sz w:val="20"/>
                <w:szCs w:val="20"/>
                <w:color w:val="auto"/>
              </w:rPr>
            </w:pPr>
            <w:r>
              <w:rPr>
                <w:rFonts w:ascii="Arial" w:cs="Arial" w:eastAsia="Arial" w:hAnsi="Arial"/>
                <w:sz w:val="16"/>
                <w:szCs w:val="16"/>
                <w:b w:val="1"/>
                <w:bCs w:val="1"/>
                <w:color w:val="0000FF"/>
              </w:rPr>
              <w:t>Segmented Statement of Earnings</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360"/>
              <w:spacing w:after="0"/>
              <w:rPr>
                <w:sz w:val="20"/>
                <w:szCs w:val="20"/>
                <w:color w:val="auto"/>
              </w:rPr>
            </w:pPr>
            <w:r>
              <w:rPr>
                <w:rFonts w:ascii="Arial" w:cs="Arial" w:eastAsia="Arial" w:hAnsi="Arial"/>
                <w:sz w:val="16"/>
                <w:szCs w:val="16"/>
                <w:b w:val="1"/>
                <w:bCs w:val="1"/>
                <w:color w:val="0000FF"/>
              </w:rPr>
              <w:t>Condensed Parent Only Cash Flows</w:t>
            </w: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0000FF"/>
              </w:rPr>
              <w:t>35</w:t>
            </w:r>
          </w:p>
        </w:tc>
        <w:tc>
          <w:tcPr>
            <w:tcW w:w="5700" w:type="dxa"/>
            <w:vAlign w:val="bottom"/>
          </w:tcPr>
          <w:p>
            <w:pPr>
              <w:ind w:left="700"/>
              <w:spacing w:after="0"/>
              <w:rPr>
                <w:sz w:val="20"/>
                <w:szCs w:val="20"/>
                <w:color w:val="auto"/>
              </w:rPr>
            </w:pPr>
            <w:r>
              <w:rPr>
                <w:rFonts w:ascii="Arial" w:cs="Arial" w:eastAsia="Arial" w:hAnsi="Arial"/>
                <w:sz w:val="16"/>
                <w:szCs w:val="16"/>
                <w:b w:val="1"/>
                <w:bCs w:val="1"/>
                <w:color w:val="0000FF"/>
              </w:rPr>
              <w:t>Property and Casualty Insurance</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360"/>
              <w:spacing w:after="0"/>
              <w:rPr>
                <w:sz w:val="20"/>
                <w:szCs w:val="20"/>
                <w:color w:val="auto"/>
              </w:rPr>
            </w:pPr>
            <w:r>
              <w:rPr>
                <w:rFonts w:ascii="Arial" w:cs="Arial" w:eastAsia="Arial" w:hAnsi="Arial"/>
                <w:sz w:val="16"/>
                <w:szCs w:val="16"/>
                <w:b w:val="1"/>
                <w:bCs w:val="1"/>
                <w:color w:val="0000FF"/>
              </w:rPr>
              <w:t>Off-Balance Sheet Arrangements</w:t>
            </w: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0000FF"/>
              </w:rPr>
              <w:t>36</w:t>
            </w:r>
          </w:p>
        </w:tc>
        <w:tc>
          <w:tcPr>
            <w:tcW w:w="5700" w:type="dxa"/>
            <w:vAlign w:val="bottom"/>
          </w:tcPr>
          <w:p>
            <w:pPr>
              <w:ind w:left="700"/>
              <w:spacing w:after="0"/>
              <w:rPr>
                <w:sz w:val="20"/>
                <w:szCs w:val="20"/>
                <w:color w:val="auto"/>
              </w:rPr>
            </w:pPr>
            <w:r>
              <w:rPr>
                <w:rFonts w:ascii="Arial" w:cs="Arial" w:eastAsia="Arial" w:hAnsi="Arial"/>
                <w:sz w:val="16"/>
                <w:szCs w:val="16"/>
                <w:b w:val="1"/>
                <w:bCs w:val="1"/>
                <w:color w:val="0000FF"/>
              </w:rPr>
              <w:t>Holding Company, Other and Unallocated</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00" w:type="dxa"/>
            <w:vAlign w:val="bottom"/>
          </w:tcPr>
          <w:p>
            <w:pPr>
              <w:ind w:left="360"/>
              <w:spacing w:after="0"/>
              <w:rPr>
                <w:sz w:val="20"/>
                <w:szCs w:val="20"/>
                <w:color w:val="auto"/>
              </w:rPr>
            </w:pPr>
            <w:r>
              <w:rPr>
                <w:rFonts w:ascii="Arial" w:cs="Arial" w:eastAsia="Arial" w:hAnsi="Arial"/>
                <w:sz w:val="16"/>
                <w:szCs w:val="16"/>
                <w:b w:val="1"/>
                <w:bCs w:val="1"/>
                <w:color w:val="0000FF"/>
              </w:rPr>
              <w:t>Investments</w:t>
            </w: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0000FF"/>
              </w:rPr>
              <w:t>36</w:t>
            </w:r>
          </w:p>
        </w:tc>
        <w:tc>
          <w:tcPr>
            <w:tcW w:w="5700" w:type="dxa"/>
            <w:vAlign w:val="bottom"/>
          </w:tcPr>
          <w:p>
            <w:pPr>
              <w:ind w:left="700"/>
              <w:spacing w:after="0"/>
              <w:rPr>
                <w:sz w:val="20"/>
                <w:szCs w:val="20"/>
                <w:color w:val="auto"/>
              </w:rPr>
            </w:pPr>
            <w:r>
              <w:rPr>
                <w:rFonts w:ascii="Arial" w:cs="Arial" w:eastAsia="Arial" w:hAnsi="Arial"/>
                <w:sz w:val="16"/>
                <w:szCs w:val="16"/>
                <w:b w:val="1"/>
                <w:bCs w:val="1"/>
                <w:color w:val="0000FF"/>
              </w:rPr>
              <w:t>Real Estate Entities Acquired from the Annuity</w:t>
            </w:r>
          </w:p>
        </w:tc>
        <w:tc>
          <w:tcPr>
            <w:tcW w:w="380" w:type="dxa"/>
            <w:vAlign w:val="bottom"/>
            <w:vMerge w:val="restart"/>
          </w:tcPr>
          <w:p>
            <w:pPr>
              <w:jc w:val="right"/>
              <w:spacing w:after="0"/>
              <w:rPr>
                <w:sz w:val="20"/>
                <w:szCs w:val="20"/>
                <w:color w:val="auto"/>
              </w:rPr>
            </w:pPr>
            <w:r>
              <w:rPr>
                <w:rFonts w:ascii="Arial" w:cs="Arial" w:eastAsia="Arial" w:hAnsi="Arial"/>
                <w:sz w:val="16"/>
                <w:szCs w:val="16"/>
                <w:b w:val="1"/>
                <w:bCs w:val="1"/>
                <w:color w:val="0000FF"/>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00" w:type="dxa"/>
            <w:vAlign w:val="bottom"/>
          </w:tcPr>
          <w:p>
            <w:pPr>
              <w:ind w:left="360"/>
              <w:spacing w:after="0"/>
              <w:rPr>
                <w:sz w:val="20"/>
                <w:szCs w:val="20"/>
                <w:color w:val="auto"/>
              </w:rPr>
            </w:pPr>
            <w:r>
              <w:rPr>
                <w:rFonts w:ascii="Arial" w:cs="Arial" w:eastAsia="Arial" w:hAnsi="Arial"/>
                <w:sz w:val="16"/>
                <w:szCs w:val="16"/>
                <w:b w:val="1"/>
                <w:bCs w:val="1"/>
                <w:color w:val="0000FF"/>
              </w:rPr>
              <w:t>Uncertainties</w:t>
            </w: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0000FF"/>
              </w:rPr>
              <w:t>39</w:t>
            </w:r>
          </w:p>
        </w:tc>
        <w:tc>
          <w:tcPr>
            <w:tcW w:w="5700" w:type="dxa"/>
            <w:vAlign w:val="bottom"/>
          </w:tcPr>
          <w:p>
            <w:pPr>
              <w:ind w:left="700"/>
              <w:spacing w:after="0"/>
              <w:rPr>
                <w:sz w:val="20"/>
                <w:szCs w:val="20"/>
                <w:color w:val="auto"/>
              </w:rPr>
            </w:pPr>
            <w:r>
              <w:rPr>
                <w:rFonts w:ascii="Arial" w:cs="Arial" w:eastAsia="Arial" w:hAnsi="Arial"/>
                <w:sz w:val="16"/>
                <w:szCs w:val="16"/>
                <w:b w:val="1"/>
                <w:bCs w:val="1"/>
                <w:color w:val="0000FF"/>
              </w:rPr>
              <w:t>Operations</w:t>
            </w:r>
          </w:p>
        </w:tc>
        <w:tc>
          <w:tcPr>
            <w:tcW w:w="3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Arial" w:cs="Arial" w:eastAsia="Arial" w:hAnsi="Arial"/>
                <w:sz w:val="16"/>
                <w:szCs w:val="16"/>
                <w:b w:val="1"/>
                <w:bCs w:val="1"/>
                <w:color w:val="0000FF"/>
              </w:rPr>
              <w:t>Managed Investment Entities</w:t>
            </w: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0000FF"/>
              </w:rPr>
              <w:t>45</w:t>
            </w:r>
          </w:p>
        </w:tc>
        <w:tc>
          <w:tcPr>
            <w:tcW w:w="5700" w:type="dxa"/>
            <w:vAlign w:val="bottom"/>
          </w:tcPr>
          <w:p>
            <w:pPr>
              <w:ind w:left="700"/>
              <w:spacing w:after="0"/>
              <w:rPr>
                <w:sz w:val="20"/>
                <w:szCs w:val="20"/>
                <w:color w:val="auto"/>
              </w:rPr>
            </w:pPr>
            <w:r>
              <w:rPr>
                <w:rFonts w:ascii="Arial" w:cs="Arial" w:eastAsia="Arial" w:hAnsi="Arial"/>
                <w:sz w:val="16"/>
                <w:szCs w:val="16"/>
                <w:b w:val="1"/>
                <w:bCs w:val="1"/>
                <w:color w:val="0000FF"/>
              </w:rPr>
              <w:t>Discontinued Annuity Operations</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Arial" w:cs="Arial" w:eastAsia="Arial" w:hAnsi="Arial"/>
                <w:sz w:val="16"/>
                <w:szCs w:val="16"/>
                <w:b w:val="1"/>
                <w:bCs w:val="1"/>
                <w:color w:val="0000FF"/>
              </w:rPr>
              <w:t>Results of Operations</w:t>
            </w: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0000FF"/>
              </w:rPr>
              <w:t>49</w:t>
            </w:r>
          </w:p>
        </w:tc>
        <w:tc>
          <w:tcPr>
            <w:tcW w:w="5700" w:type="dxa"/>
            <w:vAlign w:val="bottom"/>
          </w:tcPr>
          <w:p>
            <w:pPr>
              <w:ind w:left="360"/>
              <w:spacing w:after="0"/>
              <w:rPr>
                <w:sz w:val="20"/>
                <w:szCs w:val="20"/>
                <w:color w:val="auto"/>
              </w:rPr>
            </w:pPr>
            <w:r>
              <w:rPr>
                <w:rFonts w:ascii="Arial" w:cs="Arial" w:eastAsia="Arial" w:hAnsi="Arial"/>
                <w:sz w:val="16"/>
                <w:szCs w:val="16"/>
                <w:b w:val="1"/>
                <w:bCs w:val="1"/>
                <w:color w:val="0000FF"/>
              </w:rPr>
              <w:t>Recent Accounting Standards</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tcPr>
          <w:p>
            <w:pPr>
              <w:ind w:left="360"/>
              <w:spacing w:after="0"/>
              <w:rPr>
                <w:sz w:val="20"/>
                <w:szCs w:val="20"/>
                <w:color w:val="auto"/>
              </w:rPr>
            </w:pPr>
            <w:r>
              <w:rPr>
                <w:rFonts w:ascii="Arial" w:cs="Arial" w:eastAsia="Arial" w:hAnsi="Arial"/>
                <w:sz w:val="16"/>
                <w:szCs w:val="16"/>
                <w:b w:val="1"/>
                <w:bCs w:val="1"/>
                <w:color w:val="0000FF"/>
              </w:rPr>
              <w:t>General</w:t>
            </w: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0000FF"/>
              </w:rPr>
              <w:t>49</w:t>
            </w:r>
          </w:p>
        </w:tc>
        <w:tc>
          <w:tcPr>
            <w:tcW w:w="5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40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7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84" w:lineRule="exact"/>
        <w:rPr>
          <w:sz w:val="20"/>
          <w:szCs w:val="20"/>
          <w:color w:val="auto"/>
        </w:rPr>
      </w:pPr>
    </w:p>
    <w:p>
      <w:pPr>
        <w:spacing w:after="0"/>
        <w:rPr>
          <w:sz w:val="20"/>
          <w:szCs w:val="20"/>
          <w:color w:val="auto"/>
        </w:rPr>
      </w:pPr>
      <w:r>
        <w:rPr>
          <w:rFonts w:ascii="Arial" w:cs="Arial" w:eastAsia="Arial" w:hAnsi="Arial"/>
          <w:sz w:val="29"/>
          <w:szCs w:val="29"/>
          <w:b w:val="1"/>
          <w:bCs w:val="1"/>
          <w:color w:val="00274E"/>
        </w:rPr>
        <w:t>OBJECTIVE</w:t>
      </w:r>
    </w:p>
    <w:p>
      <w:pPr>
        <w:spacing w:after="0" w:line="45"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The objective of Management’s Discussion and Analysis is to provide a discussion and analysis of the financial statements and other statistical data that management believes will enhance the understanding of AFG’s financial condition, changes in financial condition and results of operations. The tables and narrative that follow are presented in a manner that is consistent with the information that AFG’s management uses to make operational decisions and allocate capital resources. They are provided to demonstrate the nature of the transactions and events that could impact AFG’s financial results. This discussion should be read in conjunction with the financial statements beginning on page F-1.</w:t>
      </w:r>
    </w:p>
    <w:p>
      <w:pPr>
        <w:spacing w:after="0" w:line="199" w:lineRule="exact"/>
        <w:rPr>
          <w:sz w:val="20"/>
          <w:szCs w:val="20"/>
          <w:color w:val="auto"/>
        </w:rPr>
      </w:pPr>
    </w:p>
    <w:p>
      <w:pPr>
        <w:spacing w:after="0"/>
        <w:rPr>
          <w:sz w:val="20"/>
          <w:szCs w:val="20"/>
          <w:color w:val="auto"/>
        </w:rPr>
      </w:pPr>
      <w:r>
        <w:rPr>
          <w:rFonts w:ascii="Arial" w:cs="Arial" w:eastAsia="Arial" w:hAnsi="Arial"/>
          <w:sz w:val="29"/>
          <w:szCs w:val="29"/>
          <w:b w:val="1"/>
          <w:bCs w:val="1"/>
          <w:color w:val="00274E"/>
        </w:rPr>
        <w:t>OVERVIEW</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00274E"/>
        </w:rPr>
        <w:t>Financial Condition</w:t>
      </w:r>
    </w:p>
    <w:p>
      <w:pPr>
        <w:spacing w:after="0" w:line="41"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AFG is organized as a holding company with almost all of its operations being conducted by subsidiaries. AFG, however, has continuing cash needs for administrative expenses, the payment of principal and interest on borrowings, shareholder dividends, and taxes. Therefore, certain analyses are most meaningfully presented on a parent only basis while others are best done on a total enterprise basis. In addition, because its businesses are financial in nature, AFG does not prepare its consolidated financial statements using a current-noncurrent format. Consequently, certain traditional ratios and financial analysis tests are not meaningful.</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b w:val="1"/>
          <w:bCs w:val="1"/>
          <w:color w:val="00274E"/>
        </w:rPr>
        <w:t>Results of Operations</w:t>
      </w:r>
    </w:p>
    <w:p>
      <w:pPr>
        <w:spacing w:after="0" w:line="28" w:lineRule="exact"/>
        <w:rPr>
          <w:sz w:val="20"/>
          <w:szCs w:val="20"/>
          <w:color w:val="auto"/>
        </w:rPr>
      </w:pPr>
    </w:p>
    <w:p>
      <w:pPr>
        <w:ind w:right="660"/>
        <w:spacing w:after="0" w:line="264" w:lineRule="auto"/>
        <w:rPr>
          <w:sz w:val="20"/>
          <w:szCs w:val="20"/>
          <w:color w:val="auto"/>
        </w:rPr>
      </w:pPr>
      <w:r>
        <w:rPr>
          <w:rFonts w:ascii="Arial" w:cs="Arial" w:eastAsia="Arial" w:hAnsi="Arial"/>
          <w:sz w:val="17"/>
          <w:szCs w:val="17"/>
          <w:color w:val="auto"/>
        </w:rPr>
        <w:t>Through the operations of its subsidiaries, AFG is engaged primarily in property and casualty insurance, focusing on specialized commercial products for businesses. AFG’s former annuity operations are reported as discontinued operations.</w:t>
      </w:r>
    </w:p>
    <w:p>
      <w:pPr>
        <w:spacing w:after="0" w:line="215" w:lineRule="exact"/>
        <w:rPr>
          <w:sz w:val="20"/>
          <w:szCs w:val="20"/>
          <w:color w:val="auto"/>
        </w:rPr>
      </w:pPr>
    </w:p>
    <w:p>
      <w:pPr>
        <w:jc w:val="both"/>
        <w:ind w:right="500"/>
        <w:spacing w:after="0" w:line="266" w:lineRule="auto"/>
        <w:rPr>
          <w:sz w:val="20"/>
          <w:szCs w:val="20"/>
          <w:color w:val="auto"/>
        </w:rPr>
      </w:pPr>
      <w:r>
        <w:rPr>
          <w:rFonts w:ascii="Arial" w:cs="Arial" w:eastAsia="Arial" w:hAnsi="Arial"/>
          <w:sz w:val="17"/>
          <w:szCs w:val="17"/>
          <w:color w:val="auto"/>
        </w:rPr>
        <w:t>AFG reported net earnings of $263 million ($3.13 per share, diluted) for the fourth quarter of 2023 compared to $276 million ($3.24 per share, diluted) in the fourth quarter of 2022. The year-over-year decrease was due primarily to lower returns on AFG’s alternative investment portfolio (partnerships and similar investments and AFG-managed CLOs).</w:t>
      </w:r>
    </w:p>
    <w:p>
      <w:pPr>
        <w:spacing w:after="0" w:line="201" w:lineRule="exact"/>
        <w:rPr>
          <w:sz w:val="20"/>
          <w:szCs w:val="20"/>
          <w:color w:val="auto"/>
        </w:rPr>
      </w:pPr>
    </w:p>
    <w:p>
      <w:pPr>
        <w:jc w:val="both"/>
        <w:ind w:right="200"/>
        <w:spacing w:after="0" w:line="266" w:lineRule="auto"/>
        <w:rPr>
          <w:sz w:val="20"/>
          <w:szCs w:val="20"/>
          <w:color w:val="auto"/>
        </w:rPr>
      </w:pPr>
      <w:r>
        <w:rPr>
          <w:rFonts w:ascii="Arial" w:cs="Arial" w:eastAsia="Arial" w:hAnsi="Arial"/>
          <w:sz w:val="17"/>
          <w:szCs w:val="17"/>
          <w:color w:val="auto"/>
        </w:rPr>
        <w:t>Full year 2023 net earnings were $852 million ($10.05 per share, diluted) compared to $898 million ($10.53 per share, diluted) in 2022. The year-over-year decrease was due primarily to lower returns on AFG’s alternative investment portfolio when compared to the strong performance of this portfolio in the prior year period and lower property and casualty underwriting profit. These items were partially offset by the impact of higher yields on fixed maturity investments, higher balances of invested assets and lower net realized losses on securities.</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5"/>
          <w:szCs w:val="25"/>
          <w:b w:val="1"/>
          <w:bCs w:val="1"/>
          <w:color w:val="00274E"/>
        </w:rPr>
        <w:t>Sale of the Annuity Business</w:t>
      </w:r>
    </w:p>
    <w:p>
      <w:pPr>
        <w:spacing w:after="0" w:line="28"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In May 2021, AFG sold its annuity business, including Great American Life Insurance Company and its two insurance subsidiaries, Annuity Investors Life Insurance Company and Manhattan National Life Insurance Company to Massachusetts Mutual Life Insurance Company (“MassMutual”). Total proceeds from the sale were $3.57 billion and AFG realized an after-tax gain on the sale of $656 million.</w:t>
      </w:r>
    </w:p>
    <w:p>
      <w:pPr>
        <w:spacing w:after="0" w:line="198" w:lineRule="exact"/>
        <w:rPr>
          <w:sz w:val="20"/>
          <w:szCs w:val="20"/>
          <w:color w:val="auto"/>
        </w:rPr>
      </w:pPr>
    </w:p>
    <w:p>
      <w:pPr>
        <w:spacing w:after="0"/>
        <w:rPr>
          <w:sz w:val="20"/>
          <w:szCs w:val="20"/>
          <w:color w:val="auto"/>
        </w:rPr>
      </w:pPr>
      <w:r>
        <w:rPr>
          <w:rFonts w:ascii="Arial" w:cs="Arial" w:eastAsia="Arial" w:hAnsi="Arial"/>
          <w:sz w:val="25"/>
          <w:szCs w:val="25"/>
          <w:b w:val="1"/>
          <w:bCs w:val="1"/>
          <w:color w:val="00274E"/>
        </w:rPr>
        <w:t>Outlook</w:t>
      </w:r>
    </w:p>
    <w:p>
      <w:pPr>
        <w:spacing w:after="0" w:line="28"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AFG’s financial condition, results of operations and cash flows are impacted by the economic, legal and regulatory environment. Economic inflation, social inflation, supply chain disruption, labor shortages, banking system instability and other economic conditions may impact premium levels, loss cost trends and investment returns. Management believes that AFG’s strong financial position and current liquidity and capital at its subsidiaries will give AFG the flexibility to continue to effectively address and respond to the ongoing uncertainties presented by the macro-economic environment and the conflicts in Ukraine and Israel. AFG’s insurance subsidiaries continue to have capital at or in excess of the levels required by ratings agencies in order to maintain their current ratings, and the parent company does not have any near-term debt maturities.</w:t>
      </w:r>
    </w:p>
    <w:p>
      <w:pPr>
        <w:spacing w:after="0" w:line="209"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Management expects continued premium growth and strong underwriting results in the ongoing favorable property and casualty insurance market. In addition, the deployment of cash during the elevated interest rate environment (since early 2022) will continue to have a positive impact on investment income on fixed maturity investments in 2024.</w:t>
      </w:r>
    </w:p>
    <w:p>
      <w:pPr>
        <w:spacing w:after="0" w:line="183" w:lineRule="exact"/>
        <w:rPr>
          <w:sz w:val="20"/>
          <w:szCs w:val="20"/>
          <w:color w:val="auto"/>
        </w:rPr>
      </w:pPr>
    </w:p>
    <w:p>
      <w:pPr>
        <w:spacing w:after="0"/>
        <w:rPr>
          <w:sz w:val="20"/>
          <w:szCs w:val="20"/>
          <w:color w:val="auto"/>
        </w:rPr>
      </w:pPr>
      <w:r>
        <w:rPr>
          <w:rFonts w:ascii="Arial" w:cs="Arial" w:eastAsia="Arial" w:hAnsi="Arial"/>
          <w:sz w:val="29"/>
          <w:szCs w:val="29"/>
          <w:b w:val="1"/>
          <w:bCs w:val="1"/>
          <w:color w:val="00274E"/>
        </w:rPr>
        <w:t>CRITICAL ACCOUNTING POLICIES</w:t>
      </w:r>
    </w:p>
    <w:p>
      <w:pPr>
        <w:spacing w:after="0" w:line="272" w:lineRule="exact"/>
        <w:rPr>
          <w:sz w:val="20"/>
          <w:szCs w:val="20"/>
          <w:color w:val="auto"/>
        </w:rPr>
      </w:pPr>
    </w:p>
    <w:p>
      <w:pPr>
        <w:ind w:right="380"/>
        <w:spacing w:after="0" w:line="254" w:lineRule="auto"/>
        <w:rPr>
          <w:sz w:val="20"/>
          <w:szCs w:val="20"/>
          <w:color w:val="auto"/>
        </w:rPr>
      </w:pPr>
      <w:r>
        <w:rPr>
          <w:rFonts w:ascii="Arial" w:cs="Arial" w:eastAsia="Arial" w:hAnsi="Arial"/>
          <w:sz w:val="17"/>
          <w:szCs w:val="17"/>
          <w:color w:val="auto"/>
        </w:rPr>
        <w:t xml:space="preserve">Significant accounting policies are summarized in </w:t>
      </w:r>
      <w:r>
        <w:rPr>
          <w:rFonts w:ascii="Arial" w:cs="Arial" w:eastAsia="Arial" w:hAnsi="Arial"/>
          <w:sz w:val="17"/>
          <w:szCs w:val="17"/>
          <w:i w:val="1"/>
          <w:iCs w:val="1"/>
          <w:color w:val="auto"/>
        </w:rPr>
        <w:t>Note A — “Accounting Policies”</w:t>
      </w:r>
      <w:r>
        <w:rPr>
          <w:rFonts w:ascii="Arial" w:cs="Arial" w:eastAsia="Arial" w:hAnsi="Arial"/>
          <w:sz w:val="17"/>
          <w:szCs w:val="17"/>
          <w:color w:val="auto"/>
        </w:rPr>
        <w:t xml:space="preserve"> to the financial statements. The preparation of financial statements in conformity with GAAP requires management to make estimates and assumptions that can have a significant effect on amounts reported in the financial statements. As more information becomes known, these estimates and assumptions change and, thus, impact amounts reported in the future. The areas where management believes the degree of judgment required to determine amounts recorded in the financial statements is most significant are as follows:</w:t>
      </w:r>
    </w:p>
    <w:p>
      <w:pPr>
        <w:ind w:left="640" w:hanging="308"/>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valuation of investments, including the determination of impairment allowances,</w:t>
      </w:r>
    </w:p>
    <w:p>
      <w:pPr>
        <w:spacing w:after="0" w:line="14" w:lineRule="exact"/>
        <w:rPr>
          <w:rFonts w:ascii="Arial" w:cs="Arial" w:eastAsia="Arial" w:hAnsi="Arial"/>
          <w:sz w:val="17"/>
          <w:szCs w:val="17"/>
          <w:color w:val="auto"/>
        </w:rPr>
      </w:pPr>
    </w:p>
    <w:p>
      <w:pPr>
        <w:ind w:left="640" w:hanging="308"/>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establishment of insurance reserves, especially asbestos and environmental-related reserves,</w:t>
      </w:r>
    </w:p>
    <w:p>
      <w:pPr>
        <w:spacing w:after="0" w:line="7" w:lineRule="exact"/>
        <w:rPr>
          <w:rFonts w:ascii="Arial" w:cs="Arial" w:eastAsia="Arial" w:hAnsi="Arial"/>
          <w:sz w:val="17"/>
          <w:szCs w:val="17"/>
          <w:color w:val="auto"/>
        </w:rPr>
      </w:pPr>
    </w:p>
    <w:p>
      <w:pPr>
        <w:ind w:left="640" w:hanging="308"/>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recoverability of reinsurance, and</w:t>
      </w:r>
    </w:p>
    <w:p>
      <w:pPr>
        <w:spacing w:after="0" w:line="7" w:lineRule="exact"/>
        <w:rPr>
          <w:rFonts w:ascii="Arial" w:cs="Arial" w:eastAsia="Arial" w:hAnsi="Arial"/>
          <w:sz w:val="17"/>
          <w:szCs w:val="17"/>
          <w:color w:val="auto"/>
        </w:rPr>
      </w:pPr>
    </w:p>
    <w:p>
      <w:pPr>
        <w:ind w:left="640" w:hanging="308"/>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establishment of asbestos and environmental liabilities of former railroad and manufacturing operations.</w:t>
      </w:r>
    </w:p>
    <w:p>
      <w:pPr>
        <w:spacing w:after="0" w:line="234" w:lineRule="exact"/>
        <w:rPr>
          <w:sz w:val="20"/>
          <w:szCs w:val="20"/>
          <w:color w:val="auto"/>
        </w:rPr>
      </w:pPr>
    </w:p>
    <w:p>
      <w:pPr>
        <w:ind w:right="280"/>
        <w:spacing w:after="0" w:line="274" w:lineRule="auto"/>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i w:val="1"/>
          <w:iCs w:val="1"/>
          <w:color w:val="auto"/>
        </w:rPr>
        <w:t>“Liquidity and Capital Resources — Uncertainties”</w:t>
      </w:r>
      <w:r>
        <w:rPr>
          <w:rFonts w:ascii="Arial" w:cs="Arial" w:eastAsia="Arial" w:hAnsi="Arial"/>
          <w:sz w:val="17"/>
          <w:szCs w:val="17"/>
          <w:color w:val="auto"/>
        </w:rPr>
        <w:t xml:space="preserve"> for a discussion of insurance reserves, recoverables from reinsurers and contingencies related to American Premier’s former operations and </w:t>
      </w:r>
      <w:r>
        <w:rPr>
          <w:rFonts w:ascii="Arial" w:cs="Arial" w:eastAsia="Arial" w:hAnsi="Arial"/>
          <w:sz w:val="17"/>
          <w:szCs w:val="17"/>
          <w:i w:val="1"/>
          <w:iCs w:val="1"/>
          <w:color w:val="auto"/>
        </w:rPr>
        <w:t>“Liquidity and Capital Resources — Investments”</w:t>
      </w:r>
      <w:r>
        <w:rPr>
          <w:rFonts w:ascii="Arial" w:cs="Arial" w:eastAsia="Arial" w:hAnsi="Arial"/>
          <w:sz w:val="17"/>
          <w:szCs w:val="17"/>
          <w:color w:val="auto"/>
        </w:rPr>
        <w:t xml:space="preserve"> for a discussion of the allowance for credit losses (impairments) on investments.</w:t>
      </w:r>
    </w:p>
    <w:p>
      <w:pPr>
        <w:spacing w:after="0" w:line="183" w:lineRule="exact"/>
        <w:rPr>
          <w:sz w:val="20"/>
          <w:szCs w:val="20"/>
          <w:color w:val="auto"/>
        </w:rPr>
      </w:pPr>
    </w:p>
    <w:p>
      <w:pPr>
        <w:spacing w:after="0"/>
        <w:rPr>
          <w:sz w:val="20"/>
          <w:szCs w:val="20"/>
          <w:color w:val="auto"/>
        </w:rPr>
      </w:pPr>
      <w:r>
        <w:rPr>
          <w:rFonts w:ascii="Arial" w:cs="Arial" w:eastAsia="Arial" w:hAnsi="Arial"/>
          <w:sz w:val="29"/>
          <w:szCs w:val="29"/>
          <w:b w:val="1"/>
          <w:bCs w:val="1"/>
          <w:color w:val="00274E"/>
        </w:rPr>
        <w:t>LIQUIDITY AND CAPITAL RESOURCES</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00274E"/>
        </w:rPr>
        <w:t>Ratios</w:t>
      </w:r>
    </w:p>
    <w:p>
      <w:pPr>
        <w:spacing w:after="0" w:line="41" w:lineRule="exact"/>
        <w:rPr>
          <w:sz w:val="20"/>
          <w:szCs w:val="20"/>
          <w:color w:val="auto"/>
        </w:rPr>
      </w:pPr>
    </w:p>
    <w:p>
      <w:pPr>
        <w:jc w:val="both"/>
        <w:ind w:right="340"/>
        <w:spacing w:after="0" w:line="256" w:lineRule="auto"/>
        <w:rPr>
          <w:sz w:val="20"/>
          <w:szCs w:val="20"/>
          <w:color w:val="auto"/>
        </w:rPr>
      </w:pPr>
      <w:r>
        <w:rPr>
          <w:rFonts w:ascii="Arial" w:cs="Arial" w:eastAsia="Arial" w:hAnsi="Arial"/>
          <w:sz w:val="17"/>
          <w:szCs w:val="17"/>
          <w:color w:val="auto"/>
        </w:rPr>
        <w:t>AFG’s debt to total capital ratio on a consolidated basis is shown below (dollars in millions). Management intends to maintain the ratio of debt to capital at or below 30% and intends to maintain the capital of its significant insurance subsidiaries at or above levels currently indicated by rating agencies as appropriate for the current ratings.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December 31,</w:t>
            </w:r>
          </w:p>
        </w:tc>
        <w:tc>
          <w:tcPr>
            <w:tcW w:w="960" w:type="dxa"/>
            <w:vAlign w:val="bottom"/>
            <w:tcBorders>
              <w:bottom w:val="single" w:sz="8" w:color="auto"/>
            </w:tcBorders>
          </w:tcPr>
          <w:p>
            <w:pPr>
              <w:spacing w:after="0"/>
              <w:rPr>
                <w:sz w:val="16"/>
                <w:szCs w:val="16"/>
                <w:color w:val="auto"/>
              </w:rPr>
            </w:pPr>
          </w:p>
        </w:tc>
      </w:tr>
      <w:tr>
        <w:trPr>
          <w:trHeight w:val="196"/>
        </w:trPr>
        <w:tc>
          <w:tcPr>
            <w:tcW w:w="82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color w:val="auto"/>
              </w:rPr>
              <w:t>2022</w:t>
            </w:r>
          </w:p>
        </w:tc>
      </w:tr>
      <w:tr>
        <w:trPr>
          <w:trHeight w:val="21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 amount of long-term debt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1,498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1,521</w:t>
            </w:r>
          </w:p>
        </w:tc>
      </w:tr>
      <w:tr>
        <w:trPr>
          <w:trHeight w:val="215"/>
        </w:trPr>
        <w:tc>
          <w:tcPr>
            <w:tcW w:w="8260" w:type="dxa"/>
            <w:vAlign w:val="bottom"/>
          </w:tcPr>
          <w:p>
            <w:pPr>
              <w:ind w:left="20"/>
              <w:spacing w:after="0"/>
              <w:rPr>
                <w:sz w:val="20"/>
                <w:szCs w:val="20"/>
                <w:color w:val="auto"/>
              </w:rPr>
            </w:pPr>
            <w:r>
              <w:rPr>
                <w:rFonts w:ascii="Arial" w:cs="Arial" w:eastAsia="Arial" w:hAnsi="Arial"/>
                <w:sz w:val="16"/>
                <w:szCs w:val="16"/>
                <w:color w:val="auto"/>
              </w:rPr>
              <w:t>Total capital</w:t>
            </w:r>
          </w:p>
        </w:tc>
        <w:tc>
          <w:tcPr>
            <w:tcW w:w="340" w:type="dxa"/>
            <w:vAlign w:val="bottom"/>
          </w:tcPr>
          <w:p>
            <w:pPr>
              <w:spacing w:after="0"/>
              <w:rPr>
                <w:sz w:val="18"/>
                <w:szCs w:val="18"/>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color w:val="auto"/>
              </w:rPr>
              <w:t>6,060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ind w:right="121"/>
              <w:spacing w:after="0"/>
              <w:rPr>
                <w:sz w:val="20"/>
                <w:szCs w:val="20"/>
                <w:color w:val="auto"/>
              </w:rPr>
            </w:pPr>
            <w:r>
              <w:rPr>
                <w:rFonts w:ascii="Arial" w:cs="Arial" w:eastAsia="Arial" w:hAnsi="Arial"/>
                <w:sz w:val="16"/>
                <w:szCs w:val="16"/>
                <w:color w:val="auto"/>
              </w:rPr>
              <w:t>6,099</w:t>
            </w:r>
          </w:p>
        </w:tc>
      </w:tr>
      <w:tr>
        <w:trPr>
          <w:trHeight w:val="217"/>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Ratio of debt to total capital:</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5"/>
        </w:trPr>
        <w:tc>
          <w:tcPr>
            <w:tcW w:w="8260" w:type="dxa"/>
            <w:vAlign w:val="bottom"/>
          </w:tcPr>
          <w:p>
            <w:pPr>
              <w:ind w:left="360"/>
              <w:spacing w:after="0"/>
              <w:rPr>
                <w:sz w:val="20"/>
                <w:szCs w:val="20"/>
                <w:color w:val="auto"/>
              </w:rPr>
            </w:pPr>
            <w:r>
              <w:rPr>
                <w:rFonts w:ascii="Arial" w:cs="Arial" w:eastAsia="Arial" w:hAnsi="Arial"/>
                <w:sz w:val="16"/>
                <w:szCs w:val="16"/>
                <w:color w:val="auto"/>
              </w:rPr>
              <w:t>Including subordinated debt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24.7 %</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24.9 %</w:t>
            </w:r>
          </w:p>
        </w:tc>
      </w:tr>
      <w:tr>
        <w:trPr>
          <w:trHeight w:val="217"/>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Excluding subordinated debt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13.6 %</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13.9 %</w:t>
            </w:r>
          </w:p>
        </w:tc>
      </w:tr>
    </w:tbl>
    <w:p>
      <w:pPr>
        <w:spacing w:after="0" w:line="315"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The ratio of debt to total capital is a non-GAAP measure that management believes is useful for investors, analysts and ratings agencies to evaluate AFG’s financial strength and liquidity and to provide insight into how AFG finances its operations. In addition, maintaining a ratio of debt, excluding subordinated debt and debt secured by real estate (if any), to total capital of 35% or lower is a financial covenant in AFG’s bank credit facility. The ratio is calculated by dividing the principal amount of AFG’s long-term debt by its total capital, which includes long-term debt and shareholders’ equity (excluding unrealized gains (losses) related to fixed maturity investments).</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The NAIC’s model law for risk-based capital (“RBC”) applies to property and casualty companies. RBC formulas determine the amount of capital that an insurance company needs so that it has an acceptable expectation of not becoming financially impaired. At December 31, 2023, the capital ratios of all AFG insurance companies exceeded the RBC requirements.</w:t>
      </w:r>
    </w:p>
    <w:p>
      <w:pPr>
        <w:spacing w:after="0" w:line="212" w:lineRule="exact"/>
        <w:rPr>
          <w:sz w:val="20"/>
          <w:szCs w:val="20"/>
          <w:color w:val="auto"/>
        </w:rPr>
      </w:pPr>
    </w:p>
    <w:p>
      <w:pPr>
        <w:spacing w:after="0"/>
        <w:rPr>
          <w:sz w:val="20"/>
          <w:szCs w:val="20"/>
          <w:color w:val="auto"/>
        </w:rPr>
      </w:pPr>
      <w:r>
        <w:rPr>
          <w:rFonts w:ascii="Arial" w:cs="Arial" w:eastAsia="Arial" w:hAnsi="Arial"/>
          <w:sz w:val="25"/>
          <w:szCs w:val="25"/>
          <w:b w:val="1"/>
          <w:bCs w:val="1"/>
          <w:color w:val="00274E"/>
        </w:rPr>
        <w:t>Condensed Consolidated Cash Flows</w:t>
      </w:r>
    </w:p>
    <w:p>
      <w:pPr>
        <w:spacing w:after="0" w:line="28"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AFG’s principal sources of cash include insurance premiums, income from its investment portfolio and proceeds from the maturities, redemptions and sales of investments. Insurance premiums in excess of acquisition expenses and operating costs are invested until they are needed to meet policyholder obligations or made available to the parent company through dividends to cover debt obligations and corporate expenses, and to provide returns to shareholders through share repurchases and dividends. Cash flows from operating, investing and financing activities as detailed in AFG’s Consolidated Statement of Cash Flows are shown below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4"/>
                <w:szCs w:val="14"/>
                <w:color w:val="auto"/>
              </w:rPr>
              <w:t>Year ended December 31,</w:t>
            </w:r>
          </w:p>
        </w:tc>
        <w:tc>
          <w:tcPr>
            <w:tcW w:w="980" w:type="dxa"/>
            <w:vAlign w:val="bottom"/>
            <w:tcBorders>
              <w:bottom w:val="single" w:sz="8" w:color="auto"/>
            </w:tcBorders>
          </w:tcPr>
          <w:p>
            <w:pPr>
              <w:spacing w:after="0"/>
              <w:rPr>
                <w:sz w:val="16"/>
                <w:szCs w:val="16"/>
                <w:color w:val="auto"/>
              </w:rPr>
            </w:pPr>
          </w:p>
        </w:tc>
      </w:tr>
      <w:tr>
        <w:trPr>
          <w:trHeight w:val="196"/>
        </w:trPr>
        <w:tc>
          <w:tcPr>
            <w:tcW w:w="72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color w:val="auto"/>
              </w:rPr>
              <w:t>2021</w:t>
            </w:r>
          </w:p>
        </w:tc>
      </w:tr>
      <w:tr>
        <w:trPr>
          <w:trHeight w:val="213"/>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1,970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center"/>
              <w:ind w:left="361"/>
              <w:spacing w:after="0"/>
              <w:rPr>
                <w:sz w:val="20"/>
                <w:szCs w:val="20"/>
                <w:color w:val="auto"/>
              </w:rPr>
            </w:pPr>
            <w:r>
              <w:rPr>
                <w:rFonts w:ascii="Arial" w:cs="Arial" w:eastAsia="Arial" w:hAnsi="Arial"/>
                <w:sz w:val="16"/>
                <w:szCs w:val="16"/>
                <w:color w:val="auto"/>
              </w:rPr>
              <w:t>1,153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1,714</w:t>
            </w:r>
          </w:p>
        </w:tc>
      </w:tr>
      <w:tr>
        <w:trPr>
          <w:trHeight w:val="215"/>
        </w:trPr>
        <w:tc>
          <w:tcPr>
            <w:tcW w:w="722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center"/>
              <w:ind w:left="341"/>
              <w:spacing w:after="0"/>
              <w:rPr>
                <w:sz w:val="20"/>
                <w:szCs w:val="20"/>
                <w:color w:val="auto"/>
              </w:rPr>
            </w:pPr>
            <w:r>
              <w:rPr>
                <w:rFonts w:ascii="Arial" w:cs="Arial" w:eastAsia="Arial" w:hAnsi="Arial"/>
                <w:sz w:val="16"/>
                <w:szCs w:val="16"/>
                <w:color w:val="auto"/>
              </w:rPr>
              <w:t>(1,051)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(436)</w:t>
            </w:r>
          </w:p>
        </w:tc>
      </w:tr>
      <w:tr>
        <w:trPr>
          <w:trHeight w:val="216"/>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center"/>
              <w:ind w:left="341"/>
              <w:spacing w:after="0"/>
              <w:rPr>
                <w:sz w:val="20"/>
                <w:szCs w:val="20"/>
                <w:color w:val="auto"/>
              </w:rPr>
            </w:pPr>
            <w:r>
              <w:rPr>
                <w:rFonts w:ascii="Arial" w:cs="Arial" w:eastAsia="Arial" w:hAnsi="Arial"/>
                <w:sz w:val="16"/>
                <w:szCs w:val="16"/>
                <w:color w:val="auto"/>
              </w:rPr>
              <w:t>(1,361)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(1,957)</w:t>
            </w:r>
          </w:p>
        </w:tc>
      </w:tr>
      <w:tr>
        <w:trPr>
          <w:trHeight w:val="210"/>
        </w:trPr>
        <w:tc>
          <w:tcPr>
            <w:tcW w:w="7220" w:type="dxa"/>
            <w:vAlign w:val="bottom"/>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center"/>
              <w:ind w:left="341"/>
              <w:spacing w:after="0"/>
              <w:rPr>
                <w:sz w:val="20"/>
                <w:szCs w:val="20"/>
                <w:color w:val="auto"/>
              </w:rPr>
            </w:pPr>
            <w:r>
              <w:rPr>
                <w:rFonts w:ascii="Arial" w:cs="Arial" w:eastAsia="Arial" w:hAnsi="Arial"/>
                <w:sz w:val="16"/>
                <w:szCs w:val="16"/>
                <w:color w:val="auto"/>
              </w:rPr>
              <w:t>(1,259)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w:t>
            </w:r>
          </w:p>
        </w:tc>
      </w:tr>
      <w:tr>
        <w:trPr>
          <w:trHeight w:val="21"/>
        </w:trPr>
        <w:tc>
          <w:tcPr>
            <w:tcW w:w="7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spacing w:after="0" w:line="254" w:lineRule="auto"/>
        <w:rPr>
          <w:sz w:val="20"/>
          <w:szCs w:val="20"/>
          <w:color w:val="auto"/>
        </w:rPr>
      </w:pPr>
      <w:r>
        <w:rPr>
          <w:rFonts w:ascii="Arial" w:cs="Arial" w:eastAsia="Arial" w:hAnsi="Arial"/>
          <w:sz w:val="20"/>
          <w:szCs w:val="20"/>
          <w:b w:val="1"/>
          <w:bCs w:val="1"/>
          <w:color w:val="00274E"/>
        </w:rPr>
        <w:t xml:space="preserve">Net Cash Provided by Operating Activities </w:t>
      </w:r>
      <w:r>
        <w:rPr>
          <w:rFonts w:ascii="Arial" w:cs="Arial" w:eastAsia="Arial" w:hAnsi="Arial"/>
          <w:sz w:val="17"/>
          <w:szCs w:val="17"/>
          <w:color w:val="000000"/>
        </w:rPr>
        <w:t>AFG’s property and casualty insurance operations typically produce positive net operating</w:t>
      </w:r>
      <w:r>
        <w:rPr>
          <w:rFonts w:ascii="Arial" w:cs="Arial" w:eastAsia="Arial" w:hAnsi="Arial"/>
          <w:sz w:val="20"/>
          <w:szCs w:val="20"/>
          <w:b w:val="1"/>
          <w:bCs w:val="1"/>
          <w:color w:val="00274E"/>
        </w:rPr>
        <w:t xml:space="preserve"> </w:t>
      </w:r>
      <w:r>
        <w:rPr>
          <w:rFonts w:ascii="Arial" w:cs="Arial" w:eastAsia="Arial" w:hAnsi="Arial"/>
          <w:sz w:val="17"/>
          <w:szCs w:val="17"/>
          <w:color w:val="000000"/>
        </w:rPr>
        <w:t xml:space="preserve">cash flows as premiums collected and investment income exceed policy acquisition costs, claims payments and operating expenses. AFG’s net cash provided by operating activities is impacted by the level and timing of property and casualty premiums, claim and expense payments and recoveries from reinsurers. AFG’s discontinued annuity operations, which were sold in May 2021, typically produced positive net operating cash flows as investment income exceeded acquisition costs and operating expenses. Interest credited on annuity policyholder funds is a non-cash increase in AFG’s annuity benefits accumulated liability and annuity premiums, benefits and withdrawals are considered financing activities due to the deposit-type nature of annuities. Cash flows provided by operating activities also include the activity of AFG’s managed investment entities (collateralized loan obligations (“CLO”)) other than those activities included in investing or financing activities. The changes in the assets and liabilities of the managed investment entities included in operating activities increased cash flows from operating activities by $305 million in 2023 and reduced cash flows from operating activities by $183 million in 2022 and $144 million in 2021, resulting in a $488 million increase in cash flows from operating activities in 2023 compared to 2022 and a $39 million decrease in cash flows from operating activities in 2022 compared to 2021. As discussed in </w:t>
      </w:r>
      <w:r>
        <w:rPr>
          <w:rFonts w:ascii="Arial" w:cs="Arial" w:eastAsia="Arial" w:hAnsi="Arial"/>
          <w:sz w:val="17"/>
          <w:szCs w:val="17"/>
          <w:i w:val="1"/>
          <w:iCs w:val="1"/>
          <w:color w:val="000000"/>
        </w:rPr>
        <w:t xml:space="preserve">Note A — “Accounting Policies — Managed Investment Entities” </w:t>
      </w:r>
      <w:r>
        <w:rPr>
          <w:rFonts w:ascii="Arial" w:cs="Arial" w:eastAsia="Arial" w:hAnsi="Arial"/>
          <w:sz w:val="17"/>
          <w:szCs w:val="17"/>
          <w:color w:val="000000"/>
        </w:rPr>
        <w:t>to the financial statements, AFG has no right to use the CLO assets and no</w:t>
      </w:r>
      <w:r>
        <w:rPr>
          <w:rFonts w:ascii="Arial" w:cs="Arial" w:eastAsia="Arial" w:hAnsi="Arial"/>
          <w:sz w:val="17"/>
          <w:szCs w:val="17"/>
          <w:i w:val="1"/>
          <w:iCs w:val="1"/>
          <w:color w:val="000000"/>
        </w:rPr>
        <w:t xml:space="preserve"> </w:t>
      </w:r>
      <w:r>
        <w:rPr>
          <w:rFonts w:ascii="Arial" w:cs="Arial" w:eastAsia="Arial" w:hAnsi="Arial"/>
          <w:sz w:val="17"/>
          <w:szCs w:val="17"/>
          <w:color w:val="000000"/>
        </w:rPr>
        <w:t>obligation to pay the CLO liabilities and such assets and liabilities are shown separately in AFG’s Balance Sheet. Excluding the impact of the managed investment entities, net cash provided by operating activities was $1.67 billion, $1.34 billion and $1.86 billion in 2023, 2022 and 2021, respectively.</w:t>
      </w:r>
    </w:p>
    <w:p>
      <w:pPr>
        <w:spacing w:after="0" w:line="208"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b w:val="1"/>
          <w:bCs w:val="1"/>
          <w:color w:val="00274E"/>
        </w:rPr>
        <w:t xml:space="preserve">Net Cash Provided by (Used in) Investing Activities </w:t>
      </w:r>
      <w:r>
        <w:rPr>
          <w:rFonts w:ascii="Arial" w:cs="Arial" w:eastAsia="Arial" w:hAnsi="Arial"/>
          <w:sz w:val="17"/>
          <w:szCs w:val="17"/>
          <w:color w:val="000000"/>
        </w:rPr>
        <w:t>AFG’s investing activities consist primarily of the investment of funds provided by</w:t>
      </w:r>
      <w:r>
        <w:rPr>
          <w:rFonts w:ascii="Arial" w:cs="Arial" w:eastAsia="Arial" w:hAnsi="Arial"/>
          <w:sz w:val="20"/>
          <w:szCs w:val="20"/>
          <w:b w:val="1"/>
          <w:bCs w:val="1"/>
          <w:color w:val="00274E"/>
        </w:rPr>
        <w:t xml:space="preserve"> </w:t>
      </w:r>
      <w:r>
        <w:rPr>
          <w:rFonts w:ascii="Arial" w:cs="Arial" w:eastAsia="Arial" w:hAnsi="Arial"/>
          <w:sz w:val="17"/>
          <w:szCs w:val="17"/>
          <w:color w:val="000000"/>
        </w:rPr>
        <w:t xml:space="preserve">its property and casualty businesses and, prior to the May 2021 sale, its discontinued annuity operations. Investing activities also include the purchase and disposal of managed investment entity investments, which are presented separately in AFG’s Balance Sheet. Net investment activity in the managed investment entities was a $762 million source of cash in 2023 compared to a $180 million use of cash in 2022, resulting in a $942 million increase in net cash provided by investing activities in 2023 compared to 2022. See </w:t>
      </w:r>
      <w:r>
        <w:rPr>
          <w:rFonts w:ascii="Arial" w:cs="Arial" w:eastAsia="Arial" w:hAnsi="Arial"/>
          <w:sz w:val="17"/>
          <w:szCs w:val="17"/>
          <w:i w:val="1"/>
          <w:iCs w:val="1"/>
          <w:color w:val="000000"/>
        </w:rPr>
        <w:t>Note A — “Accounting Policies — Managed</w:t>
      </w:r>
      <w:r>
        <w:rPr>
          <w:rFonts w:ascii="Arial" w:cs="Arial" w:eastAsia="Arial" w:hAnsi="Arial"/>
          <w:sz w:val="17"/>
          <w:szCs w:val="17"/>
          <w:color w:val="000000"/>
        </w:rPr>
        <w:t xml:space="preserve"> </w:t>
      </w:r>
      <w:r>
        <w:rPr>
          <w:rFonts w:ascii="Arial" w:cs="Arial" w:eastAsia="Arial" w:hAnsi="Arial"/>
          <w:sz w:val="17"/>
          <w:szCs w:val="17"/>
          <w:i w:val="1"/>
          <w:iCs w:val="1"/>
          <w:color w:val="000000"/>
        </w:rPr>
        <w:t xml:space="preserve">Investment Entities” </w:t>
      </w:r>
      <w:r>
        <w:rPr>
          <w:rFonts w:ascii="Arial" w:cs="Arial" w:eastAsia="Arial" w:hAnsi="Arial"/>
          <w:sz w:val="17"/>
          <w:szCs w:val="17"/>
          <w:color w:val="000000"/>
        </w:rPr>
        <w:t>and</w:t>
      </w:r>
      <w:r>
        <w:rPr>
          <w:rFonts w:ascii="Arial" w:cs="Arial" w:eastAsia="Arial" w:hAnsi="Arial"/>
          <w:sz w:val="17"/>
          <w:szCs w:val="17"/>
          <w:i w:val="1"/>
          <w:iCs w:val="1"/>
          <w:color w:val="000000"/>
        </w:rPr>
        <w:t xml:space="preserve"> Note H — “Managed Investment Entities” </w:t>
      </w:r>
      <w:r>
        <w:rPr>
          <w:rFonts w:ascii="Arial" w:cs="Arial" w:eastAsia="Arial" w:hAnsi="Arial"/>
          <w:sz w:val="17"/>
          <w:szCs w:val="17"/>
          <w:color w:val="000000"/>
        </w:rPr>
        <w:t>to the financial statements. Investing activities for 2023 include the July 2023</w:t>
      </w:r>
      <w:r>
        <w:rPr>
          <w:rFonts w:ascii="Arial" w:cs="Arial" w:eastAsia="Arial" w:hAnsi="Arial"/>
          <w:sz w:val="17"/>
          <w:szCs w:val="17"/>
          <w:i w:val="1"/>
          <w:iCs w:val="1"/>
          <w:color w:val="000000"/>
        </w:rPr>
        <w:t xml:space="preserve"> </w:t>
      </w:r>
      <w:r>
        <w:rPr>
          <w:rFonts w:ascii="Arial" w:cs="Arial" w:eastAsia="Arial" w:hAnsi="Arial"/>
          <w:sz w:val="17"/>
          <w:szCs w:val="17"/>
          <w:color w:val="000000"/>
        </w:rPr>
        <w:t>acquisition of Crop Risk Services (“CRS”) for $234 million in cash. Excluding the acquisition of CRS and the activity of the managed investment entities, investing activities were a $114 million use of cash in 2023 compared to $871 million in 2022, reflecting the opportunistic investment of cash on hand in the property and casualty operations during the rising interest rate environment in 2022.</w:t>
      </w:r>
    </w:p>
    <w:p>
      <w:pPr>
        <w:spacing w:after="0" w:line="230"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Net cash used in investing activities was $1.05 billion in 2022 compared to $436 million in 2021, an increase of $615 million. Cash proceeds from the sale of the annuity operations in excess of cash and cash equivalents held in the annuity subsidiaries that were sold was a $1.51 billion source of cash provided by investing activities in 2021. Investing activities for 2021 also include the December 2021 acquisition of Verikai for $120 million in cash. Net investment activity in the managed investment entities was a $180 million use of cash in 2022 compared to $43 million in 2021, resulting in a $137 million increase in net cash used in investing activities in 2022 compared to 2021. Excluding the impact of the May 2021 sale of the annuity business ($1.51 billion source of cash), the acquisition of Verikai and the activity of the managed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260"/>
        <w:spacing w:after="0" w:line="266" w:lineRule="auto"/>
        <w:rPr>
          <w:sz w:val="20"/>
          <w:szCs w:val="20"/>
          <w:color w:val="auto"/>
        </w:rPr>
      </w:pPr>
      <w:r>
        <w:rPr>
          <w:rFonts w:ascii="Arial" w:cs="Arial" w:eastAsia="Arial" w:hAnsi="Arial"/>
          <w:sz w:val="17"/>
          <w:szCs w:val="17"/>
          <w:color w:val="auto"/>
        </w:rPr>
        <w:t>investment entities, net cash used in investing activities was $871 million in 2022 compared to $1.78 billion in 2021, a decrease of $912 million as the opportunistic investment of cash on hand in the property and casualty operations during the rising interest rate environment in 2022 was more than offset by the absence of investing activities from the disposed annuity operations.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 xml:space="preserve">Net Cash Used In Financing Activities  </w:t>
      </w:r>
      <w:r>
        <w:rPr>
          <w:rFonts w:ascii="Arial" w:cs="Arial" w:eastAsia="Arial" w:hAnsi="Arial"/>
          <w:sz w:val="17"/>
          <w:szCs w:val="17"/>
          <w:color w:val="000000"/>
        </w:rPr>
        <w:t>AFG’s financing activities consist primarily of issuances and retirements of long-term debt,</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issuances and repurchases of common stock, dividend payments and, prior to the sale of the annuity business, transactions with annuity</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policyholders. Net cash used in financing activities was $2.03 billion in 2023 compared to $1.36 billion in 2022, an increase of $670 million. AFG paid</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cash dividends totaling $684 million in 2023 compared to $1.21 billion in 2022, resulting in a $529 million decrease in net cash used in financing</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activities in 2023 compared to 2022. Debt retirements were a $21 million use of cash in 2023 compared to $477 million in 2022, a decrease of</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$456 million. In 2023, AFG repurchased $213 million of its Common Stock compared to $11 million in 2022, resulting in a $202 million increase in</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financing activities in 2023 compared to 2022. Financing activities also include issuances and retirements of managed investment</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entity liabilities, which are nonrecourse to AFG and presented separately in AFG’s Balance Sheet. Retirements of managed investment entity</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liabilities exceeded issuances by $1.13 billion in 2023 compared to issuances exceeding retirements by $324 million in 2022, resulting in a</w:t>
      </w:r>
    </w:p>
    <w:p>
      <w:pPr>
        <w:spacing w:after="0" w:line="1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$1.45 billion increase in net cash used in financing activities in 2023 compared to 2022. See </w:t>
      </w:r>
      <w:r>
        <w:rPr>
          <w:rFonts w:ascii="Arial" w:cs="Arial" w:eastAsia="Arial" w:hAnsi="Arial"/>
          <w:sz w:val="17"/>
          <w:szCs w:val="17"/>
          <w:i w:val="1"/>
          <w:iCs w:val="1"/>
          <w:color w:val="auto"/>
        </w:rPr>
        <w:t>Note A — “Accounting Policies — Managed Investment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Entities” </w:t>
      </w:r>
      <w:r>
        <w:rPr>
          <w:rFonts w:ascii="Arial" w:cs="Arial" w:eastAsia="Arial" w:hAnsi="Arial"/>
          <w:sz w:val="17"/>
          <w:szCs w:val="17"/>
          <w:color w:val="auto"/>
        </w:rPr>
        <w:t>and</w:t>
      </w:r>
      <w:r>
        <w:rPr>
          <w:rFonts w:ascii="Arial" w:cs="Arial" w:eastAsia="Arial" w:hAnsi="Arial"/>
          <w:sz w:val="17"/>
          <w:szCs w:val="17"/>
          <w:i w:val="1"/>
          <w:iCs w:val="1"/>
          <w:color w:val="auto"/>
        </w:rPr>
        <w:t xml:space="preserve"> Note H — “Managed Investment Entities” </w:t>
      </w:r>
      <w:r>
        <w:rPr>
          <w:rFonts w:ascii="Arial" w:cs="Arial" w:eastAsia="Arial" w:hAnsi="Arial"/>
          <w:sz w:val="17"/>
          <w:szCs w:val="17"/>
          <w:color w:val="auto"/>
        </w:rPr>
        <w:t>to the financial statements.</w:t>
      </w:r>
    </w:p>
    <w:p>
      <w:pPr>
        <w:spacing w:after="0" w:line="195"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Net cash used in financing activities was $1.36 billion in 2022 compared to $1.96 billion in 2021, a decrease in net cash used in financing activities of $596 million. Debt retirements were a $477 million use of cash in 2022 compared to no debt retirements in 2021. In 2022, AFG repurchased</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$11 million of its Common Stock compared to $319 million in 2021, resulting in a $308 million decrease in net cash used in financing activities in 2022 compared to 2021. AFG paid cash dividends totaling $1.21 billion in 2022 compared to $2.37 billion in 2021, resulting in a net $1.16 billion decrease in net cash used in financing activities in 2022 compared to 2021. Net annuity receipts exceeded annuity surrenders, benefits, withdrawals and transfers by $477 million in 2021 through the May 31, 2021 effective date of the sale, resulting in a $477 million decrease in net cash used in financing activities in 2022 compared to 2021. Issuances of managed investment entity liabilities exceeded retirements by $324 million in 2022 compared to $193 million in 2021, resulting in a $131 million increase in net cash provided by financing activities in 2022 compared to 2021.</w:t>
      </w:r>
    </w:p>
    <w:p>
      <w:pPr>
        <w:spacing w:after="0" w:line="221" w:lineRule="exact"/>
        <w:rPr>
          <w:sz w:val="20"/>
          <w:szCs w:val="20"/>
          <w:color w:val="auto"/>
        </w:rPr>
      </w:pPr>
    </w:p>
    <w:p>
      <w:pPr>
        <w:spacing w:after="0"/>
        <w:rPr>
          <w:sz w:val="20"/>
          <w:szCs w:val="20"/>
          <w:color w:val="auto"/>
        </w:rPr>
      </w:pPr>
      <w:r>
        <w:rPr>
          <w:rFonts w:ascii="Arial" w:cs="Arial" w:eastAsia="Arial" w:hAnsi="Arial"/>
          <w:sz w:val="25"/>
          <w:szCs w:val="25"/>
          <w:b w:val="1"/>
          <w:bCs w:val="1"/>
          <w:color w:val="00274E"/>
        </w:rPr>
        <w:t>Parent and Subsidiary Liquidity</w:t>
      </w:r>
    </w:p>
    <w:p>
      <w:pPr>
        <w:spacing w:after="0" w:line="253" w:lineRule="exact"/>
        <w:rPr>
          <w:sz w:val="20"/>
          <w:szCs w:val="20"/>
          <w:color w:val="auto"/>
        </w:rPr>
      </w:pPr>
    </w:p>
    <w:p>
      <w:pPr>
        <w:ind w:right="80"/>
        <w:spacing w:after="0" w:line="248" w:lineRule="auto"/>
        <w:rPr>
          <w:sz w:val="20"/>
          <w:szCs w:val="20"/>
          <w:color w:val="auto"/>
        </w:rPr>
      </w:pPr>
      <w:r>
        <w:rPr>
          <w:rFonts w:ascii="Arial" w:cs="Arial" w:eastAsia="Arial" w:hAnsi="Arial"/>
          <w:sz w:val="20"/>
          <w:szCs w:val="20"/>
          <w:b w:val="1"/>
          <w:bCs w:val="1"/>
          <w:color w:val="00274E"/>
        </w:rPr>
        <w:t xml:space="preserve">Parent Holding Company Liquidity </w:t>
      </w:r>
      <w:r>
        <w:rPr>
          <w:rFonts w:ascii="Arial" w:cs="Arial" w:eastAsia="Arial" w:hAnsi="Arial"/>
          <w:sz w:val="17"/>
          <w:szCs w:val="17"/>
          <w:color w:val="000000"/>
        </w:rPr>
        <w:t>Management believes AFG has sufficient resources to meet its liquidity requirements. If funds</w:t>
      </w:r>
      <w:r>
        <w:rPr>
          <w:rFonts w:ascii="Arial" w:cs="Arial" w:eastAsia="Arial" w:hAnsi="Arial"/>
          <w:sz w:val="20"/>
          <w:szCs w:val="20"/>
          <w:b w:val="1"/>
          <w:bCs w:val="1"/>
          <w:color w:val="00274E"/>
        </w:rPr>
        <w:t xml:space="preserve"> </w:t>
      </w:r>
      <w:r>
        <w:rPr>
          <w:rFonts w:ascii="Arial" w:cs="Arial" w:eastAsia="Arial" w:hAnsi="Arial"/>
          <w:sz w:val="17"/>
          <w:szCs w:val="17"/>
          <w:color w:val="000000"/>
        </w:rPr>
        <w:t>generated from operations, including dividends, tax payments and borrowings from subsidiaries, are insufficient to meet fixed charges in any period, AFG would be required to utilize parent company cash and investments or to generate cash through borrowings, sales of other assets, or similar transactions.</w:t>
      </w:r>
    </w:p>
    <w:p>
      <w:pPr>
        <w:spacing w:after="0" w:line="216"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AFG’s capital and liquidity was significantly enhanced as a result of the 2021 sale of its annuity business to MassMutual for proceeds of $3.57 billion. By the end of the second quarter of 2022, AFG had deployed the proceeds from this sale primarily through special cash dividends, share repurchases, debt retirements and the purchase of Verikai. AFG’s ongoing operations continue to generate significant excess capital for future returns of capital to shareholders in the form of regular and special cash dividends and through opportunistic share repurchases or to be deployed into its property and casualty businesses as management identifies the potential for profitable organic growth, and opportunities to expand through acquisitions of established businesses or start-ups that meet target return thresholds.</w:t>
      </w:r>
    </w:p>
    <w:p>
      <w:pPr>
        <w:spacing w:after="0" w:line="206" w:lineRule="exact"/>
        <w:rPr>
          <w:sz w:val="20"/>
          <w:szCs w:val="20"/>
          <w:color w:val="auto"/>
        </w:rPr>
      </w:pPr>
    </w:p>
    <w:p>
      <w:pPr>
        <w:jc w:val="both"/>
        <w:ind w:right="40"/>
        <w:spacing w:after="0" w:line="274" w:lineRule="auto"/>
        <w:rPr>
          <w:sz w:val="20"/>
          <w:szCs w:val="20"/>
          <w:color w:val="auto"/>
        </w:rPr>
      </w:pPr>
      <w:r>
        <w:rPr>
          <w:rFonts w:ascii="Arial" w:cs="Arial" w:eastAsia="Arial" w:hAnsi="Arial"/>
          <w:sz w:val="17"/>
          <w:szCs w:val="17"/>
          <w:color w:val="auto"/>
        </w:rPr>
        <w:t>During 2023, AFG repurchased 1,872,544 shares of its Common Stock for $213 million and paid special cash dividends totaling $466 million ($4.00 per share in February and $1.50 per share in November). In addition, on February 6, 2024, AFG declared a special cash dividend of $2.50 per share (aggregate of approximately $210 million) payable on February 28, 2024.</w:t>
      </w:r>
    </w:p>
    <w:p>
      <w:pPr>
        <w:spacing w:after="0" w:line="195"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AFG may, at any time and from time to time, seek to retire or purchase its outstanding debt through cash purchases or exchanges for equity or debt, in open-market purchases, privately negotiated transactions or otherwise. Such repurchases or exchanges, if any, will be upon such terms and at such prices as management may determine, and will depend on prevailing market conditions, AFG’s liquidity requirements, contractual restrictions and other factors. During 2023, AFG repurchased $23 million principal amount of its senior notes for $21 million cash.</w:t>
      </w:r>
    </w:p>
    <w:p>
      <w:pPr>
        <w:spacing w:after="0" w:line="219"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During 2022, AFG repurchased 89,368 shares of its Common Stock for $11 million and paid special cash dividends totaling $1.02 billion ($2.00 per share in March, $8.00 per share in May and $2.00 per share in November). In 2022, AFG repurchased $472 million principal amount of its senior notes for $477 million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During 2021, AFG repurchased 2,777,684 shares of its Common Stock for $319 million and paid special cash dividends totaling $2.21 billion ($14.00 per share in June, $2.00 per share in August, $4.00 per share in October, $4.00 per share in November and $2.00 per share in December).</w:t>
      </w:r>
    </w:p>
    <w:p>
      <w:pPr>
        <w:spacing w:after="0" w:line="185" w:lineRule="exact"/>
        <w:rPr>
          <w:sz w:val="20"/>
          <w:szCs w:val="20"/>
          <w:color w:val="auto"/>
        </w:rPr>
      </w:pPr>
    </w:p>
    <w:p>
      <w:pPr>
        <w:ind w:right="380"/>
        <w:spacing w:after="0" w:line="301" w:lineRule="auto"/>
        <w:rPr>
          <w:sz w:val="20"/>
          <w:szCs w:val="20"/>
          <w:color w:val="auto"/>
        </w:rPr>
      </w:pPr>
      <w:r>
        <w:rPr>
          <w:rFonts w:ascii="Arial" w:cs="Arial" w:eastAsia="Arial" w:hAnsi="Arial"/>
          <w:sz w:val="17"/>
          <w:szCs w:val="17"/>
          <w:color w:val="auto"/>
        </w:rPr>
        <w:t>In December 2021, AFG acquired Verikai, Inc., a machine learning and artificial intelligence company that utilizes a predictive risk tool to assess insurance risk, for $120 million using cash on hand at the parent.</w:t>
      </w:r>
    </w:p>
    <w:p>
      <w:pPr>
        <w:spacing w:after="0" w:line="171"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All debentures and notes issued by AFG are rated investment grade by two nationally recognized rating agencies. AFG maintains a shelf registration statement under which it can offer additional equity or debt securities. The shelf registration provides AFG with flexibility to access the capital markets from time to time as market and other conditions permit.</w:t>
      </w:r>
    </w:p>
    <w:p>
      <w:pPr>
        <w:spacing w:after="0" w:line="20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At December 31, 2023, AFG (parent) held approximately $485 million in cash and investments. Management believes that AFG’s cash balances are held at stable banking institutions, although the amounts of many of these deposits are in excess of federally insured balances. In June 2023, AFG replaced its existing credit facility with a new five-year, $450 million revolving credit facility, which expires in June 2028. Amounts borrowed under this agreement bear interest at rates ranging from 1.00% to 1.75% (based on AFG’s credit rating, currently 1.25%) over a SOFR-based floating rate. There were no borrowings under AFG’s credit facilities, or under any other parent company short-term borrowing arrangements, during 2023 or 2022.</w:t>
      </w:r>
    </w:p>
    <w:p>
      <w:pPr>
        <w:spacing w:after="0" w:line="200" w:lineRule="exact"/>
        <w:rPr>
          <w:sz w:val="20"/>
          <w:szCs w:val="20"/>
          <w:color w:val="auto"/>
        </w:rPr>
      </w:pPr>
    </w:p>
    <w:p>
      <w:pPr>
        <w:spacing w:after="0" w:line="217" w:lineRule="exact"/>
        <w:rPr>
          <w:sz w:val="20"/>
          <w:szCs w:val="20"/>
          <w:color w:val="auto"/>
        </w:rPr>
      </w:pPr>
    </w:p>
    <w:p>
      <w:pPr>
        <w:ind w:right="40"/>
        <w:spacing w:after="0" w:line="301" w:lineRule="auto"/>
        <w:rPr>
          <w:sz w:val="20"/>
          <w:szCs w:val="20"/>
          <w:color w:val="auto"/>
        </w:rPr>
      </w:pPr>
      <w:r>
        <w:rPr>
          <w:rFonts w:ascii="Arial" w:cs="Arial" w:eastAsia="Arial" w:hAnsi="Arial"/>
          <w:sz w:val="17"/>
          <w:szCs w:val="17"/>
          <w:color w:val="auto"/>
        </w:rPr>
        <w:t>Under a tax allocation agreement with AFG, all 80% (or more) owned U.S. subsidiaries generally pay taxes to (or recover taxes from) AFG based on each subsidiary’s contribution to amounts due under AFG’s consolidated tax return.</w:t>
      </w:r>
    </w:p>
    <w:p>
      <w:pPr>
        <w:spacing w:after="0" w:line="170" w:lineRule="exact"/>
        <w:rPr>
          <w:sz w:val="20"/>
          <w:szCs w:val="20"/>
          <w:color w:val="auto"/>
        </w:rPr>
      </w:pPr>
    </w:p>
    <w:p>
      <w:pPr>
        <w:ind w:right="360"/>
        <w:spacing w:after="0" w:line="248" w:lineRule="auto"/>
        <w:rPr>
          <w:sz w:val="20"/>
          <w:szCs w:val="20"/>
          <w:color w:val="auto"/>
        </w:rPr>
      </w:pPr>
      <w:r>
        <w:rPr>
          <w:rFonts w:ascii="Arial" w:cs="Arial" w:eastAsia="Arial" w:hAnsi="Arial"/>
          <w:sz w:val="20"/>
          <w:szCs w:val="20"/>
          <w:b w:val="1"/>
          <w:bCs w:val="1"/>
          <w:color w:val="00274E"/>
        </w:rPr>
        <w:t xml:space="preserve">Subsidiary Liquidity </w:t>
      </w:r>
      <w:r>
        <w:rPr>
          <w:rFonts w:ascii="Arial" w:cs="Arial" w:eastAsia="Arial" w:hAnsi="Arial"/>
          <w:sz w:val="17"/>
          <w:szCs w:val="17"/>
          <w:color w:val="000000"/>
        </w:rPr>
        <w:t>The liquidity requirements of AFG’s insurance subsidiaries relate primarily to the policyholder claims and underwriting</w:t>
      </w:r>
      <w:r>
        <w:rPr>
          <w:rFonts w:ascii="Arial" w:cs="Arial" w:eastAsia="Arial" w:hAnsi="Arial"/>
          <w:sz w:val="20"/>
          <w:szCs w:val="20"/>
          <w:b w:val="1"/>
          <w:bCs w:val="1"/>
          <w:color w:val="00274E"/>
        </w:rPr>
        <w:t xml:space="preserve"> </w:t>
      </w:r>
      <w:r>
        <w:rPr>
          <w:rFonts w:ascii="Arial" w:cs="Arial" w:eastAsia="Arial" w:hAnsi="Arial"/>
          <w:sz w:val="17"/>
          <w:szCs w:val="17"/>
          <w:color w:val="000000"/>
        </w:rPr>
        <w:t>expenses and payments of dividends and taxes to AFG. Historically, cash flows from premiums and investment income have generally provided more than sufficient funds to meet these requirements. Funds received in excess of cash requirements are generally invested in marketable securities. In addition, the insurance subsidiaries generally hold a significant amount of highly liquid, short duration investments.</w:t>
      </w:r>
    </w:p>
    <w:p>
      <w:pPr>
        <w:spacing w:after="0" w:line="216"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For statutory accounting purposes, equity securities of non-affiliates are generally carried at fair value. At December 31, 2023, AFG’s insurance companies owned publicly traded equity securities with a fair value of $1.02 billion. Decreases in market prices could adversely affect the insurance group’s capital, potentially impacting the amount of dividends available or necessitating a capital contribution. Conversely, increases in market prices could have a favorable impact on the group’s dividend-paying capability.</w:t>
      </w:r>
    </w:p>
    <w:p>
      <w:pPr>
        <w:spacing w:after="0" w:line="200"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Property and casualty reserves for unpaid losses and loss adjustment expenses were $13.09 billion at December 31, 2023 and include case reserves and claims incurred but not reported (“IBNR”). The ultimate amount to be paid to settle reserves is an estimate, subject to significant uncertainty. Actual payments to settle claims cannot be determined until a settlement is reached with the claimant. Final claim settlements may vary significantly from estimated amounts. See “</w:t>
      </w:r>
      <w:r>
        <w:rPr>
          <w:rFonts w:ascii="Arial" w:cs="Arial" w:eastAsia="Arial" w:hAnsi="Arial"/>
          <w:sz w:val="17"/>
          <w:szCs w:val="17"/>
          <w:i w:val="1"/>
          <w:iCs w:val="1"/>
          <w:color w:val="auto"/>
        </w:rPr>
        <w:t>Uncertainties — Property and Casualty Insurance Reserves”</w:t>
      </w:r>
      <w:r>
        <w:rPr>
          <w:rFonts w:ascii="Arial" w:cs="Arial" w:eastAsia="Arial" w:hAnsi="Arial"/>
          <w:sz w:val="17"/>
          <w:szCs w:val="17"/>
          <w:color w:val="auto"/>
        </w:rPr>
        <w:t xml:space="preserve"> below. The timing of future payments for the next twelve months and beyond could vary materially from historical payment patterns due to, among other things, changes in claim reporting and payment patterns and large unanticipated settlements.</w:t>
      </w:r>
    </w:p>
    <w:p>
      <w:pPr>
        <w:spacing w:after="0" w:line="208"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AFG believes its insurance subsidiaries maintain sufficient liquidity to pay claims and underwriting expenses. In addition, these subsidiaries have sufficient capital to meet commitments in the event of unforeseen events such as reserve deficiencies, inadequate premium rates or reinsurer insolvencies. Even in the current uncertain economic environment, management believes that the capital levels in AFG’s insurance subsidiaries are adequate to maintain its business and rating agency ratings. Nonetheless, changes in statutory accounting rules, significant declines in the fair value of the insurance subsidiaries’ investment portfolios or significant ratings downgrades on these investments, could create a need for additional capital.</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5"/>
          <w:szCs w:val="25"/>
          <w:b w:val="1"/>
          <w:bCs w:val="1"/>
          <w:color w:val="00274E"/>
        </w:rPr>
        <w:t>Condensed Parent Only Cash Flows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AFG’s parent holding company only condensed cash flows from operating, investing and financing activities are shown below (in millions):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4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4"/>
                <w:szCs w:val="14"/>
                <w:color w:val="auto"/>
              </w:rPr>
              <w:t>Year ended December 31,</w:t>
            </w:r>
          </w:p>
        </w:tc>
        <w:tc>
          <w:tcPr>
            <w:tcW w:w="920" w:type="dxa"/>
            <w:vAlign w:val="bottom"/>
            <w:tcBorders>
              <w:bottom w:val="single" w:sz="8" w:color="auto"/>
            </w:tcBorders>
          </w:tcPr>
          <w:p>
            <w:pPr>
              <w:spacing w:after="0"/>
              <w:rPr>
                <w:sz w:val="16"/>
                <w:szCs w:val="16"/>
                <w:color w:val="auto"/>
              </w:rPr>
            </w:pPr>
          </w:p>
        </w:tc>
      </w:tr>
      <w:tr>
        <w:trPr>
          <w:trHeight w:val="196"/>
        </w:trPr>
        <w:tc>
          <w:tcPr>
            <w:tcW w:w="74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2022</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2021</w:t>
            </w:r>
          </w:p>
        </w:tc>
      </w:tr>
      <w:tr>
        <w:trPr>
          <w:trHeight w:val="213"/>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800" w:type="dxa"/>
            <w:vAlign w:val="bottom"/>
            <w:shd w:val="clear" w:color="auto" w:fill="CCEEFF"/>
          </w:tcPr>
          <w:p>
            <w:pPr>
              <w:jc w:val="right"/>
              <w:ind w:right="602"/>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833</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Net cash provided by investing activities</w:t>
            </w:r>
          </w:p>
        </w:tc>
        <w:tc>
          <w:tcPr>
            <w:tcW w:w="800" w:type="dxa"/>
            <w:vAlign w:val="bottom"/>
          </w:tcPr>
          <w:p>
            <w:pPr>
              <w:spacing w:after="0"/>
              <w:rPr>
                <w:sz w:val="18"/>
                <w:szCs w:val="18"/>
                <w:color w:val="auto"/>
              </w:rPr>
            </w:pPr>
          </w:p>
        </w:tc>
        <w:tc>
          <w:tcPr>
            <w:tcW w:w="420" w:type="dxa"/>
            <w:vAlign w:val="bottom"/>
          </w:tcPr>
          <w:p>
            <w:pPr>
              <w:jc w:val="right"/>
              <w:ind w:right="1"/>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992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2,167</w:t>
            </w: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8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(1,683)</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(2,626)</w:t>
            </w:r>
          </w:p>
        </w:tc>
      </w:tr>
      <w:tr>
        <w:trPr>
          <w:trHeight w:val="210"/>
        </w:trPr>
        <w:tc>
          <w:tcPr>
            <w:tcW w:w="7400" w:type="dxa"/>
            <w:vAlign w:val="bottom"/>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800" w:type="dxa"/>
            <w:vAlign w:val="bottom"/>
            <w:tcBorders>
              <w:bottom w:val="single" w:sz="8" w:color="auto"/>
            </w:tcBorders>
          </w:tcPr>
          <w:p>
            <w:pPr>
              <w:jc w:val="right"/>
              <w:ind w:right="602"/>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374</w:t>
            </w:r>
          </w:p>
        </w:tc>
      </w:tr>
      <w:tr>
        <w:trPr>
          <w:trHeight w:val="20"/>
        </w:trPr>
        <w:tc>
          <w:tcPr>
            <w:tcW w:w="7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20"/>
        <w:spacing w:after="0" w:line="248" w:lineRule="auto"/>
        <w:rPr>
          <w:sz w:val="20"/>
          <w:szCs w:val="20"/>
          <w:color w:val="auto"/>
        </w:rPr>
      </w:pPr>
      <w:r>
        <w:rPr>
          <w:rFonts w:ascii="Arial" w:cs="Arial" w:eastAsia="Arial" w:hAnsi="Arial"/>
          <w:sz w:val="20"/>
          <w:szCs w:val="20"/>
          <w:b w:val="1"/>
          <w:bCs w:val="1"/>
          <w:color w:val="00274E"/>
        </w:rPr>
        <w:t xml:space="preserve">Parent Net Cash Provided by Operating Activities </w:t>
      </w:r>
      <w:r>
        <w:rPr>
          <w:rFonts w:ascii="Arial" w:cs="Arial" w:eastAsia="Arial" w:hAnsi="Arial"/>
          <w:sz w:val="17"/>
          <w:szCs w:val="17"/>
          <w:color w:val="000000"/>
        </w:rPr>
        <w:t>Parent holding company cash flows from operating activities consist primarily of</w:t>
      </w:r>
      <w:r>
        <w:rPr>
          <w:rFonts w:ascii="Arial" w:cs="Arial" w:eastAsia="Arial" w:hAnsi="Arial"/>
          <w:sz w:val="20"/>
          <w:szCs w:val="20"/>
          <w:b w:val="1"/>
          <w:bCs w:val="1"/>
          <w:color w:val="00274E"/>
        </w:rPr>
        <w:t xml:space="preserve"> </w:t>
      </w:r>
      <w:r>
        <w:rPr>
          <w:rFonts w:ascii="Arial" w:cs="Arial" w:eastAsia="Arial" w:hAnsi="Arial"/>
          <w:sz w:val="17"/>
          <w:szCs w:val="17"/>
          <w:color w:val="000000"/>
        </w:rPr>
        <w:t>dividends and tax payments received from AFG’s insurance subsidiaries, reduced by tax payments to the IRS and holding company interest and other expenses. Parent holding company net cash provided by operating activities was $719 million in 2023 compared to $327 million in 2022 and $833 million in 2021. The $392 million increase in net cash provided by operating activities in 2023 as compared to 2022 and the $506 million decrease in net cash provided by operating activities in 2022 as compared to 2021 were due primarily to higher cash dividends received from subsidiaries in 2023 and 2021.</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 xml:space="preserve">Parent Net Cash Provided by Investing Activities  </w:t>
      </w:r>
      <w:r>
        <w:rPr>
          <w:rFonts w:ascii="Arial" w:cs="Arial" w:eastAsia="Arial" w:hAnsi="Arial"/>
          <w:sz w:val="17"/>
          <w:szCs w:val="17"/>
          <w:color w:val="000000"/>
        </w:rPr>
        <w:t>Parent holding company investing activities consist of capital contributions to and</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returns of capital from subsidiaries and parent company investment activity. Parent holding company net cash provided by investing activities was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$225 million in 2023, $992 million in 2022 and $2.17 billion in 2021. The $225 million in net cash provided by investing activities in 2023 is lower than</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the $992 million in net cash provided by investing activities in 2022 due to the increase in capital contributions to subsidiaries to fund the purchase of</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CRS in July 2023 and lower balances of invested assets. The $992 million in net cash provided by investing activities in 2022 is substantially lower</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than the $2.17 billion in net cash provided by investing activities in 2021 due to proceeds of $3.57 billion related to the May 2021 sale of the annuity</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business partially offset by net purchases of fixed maturity investments of $1.19 billion in 2021 and the $120 million purchase of Verikai in December</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2021.</w:t>
      </w:r>
    </w:p>
    <w:p>
      <w:pPr>
        <w:spacing w:after="0" w:line="233" w:lineRule="exact"/>
        <w:rPr>
          <w:sz w:val="20"/>
          <w:szCs w:val="20"/>
          <w:color w:val="auto"/>
        </w:rPr>
      </w:pPr>
    </w:p>
    <w:p>
      <w:pPr>
        <w:spacing w:after="0" w:line="255" w:lineRule="auto"/>
        <w:rPr>
          <w:sz w:val="20"/>
          <w:szCs w:val="20"/>
          <w:color w:val="auto"/>
        </w:rPr>
      </w:pPr>
      <w:r>
        <w:rPr>
          <w:rFonts w:ascii="Arial" w:cs="Arial" w:eastAsia="Arial" w:hAnsi="Arial"/>
          <w:sz w:val="20"/>
          <w:szCs w:val="20"/>
          <w:b w:val="1"/>
          <w:bCs w:val="1"/>
          <w:color w:val="00274E"/>
        </w:rPr>
        <w:t xml:space="preserve">Parent Net Cash Used in Financing Activities </w:t>
      </w:r>
      <w:r>
        <w:rPr>
          <w:rFonts w:ascii="Arial" w:cs="Arial" w:eastAsia="Arial" w:hAnsi="Arial"/>
          <w:sz w:val="17"/>
          <w:szCs w:val="17"/>
          <w:color w:val="000000"/>
        </w:rPr>
        <w:t>Parent company financing activities consist primarily of the issuance and retirement of</w:t>
      </w:r>
      <w:r>
        <w:rPr>
          <w:rFonts w:ascii="Arial" w:cs="Arial" w:eastAsia="Arial" w:hAnsi="Arial"/>
          <w:sz w:val="20"/>
          <w:szCs w:val="20"/>
          <w:b w:val="1"/>
          <w:bCs w:val="1"/>
          <w:color w:val="00274E"/>
        </w:rPr>
        <w:t xml:space="preserve"> </w:t>
      </w:r>
      <w:r>
        <w:rPr>
          <w:rFonts w:ascii="Arial" w:cs="Arial" w:eastAsia="Arial" w:hAnsi="Arial"/>
          <w:sz w:val="17"/>
          <w:szCs w:val="17"/>
          <w:color w:val="000000"/>
        </w:rPr>
        <w:t xml:space="preserve">long-term debt, repurchases of AFG Common Stock, dividends to shareholders, and, to a lesser extent, proceeds from employee stock option exercises. Significant long-term debt and common stock transactions are discussed above under </w:t>
      </w:r>
      <w:r>
        <w:rPr>
          <w:rFonts w:ascii="Arial" w:cs="Arial" w:eastAsia="Arial" w:hAnsi="Arial"/>
          <w:sz w:val="17"/>
          <w:szCs w:val="17"/>
          <w:i w:val="1"/>
          <w:iCs w:val="1"/>
          <w:color w:val="000000"/>
        </w:rPr>
        <w:t>“Parent Holding Company Liquidity.”</w:t>
      </w:r>
      <w:r>
        <w:rPr>
          <w:rFonts w:ascii="Arial" w:cs="Arial" w:eastAsia="Arial" w:hAnsi="Arial"/>
          <w:sz w:val="17"/>
          <w:szCs w:val="17"/>
          <w:color w:val="000000"/>
        </w:rPr>
        <w:t xml:space="preserve"> Parent holding company net cash used in financing activities was $901 million in 2023 compared to $1.68 billion in 2022 and $2.63 billion in 2021. The $782 million decrease in net cash used in financing activities in 2023 as compared to 2022 reflects lower dividends paid to shareholders (due primarily to special dividends of $5.50 per share in 2023 compared to special dividends of $12.00 per share in 2022) and lower net retirements of long-term debt in 2023 compared to 2022. The $943 million decrease in net cash used in financing activities in 2022 as compared to 2021 reflects lower dividends paid to shareholders (due primarily to special dividends of $12.00 per share in 2022 compared to special dividends of $26.00 per share in 2021), partially offset by the impact of net retirements of long-term debt in 2022.</w:t>
      </w:r>
    </w:p>
    <w:p>
      <w:pPr>
        <w:spacing w:after="0" w:line="226" w:lineRule="exact"/>
        <w:rPr>
          <w:sz w:val="20"/>
          <w:szCs w:val="20"/>
          <w:color w:val="auto"/>
        </w:rPr>
      </w:pPr>
    </w:p>
    <w:p>
      <w:pPr>
        <w:spacing w:after="0"/>
        <w:rPr>
          <w:sz w:val="20"/>
          <w:szCs w:val="20"/>
          <w:color w:val="auto"/>
        </w:rPr>
      </w:pPr>
      <w:r>
        <w:rPr>
          <w:rFonts w:ascii="Arial" w:cs="Arial" w:eastAsia="Arial" w:hAnsi="Arial"/>
          <w:sz w:val="25"/>
          <w:szCs w:val="25"/>
          <w:b w:val="1"/>
          <w:bCs w:val="1"/>
          <w:color w:val="00274E"/>
        </w:rPr>
        <w:t>Off-Balance Sheet Arrangements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i w:val="1"/>
          <w:iCs w:val="1"/>
          <w:color w:val="auto"/>
        </w:rPr>
        <w:t>Note P — “Additional Information — Financial Instruments — Unfunded Commitments”</w:t>
      </w:r>
      <w:r>
        <w:rPr>
          <w:rFonts w:ascii="Arial" w:cs="Arial" w:eastAsia="Arial" w:hAnsi="Arial"/>
          <w:sz w:val="17"/>
          <w:szCs w:val="17"/>
          <w:color w:val="auto"/>
        </w:rPr>
        <w:t xml:space="preserve"> to the financial statements</w:t>
      </w:r>
      <w:r>
        <w:rPr>
          <w:rFonts w:ascii="Arial" w:cs="Arial" w:eastAsia="Arial" w:hAnsi="Arial"/>
          <w:sz w:val="17"/>
          <w:szCs w:val="17"/>
          <w:i w:val="1"/>
          <w:iCs w:val="1"/>
          <w:color w:val="auto"/>
        </w:rPr>
        <w:t>.</w:t>
      </w:r>
    </w:p>
    <w:p>
      <w:pPr>
        <w:spacing w:after="0" w:line="232" w:lineRule="exact"/>
        <w:rPr>
          <w:sz w:val="20"/>
          <w:szCs w:val="20"/>
          <w:color w:val="auto"/>
        </w:rPr>
      </w:pPr>
    </w:p>
    <w:p>
      <w:pPr>
        <w:spacing w:after="0"/>
        <w:rPr>
          <w:sz w:val="20"/>
          <w:szCs w:val="20"/>
          <w:color w:val="auto"/>
        </w:rPr>
      </w:pPr>
      <w:r>
        <w:rPr>
          <w:rFonts w:ascii="Arial" w:cs="Arial" w:eastAsia="Arial" w:hAnsi="Arial"/>
          <w:sz w:val="25"/>
          <w:szCs w:val="25"/>
          <w:b w:val="1"/>
          <w:bCs w:val="1"/>
          <w:color w:val="00274E"/>
        </w:rPr>
        <w:t>Investments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AFG attempts to optimize investment income while building the value of its portfolio, placing emphasis upon total long-term performance.</w:t>
      </w:r>
    </w:p>
    <w:p>
      <w:pPr>
        <w:spacing w:after="0" w:line="234"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AFG’s investment portfolio at December 31, 2023, contained $10.38 billion in fixed maturity securities classified as available for sale and carried at fair value with unrealized gains and losses included in accumulated other comprehensive income (loss) and $57 million in fixed maturities classified as trading with holding gains and losses included in net investment income. In addition, AFG’s investment portfolio includes $571 million in equity securities carried at fair value with holding gains and losses included in realized gains (losses) on securities and $447 million in equity securities carried at fair value with holding gains and losses included in net investment income.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Unrealized gains and losses on AFG’s fixed maturity securities are included in shareholders’ equity after adjustments for deferred income taxes.</w:t>
      </w:r>
    </w:p>
    <w:p>
      <w:pPr>
        <w:spacing w:after="0" w:line="250"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color w:val="auto"/>
        </w:rPr>
        <w:t>Fixed income investment funds are generally invested in securities with intermediate-term maturities with an objective of optimizing total return while allowing flexibility to react to changes in market conditions. At December 31, 2023, the average life of AFG’s fixed maturities was about 4.3 years.</w:t>
      </w:r>
    </w:p>
    <w:p>
      <w:pPr>
        <w:spacing w:after="0" w:line="185"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Fair values for AFG’s portfolio are determined by AFG’s internal investment professionals using data from nationally recognized pricing services, non-binding broker quotes and other market information. Fair values of equity securities are generally based on published closing prices. For AFG’s fixed maturity portfolio, approximately 89% was priced using pricing services at December 31, 2023 and 5% was priced using non-binding broker quotes. When prices obtained for the same security vary, AFG’s internal investment professionals select the price they believe is most indicative of an exit price.</w:t>
      </w:r>
    </w:p>
    <w:p>
      <w:pPr>
        <w:spacing w:after="0" w:line="206" w:lineRule="exact"/>
        <w:rPr>
          <w:sz w:val="20"/>
          <w:szCs w:val="20"/>
          <w:color w:val="auto"/>
        </w:rPr>
      </w:pPr>
    </w:p>
    <w:p>
      <w:pPr>
        <w:ind w:right="240"/>
        <w:spacing w:after="0" w:line="274" w:lineRule="auto"/>
        <w:rPr>
          <w:sz w:val="20"/>
          <w:szCs w:val="20"/>
          <w:color w:val="auto"/>
        </w:rPr>
      </w:pPr>
      <w:r>
        <w:rPr>
          <w:rFonts w:ascii="Arial" w:cs="Arial" w:eastAsia="Arial" w:hAnsi="Arial"/>
          <w:sz w:val="17"/>
          <w:szCs w:val="17"/>
          <w:color w:val="auto"/>
        </w:rPr>
        <w:t>The pricing services use a variety of observable inputs to estimate fair value of fixed maturities that do not trade on a daily basis. Based upon information provided by the pricing services, these inputs include, but are not limited to, recent reported trades, benchmark yields, issuer spreads, bids or offers, reference data, and measures of volatility. Included in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the pricing of mortgage-backed securities (“MBS”) are estimates of the rate of future prepayments and defaults of principal over the remaining life of the underlying collateral. Due to the lack of transparency in the process that brokers use to develop prices, valuations that are based on brokers’ prices are classified as Level 3 in the GAAP hierarchy unless the price can be corroborated, for example, by comparison to similar securities priced using observable inputs.</w:t>
      </w:r>
    </w:p>
    <w:p>
      <w:pPr>
        <w:spacing w:after="0" w:line="200"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Valuation techniques utilized by pricing services and prices obtained from external sources are reviewed by AFG’s internal investment professionals who are familiar with the securities being priced and the markets in which they trade to ensure the fair value determination is representative of an exit price. To validate the appropriateness of the prices obtained, these investment managers consider widely published indices (as benchmarks), recent trades, changes in interest rates, general economic conditions and the credit quality of the specific issuers. In addition, AFG communicates directly with pricing services regarding the methods and assumptions used in pricing, including verifying, on a test basis, the inputs used by the services to value specific securities.</w:t>
      </w:r>
    </w:p>
    <w:p>
      <w:pPr>
        <w:spacing w:after="0" w:line="206"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color w:val="auto"/>
        </w:rPr>
        <w:t>In general, the fair value of AFG’s fixed maturity investments is inversely correlated to changes in interest rates. The following table demonstrates the sensitivity of such fair values to reasonably likely changes in interest rates by illustrating the estimated effect on AFG’s fixed maturity portfolio that an immediate increase of 100 basis points in the interest rate yield curve would have had at December 31, 2023 (dollars in millions). Effects of increases or decreases from the 100 basis points illustrated would be approximately proportional.</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fixed maturity portfolio</w:t>
            </w:r>
          </w:p>
        </w:tc>
        <w:tc>
          <w:tcPr>
            <w:tcW w:w="28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10,434</w:t>
            </w:r>
          </w:p>
        </w:tc>
      </w:tr>
      <w:tr>
        <w:trPr>
          <w:trHeight w:val="215"/>
        </w:trPr>
        <w:tc>
          <w:tcPr>
            <w:tcW w:w="7220" w:type="dxa"/>
            <w:vAlign w:val="bottom"/>
          </w:tcPr>
          <w:p>
            <w:pPr>
              <w:ind w:left="20"/>
              <w:spacing w:after="0"/>
              <w:rPr>
                <w:sz w:val="20"/>
                <w:szCs w:val="20"/>
                <w:color w:val="auto"/>
              </w:rPr>
            </w:pPr>
            <w:r>
              <w:rPr>
                <w:rFonts w:ascii="Arial" w:cs="Arial" w:eastAsia="Arial" w:hAnsi="Arial"/>
                <w:sz w:val="16"/>
                <w:szCs w:val="16"/>
                <w:color w:val="auto"/>
              </w:rPr>
              <w:t>Percentage impact on fair value of 100 bps increase in interest rates</w:t>
            </w:r>
          </w:p>
        </w:tc>
        <w:tc>
          <w:tcPr>
            <w:tcW w:w="28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(3.0 %)</w:t>
            </w:r>
          </w:p>
        </w:tc>
      </w:tr>
      <w:tr>
        <w:trPr>
          <w:trHeight w:val="217"/>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impact on fair value of fixed maturity portfolio</w:t>
            </w:r>
          </w:p>
        </w:tc>
        <w:tc>
          <w:tcPr>
            <w:tcW w:w="28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(313)</w:t>
            </w:r>
          </w:p>
        </w:tc>
      </w:tr>
    </w:tbl>
    <w:p>
      <w:pPr>
        <w:spacing w:after="0" w:line="302"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Approximately 94% of the fixed maturities held by AFG at December 31, 2023, were rated “investment grade” (credit rating of AAA to BBB) by nationally recognized rating agencies, 3% were rated “non-investment grade” and 3% were not rated. Investment grade securities generally bear lower yields and lower degrees of risk than those that are unrated and non-investment grade. Management believes that the high-quality investment portfolio should generate a stable and predictable investment return.</w:t>
      </w:r>
    </w:p>
    <w:p>
      <w:pPr>
        <w:spacing w:after="0" w:line="200"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Municipal bonds represented approximately 9% of AFG’s fixed maturity portfolio at December 31, 2023. AFG’s municipal bond portfolio is high quality, with over 99% of the securities rated investment grade at that date. The portfolio is well diversified across the states of issuance and individual issuers. At December 31, 2023, approximately 94% of the municipal bond portfolio was held in revenue bonds, with the remaining 6% held in general obligation bonds.</w:t>
      </w:r>
    </w:p>
    <w:p>
      <w:pPr>
        <w:spacing w:after="0" w:line="200" w:lineRule="exact"/>
        <w:rPr>
          <w:sz w:val="20"/>
          <w:szCs w:val="20"/>
          <w:color w:val="auto"/>
        </w:rPr>
      </w:pPr>
    </w:p>
    <w:p>
      <w:pPr>
        <w:ind w:right="680"/>
        <w:spacing w:after="0" w:line="266" w:lineRule="auto"/>
        <w:rPr>
          <w:sz w:val="20"/>
          <w:szCs w:val="20"/>
          <w:color w:val="auto"/>
        </w:rPr>
      </w:pPr>
      <w:r>
        <w:rPr>
          <w:rFonts w:ascii="Arial" w:cs="Arial" w:eastAsia="Arial" w:hAnsi="Arial"/>
          <w:sz w:val="17"/>
          <w:szCs w:val="17"/>
          <w:color w:val="auto"/>
        </w:rPr>
        <w:t>AFG has less than $100 million of direct exposure to office commercial real estate through property ownership, mortgages or equity method investments. AFG’s fixed maturity portfolio includes securities (the majority of which are AAA-rated) with a carrying value of approximately $600 million that have minimal exposure to office commercial real estate.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Summarized information for the unrealized gains and losses recorded in AFG’s Balance Sheet at December 31, 2023, is shown in the following table (dollars in millions). Approximately $252 million of available for sale fixed maturity securities had no unrealized gains or losses at December 31, 2023.</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color w:val="auto"/>
              </w:rPr>
              <w:t>Securities</w:t>
            </w:r>
          </w:p>
        </w:tc>
        <w:tc>
          <w:tcPr>
            <w:tcW w:w="220" w:type="dxa"/>
            <w:vAlign w:val="bottom"/>
          </w:tcPr>
          <w:p>
            <w:pPr>
              <w:spacing w:after="0"/>
              <w:rPr>
                <w:sz w:val="14"/>
                <w:szCs w:val="14"/>
                <w:color w:val="auto"/>
              </w:rPr>
            </w:pPr>
          </w:p>
        </w:tc>
        <w:tc>
          <w:tcPr>
            <w:tcW w:w="1120" w:type="dxa"/>
            <w:vAlign w:val="bottom"/>
          </w:tcPr>
          <w:p>
            <w:pPr>
              <w:jc w:val="center"/>
              <w:ind w:right="141"/>
              <w:spacing w:after="0"/>
              <w:rPr>
                <w:sz w:val="20"/>
                <w:szCs w:val="20"/>
                <w:color w:val="auto"/>
              </w:rPr>
            </w:pPr>
            <w:r>
              <w:rPr>
                <w:rFonts w:ascii="Arial" w:cs="Arial" w:eastAsia="Arial" w:hAnsi="Arial"/>
                <w:sz w:val="14"/>
                <w:szCs w:val="14"/>
                <w:color w:val="auto"/>
              </w:rPr>
              <w:t>Securities</w:t>
            </w:r>
          </w:p>
        </w:tc>
      </w:tr>
      <w:tr>
        <w:trPr>
          <w:trHeight w:val="148"/>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9"/>
              </w:rPr>
              <w:t>With</w:t>
            </w:r>
          </w:p>
        </w:tc>
        <w:tc>
          <w:tcPr>
            <w:tcW w:w="220" w:type="dxa"/>
            <w:vAlign w:val="bottom"/>
          </w:tcPr>
          <w:p>
            <w:pPr>
              <w:spacing w:after="0"/>
              <w:rPr>
                <w:sz w:val="12"/>
                <w:szCs w:val="12"/>
                <w:color w:val="auto"/>
              </w:rPr>
            </w:pPr>
          </w:p>
        </w:tc>
        <w:tc>
          <w:tcPr>
            <w:tcW w:w="1120" w:type="dxa"/>
            <w:vAlign w:val="bottom"/>
          </w:tcPr>
          <w:p>
            <w:pPr>
              <w:jc w:val="center"/>
              <w:ind w:right="141"/>
              <w:spacing w:after="0" w:line="149" w:lineRule="exact"/>
              <w:rPr>
                <w:sz w:val="20"/>
                <w:szCs w:val="20"/>
                <w:color w:val="auto"/>
              </w:rPr>
            </w:pPr>
            <w:r>
              <w:rPr>
                <w:rFonts w:ascii="Arial" w:cs="Arial" w:eastAsia="Arial" w:hAnsi="Arial"/>
                <w:sz w:val="14"/>
                <w:szCs w:val="14"/>
                <w:color w:val="auto"/>
              </w:rPr>
              <w:t>With</w:t>
            </w:r>
          </w:p>
        </w:tc>
      </w:tr>
      <w:tr>
        <w:trPr>
          <w:trHeight w:val="144"/>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00"/>
              <w:spacing w:after="0" w:line="145" w:lineRule="exact"/>
              <w:rPr>
                <w:sz w:val="20"/>
                <w:szCs w:val="20"/>
                <w:color w:val="auto"/>
              </w:rPr>
            </w:pPr>
            <w:r>
              <w:rPr>
                <w:rFonts w:ascii="Arial" w:cs="Arial" w:eastAsia="Arial" w:hAnsi="Arial"/>
                <w:sz w:val="14"/>
                <w:szCs w:val="14"/>
                <w:color w:val="auto"/>
              </w:rPr>
              <w:t>Unrealized</w:t>
            </w:r>
          </w:p>
        </w:tc>
        <w:tc>
          <w:tcPr>
            <w:tcW w:w="220" w:type="dxa"/>
            <w:vAlign w:val="bottom"/>
          </w:tcPr>
          <w:p>
            <w:pPr>
              <w:spacing w:after="0"/>
              <w:rPr>
                <w:sz w:val="12"/>
                <w:szCs w:val="12"/>
                <w:color w:val="auto"/>
              </w:rPr>
            </w:pPr>
          </w:p>
        </w:tc>
        <w:tc>
          <w:tcPr>
            <w:tcW w:w="1120" w:type="dxa"/>
            <w:vAlign w:val="bottom"/>
          </w:tcPr>
          <w:p>
            <w:pPr>
              <w:jc w:val="center"/>
              <w:ind w:right="141"/>
              <w:spacing w:after="0" w:line="145" w:lineRule="exact"/>
              <w:rPr>
                <w:sz w:val="20"/>
                <w:szCs w:val="20"/>
                <w:color w:val="auto"/>
              </w:rPr>
            </w:pPr>
            <w:r>
              <w:rPr>
                <w:rFonts w:ascii="Arial" w:cs="Arial" w:eastAsia="Arial" w:hAnsi="Arial"/>
                <w:sz w:val="14"/>
                <w:szCs w:val="14"/>
                <w:color w:val="auto"/>
              </w:rPr>
              <w:t>Unrealized</w:t>
            </w:r>
          </w:p>
        </w:tc>
      </w:tr>
      <w:tr>
        <w:trPr>
          <w:trHeight w:val="189"/>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color w:val="auto"/>
                <w:w w:val="98"/>
              </w:rPr>
              <w:t>Gains</w:t>
            </w:r>
          </w:p>
        </w:tc>
        <w:tc>
          <w:tcPr>
            <w:tcW w:w="220" w:type="dxa"/>
            <w:vAlign w:val="bottom"/>
          </w:tcPr>
          <w:p>
            <w:pPr>
              <w:spacing w:after="0"/>
              <w:rPr>
                <w:sz w:val="16"/>
                <w:szCs w:val="16"/>
                <w:color w:val="auto"/>
              </w:rPr>
            </w:pPr>
          </w:p>
        </w:tc>
        <w:tc>
          <w:tcPr>
            <w:tcW w:w="1120" w:type="dxa"/>
            <w:vAlign w:val="bottom"/>
          </w:tcPr>
          <w:p>
            <w:pPr>
              <w:jc w:val="center"/>
              <w:ind w:right="141"/>
              <w:spacing w:after="0"/>
              <w:rPr>
                <w:sz w:val="20"/>
                <w:szCs w:val="20"/>
                <w:color w:val="auto"/>
              </w:rPr>
            </w:pPr>
            <w:r>
              <w:rPr>
                <w:rFonts w:ascii="Arial" w:cs="Arial" w:eastAsia="Arial" w:hAnsi="Arial"/>
                <w:sz w:val="14"/>
                <w:szCs w:val="14"/>
                <w:color w:val="auto"/>
              </w:rPr>
              <w:t>Losses</w:t>
            </w:r>
          </w:p>
        </w:tc>
      </w:tr>
      <w:tr>
        <w:trPr>
          <w:trHeight w:val="176"/>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460" w:type="dxa"/>
            <w:vAlign w:val="bottom"/>
            <w:tcBorders>
              <w:top w:val="single" w:sz="8" w:color="CCEEFF"/>
              <w:bottom w:val="single" w:sz="8" w:color="auto"/>
            </w:tcBorders>
            <w:shd w:val="clear" w:color="auto" w:fill="CCEEFF"/>
          </w:tcPr>
          <w:p>
            <w:pPr>
              <w:spacing w:after="0" w:line="155" w:lineRule="exact"/>
              <w:rPr>
                <w:sz w:val="20"/>
                <w:szCs w:val="20"/>
                <w:color w:val="auto"/>
              </w:rPr>
            </w:pPr>
            <w:r>
              <w:rPr>
                <w:rFonts w:ascii="Arial" w:cs="Arial" w:eastAsia="Arial" w:hAnsi="Arial"/>
                <w:sz w:val="16"/>
                <w:szCs w:val="16"/>
                <w:color w:val="auto"/>
              </w:rPr>
              <w:t>Available for Sale Fixed Maturities</w:t>
            </w:r>
          </w:p>
        </w:tc>
        <w:tc>
          <w:tcPr>
            <w:tcW w:w="60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8460" w:type="dxa"/>
            <w:vAlign w:val="bottom"/>
            <w:gridSpan w:val="2"/>
          </w:tcPr>
          <w:p>
            <w:pPr>
              <w:ind w:left="340"/>
              <w:spacing w:after="0"/>
              <w:rPr>
                <w:sz w:val="20"/>
                <w:szCs w:val="20"/>
                <w:color w:val="auto"/>
              </w:rPr>
            </w:pPr>
            <w:r>
              <w:rPr>
                <w:rFonts w:ascii="Arial" w:cs="Arial" w:eastAsia="Arial" w:hAnsi="Arial"/>
                <w:sz w:val="16"/>
                <w:szCs w:val="16"/>
                <w:color w:val="auto"/>
              </w:rPr>
              <w:t>Fair value of securities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21"/>
              <w:spacing w:after="0"/>
              <w:rPr>
                <w:sz w:val="20"/>
                <w:szCs w:val="20"/>
                <w:color w:val="auto"/>
              </w:rPr>
            </w:pPr>
            <w:r>
              <w:rPr>
                <w:rFonts w:ascii="Arial" w:cs="Arial" w:eastAsia="Arial" w:hAnsi="Arial"/>
                <w:sz w:val="16"/>
                <w:szCs w:val="16"/>
                <w:color w:val="auto"/>
              </w:rPr>
              <w:t>3,698</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21"/>
              <w:spacing w:after="0"/>
              <w:rPr>
                <w:sz w:val="20"/>
                <w:szCs w:val="20"/>
                <w:color w:val="auto"/>
              </w:rPr>
            </w:pPr>
            <w:r>
              <w:rPr>
                <w:rFonts w:ascii="Arial" w:cs="Arial" w:eastAsia="Arial" w:hAnsi="Arial"/>
                <w:sz w:val="16"/>
                <w:szCs w:val="16"/>
                <w:color w:val="auto"/>
              </w:rPr>
              <w:t>6,427</w:t>
            </w:r>
          </w:p>
        </w:tc>
      </w:tr>
      <w:tr>
        <w:trPr>
          <w:trHeight w:val="217"/>
        </w:trPr>
        <w:tc>
          <w:tcPr>
            <w:tcW w:w="2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Amortized cost of securities, net of allowance for expected credit losses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3,591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6,897</w:t>
            </w:r>
          </w:p>
        </w:tc>
      </w:tr>
      <w:tr>
        <w:trPr>
          <w:trHeight w:val="215"/>
        </w:trPr>
        <w:tc>
          <w:tcPr>
            <w:tcW w:w="20" w:type="dxa"/>
            <w:vAlign w:val="bottom"/>
          </w:tcPr>
          <w:p>
            <w:pPr>
              <w:spacing w:after="0"/>
              <w:rPr>
                <w:sz w:val="18"/>
                <w:szCs w:val="18"/>
                <w:color w:val="auto"/>
              </w:rPr>
            </w:pPr>
          </w:p>
        </w:tc>
        <w:tc>
          <w:tcPr>
            <w:tcW w:w="8460" w:type="dxa"/>
            <w:vAlign w:val="bottom"/>
            <w:gridSpan w:val="2"/>
          </w:tcPr>
          <w:p>
            <w:pPr>
              <w:ind w:left="340"/>
              <w:spacing w:after="0"/>
              <w:rPr>
                <w:sz w:val="20"/>
                <w:szCs w:val="20"/>
                <w:color w:val="auto"/>
              </w:rPr>
            </w:pPr>
            <w:r>
              <w:rPr>
                <w:rFonts w:ascii="Arial" w:cs="Arial" w:eastAsia="Arial" w:hAnsi="Arial"/>
                <w:sz w:val="16"/>
                <w:szCs w:val="16"/>
                <w:color w:val="auto"/>
              </w:rPr>
              <w:t>Gross unrealized gain (loss)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21"/>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81"/>
              <w:spacing w:after="0"/>
              <w:rPr>
                <w:sz w:val="20"/>
                <w:szCs w:val="20"/>
                <w:color w:val="auto"/>
              </w:rPr>
            </w:pPr>
            <w:r>
              <w:rPr>
                <w:rFonts w:ascii="Arial" w:cs="Arial" w:eastAsia="Arial" w:hAnsi="Arial"/>
                <w:sz w:val="16"/>
                <w:szCs w:val="16"/>
                <w:color w:val="auto"/>
              </w:rPr>
              <w:t>(470)</w:t>
            </w:r>
          </w:p>
        </w:tc>
      </w:tr>
      <w:tr>
        <w:trPr>
          <w:trHeight w:val="217"/>
        </w:trPr>
        <w:tc>
          <w:tcPr>
            <w:tcW w:w="2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Fair value as % of amortized cost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93 %</w:t>
            </w:r>
          </w:p>
        </w:tc>
      </w:tr>
      <w:tr>
        <w:trPr>
          <w:trHeight w:val="215"/>
        </w:trPr>
        <w:tc>
          <w:tcPr>
            <w:tcW w:w="20" w:type="dxa"/>
            <w:vAlign w:val="bottom"/>
          </w:tcPr>
          <w:p>
            <w:pPr>
              <w:spacing w:after="0"/>
              <w:rPr>
                <w:sz w:val="18"/>
                <w:szCs w:val="18"/>
                <w:color w:val="auto"/>
              </w:rPr>
            </w:pPr>
          </w:p>
        </w:tc>
        <w:tc>
          <w:tcPr>
            <w:tcW w:w="8460" w:type="dxa"/>
            <w:vAlign w:val="bottom"/>
            <w:gridSpan w:val="2"/>
          </w:tcPr>
          <w:p>
            <w:pPr>
              <w:ind w:left="340"/>
              <w:spacing w:after="0"/>
              <w:rPr>
                <w:sz w:val="20"/>
                <w:szCs w:val="20"/>
                <w:color w:val="auto"/>
              </w:rPr>
            </w:pPr>
            <w:r>
              <w:rPr>
                <w:rFonts w:ascii="Arial" w:cs="Arial" w:eastAsia="Arial" w:hAnsi="Arial"/>
                <w:sz w:val="16"/>
                <w:szCs w:val="16"/>
                <w:color w:val="auto"/>
              </w:rPr>
              <w:t>Number of security positions</w:t>
            </w:r>
          </w:p>
        </w:tc>
        <w:tc>
          <w:tcPr>
            <w:tcW w:w="200" w:type="dxa"/>
            <w:vAlign w:val="bottom"/>
          </w:tcPr>
          <w:p>
            <w:pPr>
              <w:spacing w:after="0"/>
              <w:rPr>
                <w:sz w:val="18"/>
                <w:szCs w:val="18"/>
                <w:color w:val="auto"/>
              </w:rPr>
            </w:pPr>
          </w:p>
        </w:tc>
        <w:tc>
          <w:tcPr>
            <w:tcW w:w="1120" w:type="dxa"/>
            <w:vAlign w:val="bottom"/>
          </w:tcPr>
          <w:p>
            <w:pPr>
              <w:jc w:val="right"/>
              <w:ind w:right="121"/>
              <w:spacing w:after="0"/>
              <w:rPr>
                <w:sz w:val="20"/>
                <w:szCs w:val="20"/>
                <w:color w:val="auto"/>
              </w:rPr>
            </w:pPr>
            <w:r>
              <w:rPr>
                <w:rFonts w:ascii="Arial" w:cs="Arial" w:eastAsia="Arial" w:hAnsi="Arial"/>
                <w:sz w:val="16"/>
                <w:szCs w:val="16"/>
                <w:color w:val="auto"/>
              </w:rPr>
              <w:t>704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21"/>
              <w:spacing w:after="0"/>
              <w:rPr>
                <w:sz w:val="20"/>
                <w:szCs w:val="20"/>
                <w:color w:val="auto"/>
              </w:rPr>
            </w:pPr>
            <w:r>
              <w:rPr>
                <w:rFonts w:ascii="Arial" w:cs="Arial" w:eastAsia="Arial" w:hAnsi="Arial"/>
                <w:sz w:val="16"/>
                <w:szCs w:val="16"/>
                <w:color w:val="auto"/>
              </w:rPr>
              <w:t>1,433</w:t>
            </w:r>
          </w:p>
        </w:tc>
      </w:tr>
      <w:tr>
        <w:trPr>
          <w:trHeight w:val="217"/>
        </w:trPr>
        <w:tc>
          <w:tcPr>
            <w:tcW w:w="2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Number individually exceeding $2 million gain or loss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49</w:t>
            </w:r>
          </w:p>
        </w:tc>
      </w:tr>
      <w:tr>
        <w:trPr>
          <w:trHeight w:val="215"/>
        </w:trPr>
        <w:tc>
          <w:tcPr>
            <w:tcW w:w="20" w:type="dxa"/>
            <w:vAlign w:val="bottom"/>
          </w:tcPr>
          <w:p>
            <w:pPr>
              <w:spacing w:after="0"/>
              <w:rPr>
                <w:sz w:val="18"/>
                <w:szCs w:val="18"/>
                <w:color w:val="auto"/>
              </w:rPr>
            </w:pPr>
          </w:p>
        </w:tc>
        <w:tc>
          <w:tcPr>
            <w:tcW w:w="8460" w:type="dxa"/>
            <w:vAlign w:val="bottom"/>
            <w:gridSpan w:val="2"/>
          </w:tcPr>
          <w:p>
            <w:pPr>
              <w:ind w:left="340"/>
              <w:spacing w:after="0"/>
              <w:rPr>
                <w:sz w:val="20"/>
                <w:szCs w:val="20"/>
                <w:color w:val="auto"/>
              </w:rPr>
            </w:pPr>
            <w:r>
              <w:rPr>
                <w:rFonts w:ascii="Arial" w:cs="Arial" w:eastAsia="Arial" w:hAnsi="Arial"/>
                <w:sz w:val="16"/>
                <w:szCs w:val="16"/>
                <w:color w:val="auto"/>
              </w:rPr>
              <w:t>Concentration of gains (losses) by type or industry (exceeding 5% of unrealized):</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Mortgage-backed securities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(156)</w:t>
            </w:r>
          </w:p>
        </w:tc>
      </w:tr>
      <w:tr>
        <w:trPr>
          <w:trHeight w:val="215"/>
        </w:trPr>
        <w:tc>
          <w:tcPr>
            <w:tcW w:w="20" w:type="dxa"/>
            <w:vAlign w:val="bottom"/>
          </w:tcPr>
          <w:p>
            <w:pPr>
              <w:spacing w:after="0"/>
              <w:rPr>
                <w:sz w:val="18"/>
                <w:szCs w:val="18"/>
                <w:color w:val="auto"/>
              </w:rPr>
            </w:pPr>
          </w:p>
        </w:tc>
        <w:tc>
          <w:tcPr>
            <w:tcW w:w="8460" w:type="dxa"/>
            <w:vAlign w:val="bottom"/>
            <w:gridSpan w:val="2"/>
          </w:tcPr>
          <w:p>
            <w:pPr>
              <w:ind w:left="660"/>
              <w:spacing w:after="0"/>
              <w:rPr>
                <w:sz w:val="20"/>
                <w:szCs w:val="20"/>
                <w:color w:val="auto"/>
              </w:rPr>
            </w:pPr>
            <w:r>
              <w:rPr>
                <w:rFonts w:ascii="Arial" w:cs="Arial" w:eastAsia="Arial" w:hAnsi="Arial"/>
                <w:sz w:val="16"/>
                <w:szCs w:val="16"/>
                <w:color w:val="auto"/>
              </w:rPr>
              <w:t>Banking</w:t>
            </w:r>
          </w:p>
        </w:tc>
        <w:tc>
          <w:tcPr>
            <w:tcW w:w="200" w:type="dxa"/>
            <w:vAlign w:val="bottom"/>
          </w:tcPr>
          <w:p>
            <w:pPr>
              <w:spacing w:after="0"/>
              <w:rPr>
                <w:sz w:val="18"/>
                <w:szCs w:val="18"/>
                <w:color w:val="auto"/>
              </w:rPr>
            </w:pPr>
          </w:p>
        </w:tc>
        <w:tc>
          <w:tcPr>
            <w:tcW w:w="1120" w:type="dxa"/>
            <w:vAlign w:val="bottom"/>
          </w:tcPr>
          <w:p>
            <w:pPr>
              <w:jc w:val="right"/>
              <w:ind w:right="121"/>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81"/>
              <w:spacing w:after="0"/>
              <w:rPr>
                <w:sz w:val="20"/>
                <w:szCs w:val="20"/>
                <w:color w:val="auto"/>
              </w:rPr>
            </w:pPr>
            <w:r>
              <w:rPr>
                <w:rFonts w:ascii="Arial" w:cs="Arial" w:eastAsia="Arial" w:hAnsi="Arial"/>
                <w:sz w:val="16"/>
                <w:szCs w:val="16"/>
                <w:color w:val="auto"/>
              </w:rPr>
              <w:t>(23)</w:t>
            </w:r>
          </w:p>
        </w:tc>
      </w:tr>
      <w:tr>
        <w:trPr>
          <w:trHeight w:val="217"/>
        </w:trPr>
        <w:tc>
          <w:tcPr>
            <w:tcW w:w="2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Other asset-backed securities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(120)</w:t>
            </w:r>
          </w:p>
        </w:tc>
      </w:tr>
      <w:tr>
        <w:trPr>
          <w:trHeight w:val="215"/>
        </w:trPr>
        <w:tc>
          <w:tcPr>
            <w:tcW w:w="20" w:type="dxa"/>
            <w:vAlign w:val="bottom"/>
          </w:tcPr>
          <w:p>
            <w:pPr>
              <w:spacing w:after="0"/>
              <w:rPr>
                <w:sz w:val="18"/>
                <w:szCs w:val="18"/>
                <w:color w:val="auto"/>
              </w:rPr>
            </w:pPr>
          </w:p>
        </w:tc>
        <w:tc>
          <w:tcPr>
            <w:tcW w:w="8460" w:type="dxa"/>
            <w:vAlign w:val="bottom"/>
            <w:gridSpan w:val="2"/>
          </w:tcPr>
          <w:p>
            <w:pPr>
              <w:ind w:left="660"/>
              <w:spacing w:after="0"/>
              <w:rPr>
                <w:sz w:val="20"/>
                <w:szCs w:val="20"/>
                <w:color w:val="auto"/>
              </w:rPr>
            </w:pPr>
            <w:r>
              <w:rPr>
                <w:rFonts w:ascii="Arial" w:cs="Arial" w:eastAsia="Arial" w:hAnsi="Arial"/>
                <w:sz w:val="16"/>
                <w:szCs w:val="16"/>
                <w:color w:val="auto"/>
              </w:rPr>
              <w:t>Collateralized loan obligations</w:t>
            </w:r>
          </w:p>
        </w:tc>
        <w:tc>
          <w:tcPr>
            <w:tcW w:w="200" w:type="dxa"/>
            <w:vAlign w:val="bottom"/>
          </w:tcPr>
          <w:p>
            <w:pPr>
              <w:spacing w:after="0"/>
              <w:rPr>
                <w:sz w:val="18"/>
                <w:szCs w:val="18"/>
                <w:color w:val="auto"/>
              </w:rPr>
            </w:pPr>
          </w:p>
        </w:tc>
        <w:tc>
          <w:tcPr>
            <w:tcW w:w="1120" w:type="dxa"/>
            <w:vAlign w:val="bottom"/>
          </w:tcPr>
          <w:p>
            <w:pPr>
              <w:jc w:val="right"/>
              <w:ind w:right="121"/>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81"/>
              <w:spacing w:after="0"/>
              <w:rPr>
                <w:sz w:val="20"/>
                <w:szCs w:val="20"/>
                <w:color w:val="auto"/>
              </w:rPr>
            </w:pPr>
            <w:r>
              <w:rPr>
                <w:rFonts w:ascii="Arial" w:cs="Arial" w:eastAsia="Arial" w:hAnsi="Arial"/>
                <w:sz w:val="16"/>
                <w:szCs w:val="16"/>
                <w:color w:val="auto"/>
              </w:rPr>
              <w:t>(28)</w:t>
            </w:r>
          </w:p>
        </w:tc>
      </w:tr>
      <w:tr>
        <w:trPr>
          <w:trHeight w:val="217"/>
        </w:trPr>
        <w:tc>
          <w:tcPr>
            <w:tcW w:w="2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States and municipalities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(38)</w:t>
            </w:r>
          </w:p>
        </w:tc>
      </w:tr>
      <w:tr>
        <w:trPr>
          <w:trHeight w:val="215"/>
        </w:trPr>
        <w:tc>
          <w:tcPr>
            <w:tcW w:w="20" w:type="dxa"/>
            <w:vAlign w:val="bottom"/>
          </w:tcPr>
          <w:p>
            <w:pPr>
              <w:spacing w:after="0"/>
              <w:rPr>
                <w:sz w:val="18"/>
                <w:szCs w:val="18"/>
                <w:color w:val="auto"/>
              </w:rPr>
            </w:pPr>
          </w:p>
        </w:tc>
        <w:tc>
          <w:tcPr>
            <w:tcW w:w="8460" w:type="dxa"/>
            <w:vAlign w:val="bottom"/>
            <w:gridSpan w:val="2"/>
          </w:tcPr>
          <w:p>
            <w:pPr>
              <w:ind w:left="660"/>
              <w:spacing w:after="0"/>
              <w:rPr>
                <w:sz w:val="20"/>
                <w:szCs w:val="20"/>
                <w:color w:val="auto"/>
              </w:rPr>
            </w:pPr>
            <w:r>
              <w:rPr>
                <w:rFonts w:ascii="Arial" w:cs="Arial" w:eastAsia="Arial" w:hAnsi="Arial"/>
                <w:sz w:val="16"/>
                <w:szCs w:val="16"/>
                <w:color w:val="auto"/>
              </w:rPr>
              <w:t>Asset managers</w:t>
            </w:r>
          </w:p>
        </w:tc>
        <w:tc>
          <w:tcPr>
            <w:tcW w:w="200" w:type="dxa"/>
            <w:vAlign w:val="bottom"/>
          </w:tcPr>
          <w:p>
            <w:pPr>
              <w:spacing w:after="0"/>
              <w:rPr>
                <w:sz w:val="18"/>
                <w:szCs w:val="18"/>
                <w:color w:val="auto"/>
              </w:rPr>
            </w:pPr>
          </w:p>
        </w:tc>
        <w:tc>
          <w:tcPr>
            <w:tcW w:w="1120" w:type="dxa"/>
            <w:vAlign w:val="bottom"/>
          </w:tcPr>
          <w:p>
            <w:pPr>
              <w:jc w:val="right"/>
              <w:ind w:right="121"/>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81"/>
              <w:spacing w:after="0"/>
              <w:rPr>
                <w:sz w:val="20"/>
                <w:szCs w:val="20"/>
                <w:color w:val="auto"/>
              </w:rPr>
            </w:pPr>
            <w:r>
              <w:rPr>
                <w:rFonts w:ascii="Arial" w:cs="Arial" w:eastAsia="Arial" w:hAnsi="Arial"/>
                <w:sz w:val="16"/>
                <w:szCs w:val="16"/>
                <w:color w:val="auto"/>
              </w:rPr>
              <w:t>(28)</w:t>
            </w:r>
          </w:p>
        </w:tc>
      </w:tr>
      <w:tr>
        <w:trPr>
          <w:trHeight w:val="217"/>
        </w:trPr>
        <w:tc>
          <w:tcPr>
            <w:tcW w:w="20" w:type="dxa"/>
            <w:vAlign w:val="bottom"/>
            <w:shd w:val="clear" w:color="auto" w:fill="CCEEFF"/>
          </w:tcPr>
          <w:p>
            <w:pPr>
              <w:spacing w:after="0"/>
              <w:rPr>
                <w:sz w:val="18"/>
                <w:szCs w:val="18"/>
                <w:color w:val="auto"/>
              </w:rPr>
            </w:pPr>
          </w:p>
        </w:tc>
        <w:tc>
          <w:tcPr>
            <w:tcW w:w="84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Percentage rated investment grade</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95 %</w:t>
            </w:r>
          </w:p>
        </w:tc>
      </w:tr>
    </w:tbl>
    <w:p>
      <w:pPr>
        <w:spacing w:after="0" w:line="315" w:lineRule="exact"/>
        <w:rPr>
          <w:sz w:val="20"/>
          <w:szCs w:val="20"/>
          <w:color w:val="auto"/>
        </w:rPr>
      </w:pPr>
    </w:p>
    <w:p>
      <w:pPr>
        <w:ind w:right="300"/>
        <w:spacing w:after="0" w:line="266" w:lineRule="auto"/>
        <w:rPr>
          <w:sz w:val="20"/>
          <w:szCs w:val="20"/>
          <w:color w:val="auto"/>
        </w:rPr>
      </w:pPr>
      <w:r>
        <w:rPr>
          <w:rFonts w:ascii="Arial" w:cs="Arial" w:eastAsia="Arial" w:hAnsi="Arial"/>
          <w:sz w:val="17"/>
          <w:szCs w:val="17"/>
          <w:color w:val="auto"/>
        </w:rPr>
        <w:t>The table below sets forth the scheduled maturities of AFG’s available for sale fixed maturity securities at December 31, 2023, based on their fair values. Securities with sinking funds are reported at average maturity. Actual maturities may differ from contractual maturities because certain securities may be called or prepaid by the issuers.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color w:val="auto"/>
              </w:rPr>
              <w:t>Securities</w:t>
            </w:r>
          </w:p>
        </w:tc>
        <w:tc>
          <w:tcPr>
            <w:tcW w:w="1320" w:type="dxa"/>
            <w:vAlign w:val="bottom"/>
          </w:tcPr>
          <w:p>
            <w:pPr>
              <w:jc w:val="center"/>
              <w:spacing w:after="0"/>
              <w:rPr>
                <w:sz w:val="20"/>
                <w:szCs w:val="20"/>
                <w:color w:val="auto"/>
              </w:rPr>
            </w:pPr>
            <w:r>
              <w:rPr>
                <w:rFonts w:ascii="Arial" w:cs="Arial" w:eastAsia="Arial" w:hAnsi="Arial"/>
                <w:sz w:val="14"/>
                <w:szCs w:val="14"/>
                <w:color w:val="auto"/>
              </w:rPr>
              <w:t>Securities</w:t>
            </w:r>
          </w:p>
        </w:tc>
      </w:tr>
      <w:tr>
        <w:trPr>
          <w:trHeight w:val="144"/>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420" w:type="dxa"/>
            <w:vAlign w:val="bottom"/>
            <w:gridSpan w:val="2"/>
          </w:tcPr>
          <w:p>
            <w:pPr>
              <w:jc w:val="center"/>
              <w:ind w:right="100"/>
              <w:spacing w:after="0" w:line="145" w:lineRule="exact"/>
              <w:rPr>
                <w:sz w:val="20"/>
                <w:szCs w:val="20"/>
                <w:color w:val="auto"/>
              </w:rPr>
            </w:pPr>
            <w:r>
              <w:rPr>
                <w:rFonts w:ascii="Arial" w:cs="Arial" w:eastAsia="Arial" w:hAnsi="Arial"/>
                <w:sz w:val="14"/>
                <w:szCs w:val="14"/>
                <w:color w:val="auto"/>
                <w:w w:val="99"/>
              </w:rPr>
              <w:t>With</w:t>
            </w:r>
          </w:p>
        </w:tc>
        <w:tc>
          <w:tcPr>
            <w:tcW w:w="1320" w:type="dxa"/>
            <w:vAlign w:val="bottom"/>
          </w:tcPr>
          <w:p>
            <w:pPr>
              <w:jc w:val="center"/>
              <w:spacing w:after="0" w:line="145" w:lineRule="exact"/>
              <w:rPr>
                <w:sz w:val="20"/>
                <w:szCs w:val="20"/>
                <w:color w:val="auto"/>
              </w:rPr>
            </w:pPr>
            <w:r>
              <w:rPr>
                <w:rFonts w:ascii="Arial" w:cs="Arial" w:eastAsia="Arial" w:hAnsi="Arial"/>
                <w:sz w:val="14"/>
                <w:szCs w:val="14"/>
                <w:color w:val="auto"/>
                <w:w w:val="99"/>
              </w:rPr>
              <w:t>With</w:t>
            </w:r>
          </w:p>
        </w:tc>
      </w:tr>
      <w:tr>
        <w:trPr>
          <w:trHeight w:val="13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420" w:type="dxa"/>
            <w:vAlign w:val="bottom"/>
            <w:gridSpan w:val="2"/>
          </w:tcPr>
          <w:p>
            <w:pPr>
              <w:jc w:val="center"/>
              <w:ind w:right="100"/>
              <w:spacing w:after="0" w:line="139" w:lineRule="exact"/>
              <w:rPr>
                <w:sz w:val="20"/>
                <w:szCs w:val="20"/>
                <w:color w:val="auto"/>
              </w:rPr>
            </w:pPr>
            <w:r>
              <w:rPr>
                <w:rFonts w:ascii="Arial" w:cs="Arial" w:eastAsia="Arial" w:hAnsi="Arial"/>
                <w:sz w:val="14"/>
                <w:szCs w:val="14"/>
                <w:color w:val="auto"/>
              </w:rPr>
              <w:t>Unrealized</w:t>
            </w:r>
          </w:p>
        </w:tc>
        <w:tc>
          <w:tcPr>
            <w:tcW w:w="1320" w:type="dxa"/>
            <w:vAlign w:val="bottom"/>
          </w:tcPr>
          <w:p>
            <w:pPr>
              <w:jc w:val="center"/>
              <w:spacing w:after="0" w:line="139" w:lineRule="exact"/>
              <w:rPr>
                <w:sz w:val="20"/>
                <w:szCs w:val="20"/>
                <w:color w:val="auto"/>
              </w:rPr>
            </w:pPr>
            <w:r>
              <w:rPr>
                <w:rFonts w:ascii="Arial" w:cs="Arial" w:eastAsia="Arial" w:hAnsi="Arial"/>
                <w:sz w:val="14"/>
                <w:szCs w:val="14"/>
                <w:color w:val="auto"/>
              </w:rPr>
              <w:t>Unrealized</w:t>
            </w:r>
          </w:p>
        </w:tc>
      </w:tr>
      <w:tr>
        <w:trPr>
          <w:trHeight w:val="194"/>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90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Gains</w:t>
            </w:r>
          </w:p>
        </w:tc>
        <w:tc>
          <w:tcPr>
            <w:tcW w:w="1320" w:type="dxa"/>
            <w:vAlign w:val="bottom"/>
          </w:tcPr>
          <w:p>
            <w:pPr>
              <w:jc w:val="center"/>
              <w:spacing w:after="0"/>
              <w:rPr>
                <w:sz w:val="20"/>
                <w:szCs w:val="20"/>
                <w:color w:val="auto"/>
              </w:rPr>
            </w:pPr>
            <w:r>
              <w:rPr>
                <w:rFonts w:ascii="Arial" w:cs="Arial" w:eastAsia="Arial" w:hAnsi="Arial"/>
                <w:sz w:val="14"/>
                <w:szCs w:val="14"/>
                <w:color w:val="auto"/>
                <w:w w:val="99"/>
              </w:rPr>
              <w:t>Losses</w:t>
            </w:r>
          </w:p>
        </w:tc>
      </w:tr>
      <w:tr>
        <w:trPr>
          <w:trHeight w:val="160"/>
        </w:trPr>
        <w:tc>
          <w:tcPr>
            <w:tcW w:w="20" w:type="dxa"/>
            <w:vAlign w:val="bottom"/>
            <w:tcBorders>
              <w:top w:val="single" w:sz="8" w:color="CCEEFF"/>
            </w:tcBorders>
            <w:shd w:val="clear" w:color="auto" w:fill="CCEEFF"/>
          </w:tcPr>
          <w:p>
            <w:pPr>
              <w:spacing w:after="0"/>
              <w:rPr>
                <w:sz w:val="13"/>
                <w:szCs w:val="13"/>
                <w:color w:val="auto"/>
              </w:rPr>
            </w:pPr>
          </w:p>
        </w:tc>
        <w:tc>
          <w:tcPr>
            <w:tcW w:w="8480" w:type="dxa"/>
            <w:vAlign w:val="bottom"/>
            <w:tcBorders>
              <w:top w:val="single" w:sz="8" w:color="CCEEFF"/>
            </w:tcBorders>
            <w:gridSpan w:val="2"/>
            <w:shd w:val="clear" w:color="auto" w:fill="CCEEFF"/>
          </w:tcPr>
          <w:p>
            <w:pPr>
              <w:spacing w:after="0" w:line="160" w:lineRule="exact"/>
              <w:rPr>
                <w:sz w:val="20"/>
                <w:szCs w:val="20"/>
                <w:color w:val="auto"/>
              </w:rPr>
            </w:pPr>
            <w:r>
              <w:rPr>
                <w:rFonts w:ascii="Arial" w:cs="Arial" w:eastAsia="Arial" w:hAnsi="Arial"/>
                <w:sz w:val="16"/>
                <w:szCs w:val="16"/>
                <w:color w:val="auto"/>
              </w:rPr>
              <w:t>Maturity</w:t>
            </w:r>
          </w:p>
        </w:tc>
        <w:tc>
          <w:tcPr>
            <w:tcW w:w="13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79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8480" w:type="dxa"/>
            <w:vAlign w:val="bottom"/>
            <w:gridSpan w:val="2"/>
          </w:tcPr>
          <w:p>
            <w:pPr>
              <w:ind w:left="340"/>
              <w:spacing w:after="0"/>
              <w:rPr>
                <w:sz w:val="20"/>
                <w:szCs w:val="20"/>
                <w:color w:val="auto"/>
              </w:rPr>
            </w:pPr>
            <w:r>
              <w:rPr>
                <w:rFonts w:ascii="Arial" w:cs="Arial" w:eastAsia="Arial" w:hAnsi="Arial"/>
                <w:sz w:val="16"/>
                <w:szCs w:val="16"/>
                <w:color w:val="auto"/>
              </w:rPr>
              <w:t>One year or less</w:t>
            </w:r>
          </w:p>
        </w:tc>
        <w:tc>
          <w:tcPr>
            <w:tcW w:w="1320" w:type="dxa"/>
            <w:vAlign w:val="bottom"/>
          </w:tcPr>
          <w:p>
            <w:pPr>
              <w:jc w:val="right"/>
              <w:spacing w:after="0"/>
              <w:rPr>
                <w:sz w:val="20"/>
                <w:szCs w:val="20"/>
                <w:color w:val="auto"/>
              </w:rPr>
            </w:pPr>
            <w:r>
              <w:rPr>
                <w:rFonts w:ascii="Arial" w:cs="Arial" w:eastAsia="Arial" w:hAnsi="Arial"/>
                <w:sz w:val="16"/>
                <w:szCs w:val="16"/>
                <w:color w:val="auto"/>
              </w:rPr>
              <w:t>3 %</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6 %</w:t>
            </w:r>
          </w:p>
        </w:tc>
      </w:tr>
      <w:tr>
        <w:trPr>
          <w:trHeight w:val="217"/>
        </w:trPr>
        <w:tc>
          <w:tcPr>
            <w:tcW w:w="20" w:type="dxa"/>
            <w:vAlign w:val="bottom"/>
            <w:shd w:val="clear" w:color="auto" w:fill="CCEEFF"/>
          </w:tcPr>
          <w:p>
            <w:pPr>
              <w:spacing w:after="0"/>
              <w:rPr>
                <w:sz w:val="18"/>
                <w:szCs w:val="18"/>
                <w:color w:val="auto"/>
              </w:rPr>
            </w:pPr>
          </w:p>
        </w:tc>
        <w:tc>
          <w:tcPr>
            <w:tcW w:w="84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After one year through five years</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27 %</w:t>
            </w:r>
          </w:p>
        </w:tc>
      </w:tr>
      <w:tr>
        <w:trPr>
          <w:trHeight w:val="215"/>
        </w:trPr>
        <w:tc>
          <w:tcPr>
            <w:tcW w:w="20" w:type="dxa"/>
            <w:vAlign w:val="bottom"/>
          </w:tcPr>
          <w:p>
            <w:pPr>
              <w:spacing w:after="0"/>
              <w:rPr>
                <w:sz w:val="18"/>
                <w:szCs w:val="18"/>
                <w:color w:val="auto"/>
              </w:rPr>
            </w:pPr>
          </w:p>
        </w:tc>
        <w:tc>
          <w:tcPr>
            <w:tcW w:w="8480" w:type="dxa"/>
            <w:vAlign w:val="bottom"/>
            <w:gridSpan w:val="2"/>
          </w:tcPr>
          <w:p>
            <w:pPr>
              <w:ind w:left="340"/>
              <w:spacing w:after="0"/>
              <w:rPr>
                <w:sz w:val="20"/>
                <w:szCs w:val="20"/>
                <w:color w:val="auto"/>
              </w:rPr>
            </w:pPr>
            <w:r>
              <w:rPr>
                <w:rFonts w:ascii="Arial" w:cs="Arial" w:eastAsia="Arial" w:hAnsi="Arial"/>
                <w:sz w:val="16"/>
                <w:szCs w:val="16"/>
                <w:color w:val="auto"/>
              </w:rPr>
              <w:t>After five years through ten years</w:t>
            </w:r>
          </w:p>
        </w:tc>
        <w:tc>
          <w:tcPr>
            <w:tcW w:w="1320" w:type="dxa"/>
            <w:vAlign w:val="bottom"/>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6 %</w:t>
            </w:r>
          </w:p>
        </w:tc>
      </w:tr>
      <w:tr>
        <w:trPr>
          <w:trHeight w:val="216"/>
        </w:trPr>
        <w:tc>
          <w:tcPr>
            <w:tcW w:w="20" w:type="dxa"/>
            <w:vAlign w:val="bottom"/>
            <w:shd w:val="clear" w:color="auto" w:fill="CCEEFF"/>
          </w:tcPr>
          <w:p>
            <w:pPr>
              <w:spacing w:after="0"/>
              <w:rPr>
                <w:sz w:val="18"/>
                <w:szCs w:val="18"/>
                <w:color w:val="auto"/>
              </w:rPr>
            </w:pPr>
          </w:p>
        </w:tc>
        <w:tc>
          <w:tcPr>
            <w:tcW w:w="84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After ten years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2 %</w:t>
            </w: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50 %</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41 %</w:t>
            </w:r>
          </w:p>
        </w:tc>
      </w:tr>
      <w:tr>
        <w:trPr>
          <w:trHeight w:val="217"/>
        </w:trPr>
        <w:tc>
          <w:tcPr>
            <w:tcW w:w="20" w:type="dxa"/>
            <w:vAlign w:val="bottom"/>
            <w:shd w:val="clear" w:color="auto" w:fill="CCEEFF"/>
          </w:tcPr>
          <w:p>
            <w:pPr>
              <w:spacing w:after="0"/>
              <w:rPr>
                <w:sz w:val="18"/>
                <w:szCs w:val="18"/>
                <w:color w:val="auto"/>
              </w:rPr>
            </w:pPr>
          </w:p>
        </w:tc>
        <w:tc>
          <w:tcPr>
            <w:tcW w:w="84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Collateralized loan obligations and other asset-backed securities (average life of approximately 3 years)</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41 %</w:t>
            </w:r>
          </w:p>
        </w:tc>
      </w:tr>
      <w:tr>
        <w:trPr>
          <w:trHeight w:val="215"/>
        </w:trPr>
        <w:tc>
          <w:tcPr>
            <w:tcW w:w="20" w:type="dxa"/>
            <w:vAlign w:val="bottom"/>
            <w:tcBorders>
              <w:bottom w:val="single" w:sz="8" w:color="CCEEFF"/>
            </w:tcBorders>
          </w:tcPr>
          <w:p>
            <w:pPr>
              <w:spacing w:after="0"/>
              <w:rPr>
                <w:sz w:val="18"/>
                <w:szCs w:val="18"/>
                <w:color w:val="auto"/>
              </w:rPr>
            </w:pPr>
          </w:p>
        </w:tc>
        <w:tc>
          <w:tcPr>
            <w:tcW w:w="848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Mortgage-backed securities (average life of approximately 6.5 years)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18 %</w:t>
            </w: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79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79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(dollars in millions) summarizes the unrealized gains and losses on fixed maturity securities by dollar amount: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color w:val="auto"/>
              </w:rPr>
              <w:t>Aggregate</w:t>
            </w:r>
          </w:p>
        </w:tc>
        <w:tc>
          <w:tcPr>
            <w:tcW w:w="180" w:type="dxa"/>
            <w:vAlign w:val="bottom"/>
          </w:tcPr>
          <w:p>
            <w:pPr>
              <w:spacing w:after="0"/>
              <w:rPr>
                <w:sz w:val="14"/>
                <w:szCs w:val="14"/>
                <w:color w:val="auto"/>
              </w:rPr>
            </w:pPr>
          </w:p>
        </w:tc>
        <w:tc>
          <w:tcPr>
            <w:tcW w:w="1040" w:type="dxa"/>
            <w:vAlign w:val="bottom"/>
          </w:tcPr>
          <w:p>
            <w:pPr>
              <w:jc w:val="center"/>
              <w:ind w:right="102"/>
              <w:spacing w:after="0"/>
              <w:rPr>
                <w:sz w:val="20"/>
                <w:szCs w:val="20"/>
                <w:color w:val="auto"/>
              </w:rPr>
            </w:pPr>
            <w:r>
              <w:rPr>
                <w:rFonts w:ascii="Arial" w:cs="Arial" w:eastAsia="Arial" w:hAnsi="Arial"/>
                <w:sz w:val="14"/>
                <w:szCs w:val="14"/>
                <w:color w:val="auto"/>
              </w:rPr>
              <w:t>Aggregate</w:t>
            </w:r>
          </w:p>
        </w:tc>
        <w:tc>
          <w:tcPr>
            <w:tcW w:w="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9"/>
              </w:rPr>
              <w:t>Fair</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39" w:lineRule="exact"/>
              <w:rPr>
                <w:sz w:val="20"/>
                <w:szCs w:val="20"/>
                <w:color w:val="auto"/>
              </w:rPr>
            </w:pPr>
            <w:r>
              <w:rPr>
                <w:rFonts w:ascii="Arial" w:cs="Arial" w:eastAsia="Arial" w:hAnsi="Arial"/>
                <w:sz w:val="14"/>
                <w:szCs w:val="14"/>
                <w:color w:val="auto"/>
              </w:rPr>
              <w:t>Fair</w:t>
            </w:r>
          </w:p>
        </w:tc>
        <w:tc>
          <w:tcPr>
            <w:tcW w:w="180" w:type="dxa"/>
            <w:vAlign w:val="bottom"/>
          </w:tcPr>
          <w:p>
            <w:pPr>
              <w:spacing w:after="0"/>
              <w:rPr>
                <w:sz w:val="12"/>
                <w:szCs w:val="12"/>
                <w:color w:val="auto"/>
              </w:rPr>
            </w:pPr>
          </w:p>
        </w:tc>
        <w:tc>
          <w:tcPr>
            <w:tcW w:w="1040" w:type="dxa"/>
            <w:vAlign w:val="bottom"/>
          </w:tcPr>
          <w:p>
            <w:pPr>
              <w:jc w:val="center"/>
              <w:ind w:right="82"/>
              <w:spacing w:after="0" w:line="139" w:lineRule="exact"/>
              <w:rPr>
                <w:sz w:val="20"/>
                <w:szCs w:val="20"/>
                <w:color w:val="auto"/>
              </w:rPr>
            </w:pPr>
            <w:r>
              <w:rPr>
                <w:rFonts w:ascii="Arial" w:cs="Arial" w:eastAsia="Arial" w:hAnsi="Arial"/>
                <w:sz w:val="14"/>
                <w:szCs w:val="14"/>
                <w:color w:val="auto"/>
              </w:rPr>
              <w:t>Unrealized</w:t>
            </w:r>
          </w:p>
        </w:tc>
        <w:tc>
          <w:tcPr>
            <w:tcW w:w="100" w:type="dxa"/>
            <w:vAlign w:val="bottom"/>
          </w:tcPr>
          <w:p>
            <w:pPr>
              <w:spacing w:after="0"/>
              <w:rPr>
                <w:sz w:val="12"/>
                <w:szCs w:val="12"/>
                <w:color w:val="auto"/>
              </w:rPr>
            </w:pPr>
          </w:p>
        </w:tc>
        <w:tc>
          <w:tcPr>
            <w:tcW w:w="1320" w:type="dxa"/>
            <w:vAlign w:val="bottom"/>
          </w:tcPr>
          <w:p>
            <w:pPr>
              <w:jc w:val="center"/>
              <w:spacing w:after="0" w:line="139" w:lineRule="exact"/>
              <w:rPr>
                <w:sz w:val="20"/>
                <w:szCs w:val="20"/>
                <w:color w:val="auto"/>
              </w:rPr>
            </w:pPr>
            <w:r>
              <w:rPr>
                <w:rFonts w:ascii="Arial" w:cs="Arial" w:eastAsia="Arial" w:hAnsi="Arial"/>
                <w:sz w:val="14"/>
                <w:szCs w:val="14"/>
                <w:color w:val="auto"/>
              </w:rPr>
              <w:t>Value as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color w:val="auto"/>
              </w:rPr>
              <w:t>Value</w:t>
            </w:r>
          </w:p>
        </w:tc>
        <w:tc>
          <w:tcPr>
            <w:tcW w:w="180" w:type="dxa"/>
            <w:vAlign w:val="bottom"/>
          </w:tcPr>
          <w:p>
            <w:pPr>
              <w:spacing w:after="0"/>
              <w:rPr>
                <w:sz w:val="16"/>
                <w:szCs w:val="16"/>
                <w:color w:val="auto"/>
              </w:rPr>
            </w:pPr>
          </w:p>
        </w:tc>
        <w:tc>
          <w:tcPr>
            <w:tcW w:w="1040" w:type="dxa"/>
            <w:vAlign w:val="bottom"/>
          </w:tcPr>
          <w:p>
            <w:pPr>
              <w:jc w:val="center"/>
              <w:ind w:right="102"/>
              <w:spacing w:after="0"/>
              <w:rPr>
                <w:sz w:val="20"/>
                <w:szCs w:val="20"/>
                <w:color w:val="auto"/>
              </w:rPr>
            </w:pPr>
            <w:r>
              <w:rPr>
                <w:rFonts w:ascii="Arial" w:cs="Arial" w:eastAsia="Arial" w:hAnsi="Arial"/>
                <w:sz w:val="14"/>
                <w:szCs w:val="14"/>
                <w:color w:val="auto"/>
              </w:rPr>
              <w:t>Gain (Loss)</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rPr>
              <w:t>% of Cost</w:t>
            </w:r>
          </w:p>
        </w:tc>
        <w:tc>
          <w:tcPr>
            <w:tcW w:w="0" w:type="dxa"/>
            <w:vAlign w:val="bottom"/>
          </w:tcPr>
          <w:p>
            <w:pPr>
              <w:spacing w:after="0"/>
              <w:rPr>
                <w:sz w:val="1"/>
                <w:szCs w:val="1"/>
                <w:color w:val="auto"/>
              </w:rPr>
            </w:pPr>
          </w:p>
        </w:tc>
      </w:tr>
      <w:tr>
        <w:trPr>
          <w:trHeight w:val="180"/>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800" w:type="dxa"/>
            <w:vAlign w:val="bottom"/>
            <w:tcBorders>
              <w:top w:val="single" w:sz="8" w:color="CCEEFF"/>
              <w:bottom w:val="single" w:sz="8" w:color="auto"/>
            </w:tcBorders>
            <w:shd w:val="clear" w:color="auto" w:fill="CCEEFF"/>
          </w:tcPr>
          <w:p>
            <w:pPr>
              <w:spacing w:after="0" w:line="160" w:lineRule="exact"/>
              <w:rPr>
                <w:sz w:val="20"/>
                <w:szCs w:val="20"/>
                <w:color w:val="auto"/>
              </w:rPr>
            </w:pPr>
            <w:r>
              <w:rPr>
                <w:rFonts w:ascii="Arial" w:cs="Arial" w:eastAsia="Arial" w:hAnsi="Arial"/>
                <w:sz w:val="16"/>
                <w:szCs w:val="16"/>
                <w:color w:val="auto"/>
              </w:rPr>
              <w:t>Fixed Maturities at December 31, 2023</w:t>
            </w:r>
          </w:p>
        </w:tc>
        <w:tc>
          <w:tcPr>
            <w:tcW w:w="45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32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6"/>
                <w:szCs w:val="16"/>
                <w:b w:val="1"/>
                <w:bCs w:val="1"/>
                <w:color w:val="auto"/>
              </w:rPr>
              <w:t>Securities with unrealized gains:</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3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Exceeding $500,000 (43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567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107 %</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730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$500,000 or less (661 securities)</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3,131</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102 %</w:t>
            </w: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2800" w:type="dxa"/>
            <w:vAlign w:val="bottom"/>
            <w:tcBorders>
              <w:bottom w:val="single" w:sz="8" w:color="CCEEFF"/>
            </w:tcBorders>
            <w:shd w:val="clear" w:color="auto" w:fill="CCEEFF"/>
          </w:tcPr>
          <w:p>
            <w:pPr>
              <w:spacing w:after="0"/>
              <w:rPr>
                <w:sz w:val="20"/>
                <w:szCs w:val="20"/>
                <w:color w:val="auto"/>
              </w:rPr>
            </w:pPr>
          </w:p>
        </w:tc>
        <w:tc>
          <w:tcPr>
            <w:tcW w:w="45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3,698</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103 %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3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Securities with unrealized losses: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73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3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Exceeding $500,000 (239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2,755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89 %</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730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$500,000 or less (1,194 securities)</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3,672</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97 %</w:t>
            </w: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2800" w:type="dxa"/>
            <w:vAlign w:val="bottom"/>
            <w:tcBorders>
              <w:bottom w:val="single" w:sz="8" w:color="CCEEFF"/>
            </w:tcBorders>
            <w:shd w:val="clear" w:color="auto" w:fill="CCEEFF"/>
          </w:tcPr>
          <w:p>
            <w:pPr>
              <w:spacing w:after="0"/>
              <w:rPr>
                <w:sz w:val="20"/>
                <w:szCs w:val="20"/>
                <w:color w:val="auto"/>
              </w:rPr>
            </w:pPr>
          </w:p>
        </w:tc>
        <w:tc>
          <w:tcPr>
            <w:tcW w:w="45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6,427</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93 %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The following table (dollars in millions) summarizes the unrealized losses for all securities with unrealized losses by issuer quality and the length of time those securities have been in an unrealized loss position:</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color w:val="auto"/>
              </w:rPr>
              <w:t>Aggregate</w:t>
            </w:r>
          </w:p>
        </w:tc>
        <w:tc>
          <w:tcPr>
            <w:tcW w:w="200" w:type="dxa"/>
            <w:vAlign w:val="bottom"/>
          </w:tcPr>
          <w:p>
            <w:pPr>
              <w:spacing w:after="0"/>
              <w:rPr>
                <w:sz w:val="14"/>
                <w:szCs w:val="14"/>
                <w:color w:val="auto"/>
              </w:rPr>
            </w:pPr>
          </w:p>
        </w:tc>
        <w:tc>
          <w:tcPr>
            <w:tcW w:w="1020" w:type="dxa"/>
            <w:vAlign w:val="bottom"/>
          </w:tcPr>
          <w:p>
            <w:pPr>
              <w:jc w:val="center"/>
              <w:ind w:right="122"/>
              <w:spacing w:after="0"/>
              <w:rPr>
                <w:sz w:val="20"/>
                <w:szCs w:val="20"/>
                <w:color w:val="auto"/>
              </w:rPr>
            </w:pPr>
            <w:r>
              <w:rPr>
                <w:rFonts w:ascii="Arial" w:cs="Arial" w:eastAsia="Arial" w:hAnsi="Arial"/>
                <w:sz w:val="14"/>
                <w:szCs w:val="14"/>
                <w:color w:val="auto"/>
              </w:rPr>
              <w:t>Aggregate</w:t>
            </w:r>
          </w:p>
        </w:tc>
        <w:tc>
          <w:tcPr>
            <w:tcW w:w="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9"/>
              </w:rPr>
              <w:t>Fair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5" w:lineRule="exact"/>
              <w:rPr>
                <w:sz w:val="20"/>
                <w:szCs w:val="20"/>
                <w:color w:val="auto"/>
              </w:rPr>
            </w:pPr>
            <w:r>
              <w:rPr>
                <w:rFonts w:ascii="Arial" w:cs="Arial" w:eastAsia="Arial" w:hAnsi="Arial"/>
                <w:sz w:val="14"/>
                <w:szCs w:val="14"/>
                <w:color w:val="auto"/>
              </w:rPr>
              <w:t>Fair</w:t>
            </w:r>
          </w:p>
        </w:tc>
        <w:tc>
          <w:tcPr>
            <w:tcW w:w="200" w:type="dxa"/>
            <w:vAlign w:val="bottom"/>
          </w:tcPr>
          <w:p>
            <w:pPr>
              <w:spacing w:after="0"/>
              <w:rPr>
                <w:sz w:val="12"/>
                <w:szCs w:val="12"/>
                <w:color w:val="auto"/>
              </w:rPr>
            </w:pPr>
          </w:p>
        </w:tc>
        <w:tc>
          <w:tcPr>
            <w:tcW w:w="1020" w:type="dxa"/>
            <w:vAlign w:val="bottom"/>
          </w:tcPr>
          <w:p>
            <w:pPr>
              <w:jc w:val="center"/>
              <w:ind w:right="102"/>
              <w:spacing w:after="0" w:line="145" w:lineRule="exact"/>
              <w:rPr>
                <w:sz w:val="20"/>
                <w:szCs w:val="20"/>
                <w:color w:val="auto"/>
              </w:rPr>
            </w:pPr>
            <w:r>
              <w:rPr>
                <w:rFonts w:ascii="Arial" w:cs="Arial" w:eastAsia="Arial" w:hAnsi="Arial"/>
                <w:sz w:val="14"/>
                <w:szCs w:val="14"/>
                <w:color w:val="auto"/>
              </w:rPr>
              <w:t>Unrealized</w:t>
            </w:r>
          </w:p>
        </w:tc>
        <w:tc>
          <w:tcPr>
            <w:tcW w:w="100" w:type="dxa"/>
            <w:vAlign w:val="bottom"/>
          </w:tcPr>
          <w:p>
            <w:pPr>
              <w:spacing w:after="0"/>
              <w:rPr>
                <w:sz w:val="12"/>
                <w:szCs w:val="12"/>
                <w:color w:val="auto"/>
              </w:rPr>
            </w:pPr>
          </w:p>
        </w:tc>
        <w:tc>
          <w:tcPr>
            <w:tcW w:w="1320" w:type="dxa"/>
            <w:vAlign w:val="bottom"/>
          </w:tcPr>
          <w:p>
            <w:pPr>
              <w:jc w:val="center"/>
              <w:spacing w:after="0" w:line="145" w:lineRule="exact"/>
              <w:rPr>
                <w:sz w:val="20"/>
                <w:szCs w:val="20"/>
                <w:color w:val="auto"/>
              </w:rPr>
            </w:pPr>
            <w:r>
              <w:rPr>
                <w:rFonts w:ascii="Arial" w:cs="Arial" w:eastAsia="Arial" w:hAnsi="Arial"/>
                <w:sz w:val="14"/>
                <w:szCs w:val="14"/>
                <w:color w:val="auto"/>
              </w:rPr>
              <w:t>Value as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color w:val="auto"/>
              </w:rPr>
              <w:t>Value</w:t>
            </w:r>
          </w:p>
        </w:tc>
        <w:tc>
          <w:tcPr>
            <w:tcW w:w="200" w:type="dxa"/>
            <w:vAlign w:val="bottom"/>
          </w:tcPr>
          <w:p>
            <w:pPr>
              <w:spacing w:after="0"/>
              <w:rPr>
                <w:sz w:val="16"/>
                <w:szCs w:val="16"/>
                <w:color w:val="auto"/>
              </w:rPr>
            </w:pPr>
          </w:p>
        </w:tc>
        <w:tc>
          <w:tcPr>
            <w:tcW w:w="1020" w:type="dxa"/>
            <w:vAlign w:val="bottom"/>
          </w:tcPr>
          <w:p>
            <w:pPr>
              <w:jc w:val="center"/>
              <w:ind w:right="122"/>
              <w:spacing w:after="0"/>
              <w:rPr>
                <w:sz w:val="20"/>
                <w:szCs w:val="20"/>
                <w:color w:val="auto"/>
              </w:rPr>
            </w:pPr>
            <w:r>
              <w:rPr>
                <w:rFonts w:ascii="Arial" w:cs="Arial" w:eastAsia="Arial" w:hAnsi="Arial"/>
                <w:sz w:val="14"/>
                <w:szCs w:val="14"/>
                <w:color w:val="auto"/>
              </w:rPr>
              <w:t>Loss</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rPr>
              <w:t>% of Cost</w:t>
            </w:r>
          </w:p>
        </w:tc>
        <w:tc>
          <w:tcPr>
            <w:tcW w:w="0" w:type="dxa"/>
            <w:vAlign w:val="bottom"/>
          </w:tcPr>
          <w:p>
            <w:pPr>
              <w:spacing w:after="0"/>
              <w:rPr>
                <w:sz w:val="1"/>
                <w:szCs w:val="1"/>
                <w:color w:val="auto"/>
              </w:rPr>
            </w:pPr>
          </w:p>
        </w:tc>
      </w:tr>
      <w:tr>
        <w:trPr>
          <w:trHeight w:val="176"/>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80" w:type="dxa"/>
            <w:vAlign w:val="bottom"/>
            <w:tcBorders>
              <w:top w:val="single" w:sz="8" w:color="CCEEFF"/>
              <w:bottom w:val="single" w:sz="8" w:color="auto"/>
            </w:tcBorders>
            <w:shd w:val="clear" w:color="auto" w:fill="CCEEFF"/>
          </w:tcPr>
          <w:p>
            <w:pPr>
              <w:spacing w:after="0" w:line="155" w:lineRule="exact"/>
              <w:rPr>
                <w:sz w:val="20"/>
                <w:szCs w:val="20"/>
                <w:color w:val="auto"/>
              </w:rPr>
            </w:pPr>
            <w:r>
              <w:rPr>
                <w:rFonts w:ascii="Arial" w:cs="Arial" w:eastAsia="Arial" w:hAnsi="Arial"/>
                <w:sz w:val="16"/>
                <w:szCs w:val="16"/>
                <w:color w:val="auto"/>
              </w:rPr>
              <w:t>Securities with Unrealized Losses at December 31, 2023</w:t>
            </w:r>
          </w:p>
        </w:tc>
        <w:tc>
          <w:tcPr>
            <w:tcW w:w="32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32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6"/>
                <w:szCs w:val="16"/>
                <w:b w:val="1"/>
                <w:bCs w:val="1"/>
                <w:color w:val="auto"/>
              </w:rPr>
              <w:t>Investment grade fixed maturities with losses for:</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3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Less than one year (80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390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730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One year or longer (1,132 securities)</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5,695</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93 %</w:t>
            </w: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408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6,085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93 %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3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Non-investment grade fixed maturities with losses for:</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73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3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Less than one year (39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93 %</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730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One year or longer (182 securities)</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304</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92 %</w:t>
            </w: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408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342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92 %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To evaluate fixed maturities for expected credit losses (impairment), management considers the following:</w:t>
      </w:r>
    </w:p>
    <w:p>
      <w:pPr>
        <w:spacing w:after="0" w:line="250"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whether the unrealized loss is credit-driven or a result of changes in market interest rates,</w:t>
      </w:r>
    </w:p>
    <w:p>
      <w:pPr>
        <w:spacing w:after="0" w:line="23" w:lineRule="exact"/>
        <w:rPr>
          <w:rFonts w:ascii="Arial" w:cs="Arial" w:eastAsia="Arial" w:hAnsi="Arial"/>
          <w:sz w:val="17"/>
          <w:szCs w:val="17"/>
          <w:color w:val="auto"/>
        </w:rPr>
      </w:pPr>
    </w:p>
    <w:p>
      <w:pPr>
        <w:ind w:left="640" w:hanging="308"/>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extent to which fair value is less than cost basis,</w:t>
      </w:r>
    </w:p>
    <w:p>
      <w:pPr>
        <w:spacing w:after="0" w:line="7" w:lineRule="exact"/>
        <w:rPr>
          <w:rFonts w:ascii="Arial" w:cs="Arial" w:eastAsia="Arial" w:hAnsi="Arial"/>
          <w:sz w:val="17"/>
          <w:szCs w:val="17"/>
          <w:color w:val="auto"/>
        </w:rPr>
      </w:pPr>
    </w:p>
    <w:p>
      <w:pPr>
        <w:ind w:left="640" w:hanging="308"/>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cash flow projections received from independent sources,</w:t>
      </w:r>
    </w:p>
    <w:p>
      <w:pPr>
        <w:spacing w:after="0" w:line="7" w:lineRule="exact"/>
        <w:rPr>
          <w:rFonts w:ascii="Arial" w:cs="Arial" w:eastAsia="Arial" w:hAnsi="Arial"/>
          <w:sz w:val="17"/>
          <w:szCs w:val="17"/>
          <w:color w:val="auto"/>
        </w:rPr>
      </w:pPr>
    </w:p>
    <w:p>
      <w:pPr>
        <w:ind w:left="640" w:hanging="308"/>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historical operating, balance sheet and cash flow data contained in issuer SEC filings and news releases,</w:t>
      </w:r>
    </w:p>
    <w:p>
      <w:pPr>
        <w:spacing w:after="0" w:line="13" w:lineRule="exact"/>
        <w:rPr>
          <w:rFonts w:ascii="Arial" w:cs="Arial" w:eastAsia="Arial" w:hAnsi="Arial"/>
          <w:sz w:val="17"/>
          <w:szCs w:val="17"/>
          <w:color w:val="auto"/>
        </w:rPr>
      </w:pPr>
    </w:p>
    <w:p>
      <w:pPr>
        <w:ind w:left="640" w:hanging="308"/>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near-term prospects for improvement in the issuer and/or its industry,</w:t>
      </w:r>
    </w:p>
    <w:p>
      <w:pPr>
        <w:spacing w:after="0" w:line="14"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third-party research and communications with industry specialists,</w:t>
      </w:r>
    </w:p>
    <w:p>
      <w:pPr>
        <w:spacing w:after="0" w:line="7" w:lineRule="exact"/>
        <w:rPr>
          <w:rFonts w:ascii="Arial" w:cs="Arial" w:eastAsia="Arial" w:hAnsi="Arial"/>
          <w:sz w:val="17"/>
          <w:szCs w:val="17"/>
          <w:color w:val="auto"/>
        </w:rPr>
      </w:pPr>
    </w:p>
    <w:p>
      <w:pPr>
        <w:ind w:left="640" w:hanging="308"/>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financial models and forecasts,</w:t>
      </w:r>
    </w:p>
    <w:p>
      <w:pPr>
        <w:spacing w:after="0" w:line="7" w:lineRule="exact"/>
        <w:rPr>
          <w:rFonts w:ascii="Arial" w:cs="Arial" w:eastAsia="Arial" w:hAnsi="Arial"/>
          <w:sz w:val="17"/>
          <w:szCs w:val="17"/>
          <w:color w:val="auto"/>
        </w:rPr>
      </w:pPr>
    </w:p>
    <w:p>
      <w:pPr>
        <w:ind w:left="640" w:hanging="308"/>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continuity of interest payments, maintenance of investment grade ratings and hybrid nature of certain investments,</w:t>
      </w:r>
    </w:p>
    <w:p>
      <w:pPr>
        <w:spacing w:after="0" w:line="7" w:lineRule="exact"/>
        <w:rPr>
          <w:rFonts w:ascii="Arial" w:cs="Arial" w:eastAsia="Arial" w:hAnsi="Arial"/>
          <w:sz w:val="17"/>
          <w:szCs w:val="17"/>
          <w:color w:val="auto"/>
        </w:rPr>
      </w:pPr>
    </w:p>
    <w:p>
      <w:pPr>
        <w:ind w:left="640" w:hanging="308"/>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discussions with issuer management, and</w:t>
      </w:r>
    </w:p>
    <w:p>
      <w:pPr>
        <w:spacing w:after="0" w:line="13" w:lineRule="exact"/>
        <w:rPr>
          <w:rFonts w:ascii="Arial" w:cs="Arial" w:eastAsia="Arial" w:hAnsi="Arial"/>
          <w:sz w:val="17"/>
          <w:szCs w:val="17"/>
          <w:color w:val="auto"/>
        </w:rPr>
      </w:pPr>
    </w:p>
    <w:p>
      <w:pPr>
        <w:ind w:left="640" w:hanging="308"/>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ability and intent to hold the investment for a period of time sufficient to allow for anticipated recovery in fair value.</w:t>
      </w:r>
    </w:p>
    <w:p>
      <w:pPr>
        <w:spacing w:after="0" w:line="241" w:lineRule="exact"/>
        <w:rPr>
          <w:sz w:val="20"/>
          <w:szCs w:val="20"/>
          <w:color w:val="auto"/>
        </w:rPr>
      </w:pPr>
    </w:p>
    <w:p>
      <w:pPr>
        <w:ind w:right="300"/>
        <w:spacing w:after="0" w:line="255" w:lineRule="auto"/>
        <w:rPr>
          <w:sz w:val="20"/>
          <w:szCs w:val="20"/>
          <w:color w:val="auto"/>
        </w:rPr>
      </w:pPr>
      <w:r>
        <w:rPr>
          <w:rFonts w:ascii="Arial" w:cs="Arial" w:eastAsia="Arial" w:hAnsi="Arial"/>
          <w:sz w:val="17"/>
          <w:szCs w:val="17"/>
          <w:color w:val="auto"/>
        </w:rPr>
        <w:t xml:space="preserve">Based on its analysis of the factors listed above, management believes AFG will recover its cost basis (net of any allowance) in the fixed maturity securities with unrealized losses and that AFG has the ability to hold the securities until they recover in value and had no intent to sell them at December 31, 2023. Although AFG has the ability to continue holding its fixed maturity investments with unrealized losses, its intent to hold them may change due to deterioration in the issuers’ creditworthiness, decisions to lessen exposure to a particular issuer or industry, asset/liability management decisions, market movements, changes in views about appropriate asset allocation or the desire to offset taxable realized gains. Should AFG’s ability or intent change regarding a particular security, a charge for impairment would likely be required. While it is not possible to accurately predict if or when a specific security will become impaired, increases in the allowance for credit losses could be material to results of operations in future periods. Significant declines in the fair value of AFG’s investment portfolio could have a significant adverse effect on AFG’s liquidity. For information on AFG’s realized gains (losses) on securities, see </w:t>
      </w:r>
      <w:r>
        <w:rPr>
          <w:rFonts w:ascii="Arial" w:cs="Arial" w:eastAsia="Arial" w:hAnsi="Arial"/>
          <w:sz w:val="17"/>
          <w:szCs w:val="17"/>
          <w:i w:val="1"/>
          <w:iCs w:val="1"/>
          <w:color w:val="auto"/>
        </w:rPr>
        <w:t>“Results of Operations — Realized Gains (Losses) on Securities.”</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00274E"/>
        </w:rPr>
        <w:t>Uncertainties</w:t>
      </w:r>
    </w:p>
    <w:p>
      <w:pPr>
        <w:spacing w:after="0" w:line="41"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As more fully explained in the following paragraphs, management believes that the areas posing the greatest risk of material loss are the adequacy of its insurance reserves and contingencies arising out of its former railroad and manufacturing operations.</w:t>
      </w:r>
    </w:p>
    <w:p>
      <w:pPr>
        <w:spacing w:after="0" w:line="201" w:lineRule="exact"/>
        <w:rPr>
          <w:sz w:val="20"/>
          <w:szCs w:val="20"/>
          <w:color w:val="auto"/>
        </w:rPr>
      </w:pPr>
    </w:p>
    <w:p>
      <w:pPr>
        <w:ind w:right="20"/>
        <w:spacing w:after="0" w:line="249" w:lineRule="auto"/>
        <w:rPr>
          <w:sz w:val="20"/>
          <w:szCs w:val="20"/>
          <w:color w:val="auto"/>
        </w:rPr>
      </w:pPr>
      <w:r>
        <w:rPr>
          <w:rFonts w:ascii="Arial" w:cs="Arial" w:eastAsia="Arial" w:hAnsi="Arial"/>
          <w:sz w:val="20"/>
          <w:szCs w:val="20"/>
          <w:b w:val="1"/>
          <w:bCs w:val="1"/>
          <w:color w:val="00274E"/>
        </w:rPr>
        <w:t xml:space="preserve">Property and Casualty Insurance Reserves </w:t>
      </w:r>
      <w:r>
        <w:rPr>
          <w:rFonts w:ascii="Arial" w:cs="Arial" w:eastAsia="Arial" w:hAnsi="Arial"/>
          <w:sz w:val="17"/>
          <w:szCs w:val="17"/>
          <w:color w:val="000000"/>
        </w:rPr>
        <w:t>Estimating the liability for unpaid losses and loss adjustment expenses (“LAE”) is inherently</w:t>
      </w:r>
      <w:r>
        <w:rPr>
          <w:rFonts w:ascii="Arial" w:cs="Arial" w:eastAsia="Arial" w:hAnsi="Arial"/>
          <w:sz w:val="20"/>
          <w:szCs w:val="20"/>
          <w:b w:val="1"/>
          <w:bCs w:val="1"/>
          <w:color w:val="00274E"/>
        </w:rPr>
        <w:t xml:space="preserve"> </w:t>
      </w:r>
      <w:r>
        <w:rPr>
          <w:rFonts w:ascii="Arial" w:cs="Arial" w:eastAsia="Arial" w:hAnsi="Arial"/>
          <w:sz w:val="17"/>
          <w:szCs w:val="17"/>
          <w:color w:val="000000"/>
        </w:rPr>
        <w:t>judgmental and is influenced by factors that are subject to significant variation. Determining the liability is a complex process incorporating input from many areas of the Company including actuarial, underwriting, pricing, claims and operations management.</w:t>
      </w:r>
    </w:p>
    <w:p>
      <w:pPr>
        <w:spacing w:after="0" w:line="212"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The estimates of liabilities for unpaid claims and for expenses of investigation and adjustment of unpaid claims are based upon: (i) the accumulation of case estimates for losses reported prior to the close of the accounting periods on direct business written (“case reserves”); (ii) estimates received from ceding reinsurers and insurance pools and associations; (iii) estimates of claims incurred but not reported (including possible development on known claims); (iv) estimates (based on experience) of expense for investigating and adjusting claims; and (v) the current state of law and coverage litigation.</w:t>
      </w:r>
    </w:p>
    <w:p>
      <w:pPr>
        <w:spacing w:after="0" w:line="206"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The process used to determine the total reserve for liabilities involves estimating the ultimate incurred losses and LAE, adjusted for amounts already paid on the claims. The IBNR reserve is derived by estimating the ultimate unpaid reserve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 xml:space="preserve">liability and subtracting case reserves for loss and LAE. See </w:t>
      </w:r>
      <w:r>
        <w:rPr>
          <w:rFonts w:ascii="Arial" w:cs="Arial" w:eastAsia="Arial" w:hAnsi="Arial"/>
          <w:sz w:val="17"/>
          <w:szCs w:val="17"/>
          <w:i w:val="1"/>
          <w:iCs w:val="1"/>
          <w:color w:val="auto"/>
        </w:rPr>
        <w:t>Note O — “Insurance — Property and Casualty Insurance Reserves”</w:t>
      </w:r>
      <w:r>
        <w:rPr>
          <w:rFonts w:ascii="Arial" w:cs="Arial" w:eastAsia="Arial" w:hAnsi="Arial"/>
          <w:sz w:val="17"/>
          <w:szCs w:val="17"/>
          <w:color w:val="auto"/>
        </w:rPr>
        <w:t xml:space="preserve"> to the financial statements for a discussion of the factors considered and actuarial methods used in determining management’s best estimate of the ultimate liability for unpaid losses and LAE.</w:t>
      </w:r>
    </w:p>
    <w:p>
      <w:pPr>
        <w:spacing w:after="0" w:line="214" w:lineRule="exact"/>
        <w:rPr>
          <w:sz w:val="20"/>
          <w:szCs w:val="20"/>
          <w:color w:val="auto"/>
        </w:rPr>
      </w:pPr>
    </w:p>
    <w:p>
      <w:pPr>
        <w:jc w:val="both"/>
        <w:ind w:right="300"/>
        <w:spacing w:after="0" w:line="266" w:lineRule="auto"/>
        <w:rPr>
          <w:sz w:val="20"/>
          <w:szCs w:val="20"/>
          <w:color w:val="auto"/>
        </w:rPr>
      </w:pPr>
      <w:r>
        <w:rPr>
          <w:rFonts w:ascii="Arial" w:cs="Arial" w:eastAsia="Arial" w:hAnsi="Arial"/>
          <w:sz w:val="17"/>
          <w:szCs w:val="17"/>
          <w:color w:val="auto"/>
        </w:rPr>
        <w:t>The following table shows (in millions) the breakdown of AFG’s property and casualty insurance reserves between case reserves, IBNR reserves and LAE reserves (estimated amounts required to adjust, record and settle claims, other than the claim payments themselves) at December 31, 2023 and gross written premiums for the year ended December 31, 2023.</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color w:val="auto"/>
              </w:rPr>
              <w:t>Gross Loss Reserves</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color w:val="auto"/>
              </w:rPr>
              <w:t>Case</w:t>
            </w:r>
          </w:p>
        </w:tc>
        <w:tc>
          <w:tcPr>
            <w:tcW w:w="220" w:type="dxa"/>
            <w:vAlign w:val="bottom"/>
          </w:tcPr>
          <w:p>
            <w:pPr>
              <w:spacing w:after="0"/>
              <w:rPr>
                <w:sz w:val="12"/>
                <w:szCs w:val="12"/>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color w:val="auto"/>
              </w:rPr>
              <w:t>IBNR</w:t>
            </w:r>
          </w:p>
        </w:tc>
        <w:tc>
          <w:tcPr>
            <w:tcW w:w="240" w:type="dxa"/>
            <w:vAlign w:val="bottom"/>
          </w:tcPr>
          <w:p>
            <w:pPr>
              <w:spacing w:after="0"/>
              <w:rPr>
                <w:sz w:val="12"/>
                <w:szCs w:val="12"/>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color w:val="auto"/>
              </w:rPr>
              <w:t>LAE</w:t>
            </w:r>
          </w:p>
        </w:tc>
        <w:tc>
          <w:tcPr>
            <w:tcW w:w="16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6"/>
              </w:rPr>
              <w:t>Total</w:t>
            </w:r>
          </w:p>
        </w:tc>
        <w:tc>
          <w:tcPr>
            <w:tcW w:w="140" w:type="dxa"/>
            <w:vAlign w:val="bottom"/>
          </w:tcPr>
          <w:p>
            <w:pPr>
              <w:spacing w:after="0"/>
              <w:rPr>
                <w:sz w:val="12"/>
                <w:szCs w:val="12"/>
                <w:color w:val="auto"/>
              </w:rPr>
            </w:pPr>
          </w:p>
        </w:tc>
        <w:tc>
          <w:tcPr>
            <w:tcW w:w="1060" w:type="dxa"/>
            <w:vAlign w:val="bottom"/>
          </w:tcPr>
          <w:p>
            <w:pPr>
              <w:jc w:val="right"/>
              <w:ind w:right="80"/>
              <w:spacing w:after="0" w:line="149" w:lineRule="exact"/>
              <w:rPr>
                <w:sz w:val="20"/>
                <w:szCs w:val="20"/>
                <w:color w:val="auto"/>
              </w:rPr>
            </w:pPr>
            <w:r>
              <w:rPr>
                <w:rFonts w:ascii="Arial" w:cs="Arial" w:eastAsia="Arial" w:hAnsi="Arial"/>
                <w:sz w:val="14"/>
                <w:szCs w:val="14"/>
                <w:color w:val="auto"/>
              </w:rPr>
              <w:t>Gross Written</w:t>
            </w:r>
          </w:p>
        </w:tc>
        <w:tc>
          <w:tcPr>
            <w:tcW w:w="0" w:type="dxa"/>
            <w:vAlign w:val="bottom"/>
          </w:tcPr>
          <w:p>
            <w:pPr>
              <w:spacing w:after="0"/>
              <w:rPr>
                <w:sz w:val="1"/>
                <w:szCs w:val="1"/>
                <w:color w:val="auto"/>
              </w:rPr>
            </w:pPr>
          </w:p>
        </w:tc>
      </w:tr>
      <w:tr>
        <w:trPr>
          <w:trHeight w:val="189"/>
        </w:trPr>
        <w:tc>
          <w:tcPr>
            <w:tcW w:w="5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color w:val="auto"/>
              </w:rPr>
              <w:t>Reserves</w:t>
            </w:r>
          </w:p>
        </w:tc>
        <w:tc>
          <w:tcPr>
            <w:tcW w:w="140" w:type="dxa"/>
            <w:vAlign w:val="bottom"/>
          </w:tcPr>
          <w:p>
            <w:pPr>
              <w:spacing w:after="0"/>
              <w:rPr>
                <w:sz w:val="16"/>
                <w:szCs w:val="16"/>
                <w:color w:val="auto"/>
              </w:rPr>
            </w:pPr>
          </w:p>
        </w:tc>
        <w:tc>
          <w:tcPr>
            <w:tcW w:w="1060" w:type="dxa"/>
            <w:vAlign w:val="bottom"/>
          </w:tcPr>
          <w:p>
            <w:pPr>
              <w:jc w:val="right"/>
              <w:ind w:right="200"/>
              <w:spacing w:after="0"/>
              <w:rPr>
                <w:sz w:val="20"/>
                <w:szCs w:val="20"/>
                <w:color w:val="auto"/>
              </w:rPr>
            </w:pPr>
            <w:r>
              <w:rPr>
                <w:rFonts w:ascii="Arial" w:cs="Arial" w:eastAsia="Arial" w:hAnsi="Arial"/>
                <w:sz w:val="14"/>
                <w:szCs w:val="14"/>
                <w:color w:val="auto"/>
              </w:rPr>
              <w:t>Premiums</w:t>
            </w:r>
          </w:p>
        </w:tc>
        <w:tc>
          <w:tcPr>
            <w:tcW w:w="0" w:type="dxa"/>
            <w:vAlign w:val="bottom"/>
          </w:tcPr>
          <w:p>
            <w:pPr>
              <w:spacing w:after="0"/>
              <w:rPr>
                <w:sz w:val="1"/>
                <w:szCs w:val="1"/>
                <w:color w:val="auto"/>
              </w:rPr>
            </w:pPr>
          </w:p>
        </w:tc>
      </w:tr>
      <w:tr>
        <w:trPr>
          <w:trHeight w:val="196"/>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Statutory Line of Business</w:t>
            </w: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500" w:type="dxa"/>
            <w:vAlign w:val="bottom"/>
          </w:tcPr>
          <w:p>
            <w:pPr>
              <w:ind w:left="20"/>
              <w:spacing w:after="0"/>
              <w:rPr>
                <w:sz w:val="20"/>
                <w:szCs w:val="20"/>
                <w:color w:val="auto"/>
              </w:rPr>
            </w:pPr>
            <w:r>
              <w:rPr>
                <w:rFonts w:ascii="Arial" w:cs="Arial" w:eastAsia="Arial" w:hAnsi="Arial"/>
                <w:sz w:val="16"/>
                <w:szCs w:val="16"/>
                <w:color w:val="auto"/>
              </w:rPr>
              <w:t>Other liability — occurrence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1,008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3,043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754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4,805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1,704</w:t>
            </w:r>
          </w:p>
        </w:tc>
        <w:tc>
          <w:tcPr>
            <w:tcW w:w="0" w:type="dxa"/>
            <w:vAlign w:val="bottom"/>
          </w:tcPr>
          <w:p>
            <w:pPr>
              <w:spacing w:after="0"/>
              <w:rPr>
                <w:sz w:val="1"/>
                <w:szCs w:val="1"/>
                <w:color w:val="auto"/>
              </w:rPr>
            </w:pPr>
          </w:p>
        </w:tc>
      </w:tr>
      <w:tr>
        <w:trPr>
          <w:trHeight w:val="217"/>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Workers’ compensation</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w:t>
            </w:r>
          </w:p>
        </w:tc>
        <w:tc>
          <w:tcPr>
            <w:tcW w:w="0" w:type="dxa"/>
            <w:vAlign w:val="bottom"/>
          </w:tcPr>
          <w:p>
            <w:pPr>
              <w:spacing w:after="0"/>
              <w:rPr>
                <w:sz w:val="1"/>
                <w:szCs w:val="1"/>
                <w:color w:val="auto"/>
              </w:rPr>
            </w:pPr>
          </w:p>
        </w:tc>
      </w:tr>
      <w:tr>
        <w:trPr>
          <w:trHeight w:val="215"/>
        </w:trPr>
        <w:tc>
          <w:tcPr>
            <w:tcW w:w="5500" w:type="dxa"/>
            <w:vAlign w:val="bottom"/>
          </w:tcPr>
          <w:p>
            <w:pPr>
              <w:ind w:left="20"/>
              <w:spacing w:after="0"/>
              <w:rPr>
                <w:sz w:val="20"/>
                <w:szCs w:val="20"/>
                <w:color w:val="auto"/>
              </w:rPr>
            </w:pPr>
            <w:r>
              <w:rPr>
                <w:rFonts w:ascii="Arial" w:cs="Arial" w:eastAsia="Arial" w:hAnsi="Arial"/>
                <w:sz w:val="16"/>
                <w:szCs w:val="16"/>
                <w:color w:val="auto"/>
              </w:rPr>
              <w:t>Other liability — claims made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783</w:t>
            </w:r>
          </w:p>
        </w:tc>
        <w:tc>
          <w:tcPr>
            <w:tcW w:w="0" w:type="dxa"/>
            <w:vAlign w:val="bottom"/>
          </w:tcPr>
          <w:p>
            <w:pPr>
              <w:spacing w:after="0"/>
              <w:rPr>
                <w:sz w:val="1"/>
                <w:szCs w:val="1"/>
                <w:color w:val="auto"/>
              </w:rPr>
            </w:pPr>
          </w:p>
        </w:tc>
      </w:tr>
      <w:tr>
        <w:trPr>
          <w:trHeight w:val="217"/>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auto/truck liability/medical</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215"/>
        </w:trPr>
        <w:tc>
          <w:tcPr>
            <w:tcW w:w="5500" w:type="dxa"/>
            <w:vAlign w:val="bottom"/>
          </w:tcPr>
          <w:p>
            <w:pPr>
              <w:ind w:left="20"/>
              <w:spacing w:after="0"/>
              <w:rPr>
                <w:sz w:val="20"/>
                <w:szCs w:val="20"/>
                <w:color w:val="auto"/>
              </w:rPr>
            </w:pPr>
            <w:r>
              <w:rPr>
                <w:rFonts w:ascii="Arial" w:cs="Arial" w:eastAsia="Arial" w:hAnsi="Arial"/>
                <w:sz w:val="16"/>
                <w:szCs w:val="16"/>
                <w:color w:val="auto"/>
              </w:rPr>
              <w:t>Special property (fire, allied lines, inland marine, earthquake)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2,477</w:t>
            </w:r>
          </w:p>
        </w:tc>
        <w:tc>
          <w:tcPr>
            <w:tcW w:w="0" w:type="dxa"/>
            <w:vAlign w:val="bottom"/>
          </w:tcPr>
          <w:p>
            <w:pPr>
              <w:spacing w:after="0"/>
              <w:rPr>
                <w:sz w:val="1"/>
                <w:szCs w:val="1"/>
                <w:color w:val="auto"/>
              </w:rPr>
            </w:pPr>
          </w:p>
        </w:tc>
      </w:tr>
      <w:tr>
        <w:trPr>
          <w:trHeight w:val="217"/>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Products liability — occurrence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215"/>
        </w:trPr>
        <w:tc>
          <w:tcPr>
            <w:tcW w:w="5500" w:type="dxa"/>
            <w:vAlign w:val="bottom"/>
          </w:tcPr>
          <w:p>
            <w:pPr>
              <w:ind w:left="20"/>
              <w:spacing w:after="0"/>
              <w:rPr>
                <w:sz w:val="20"/>
                <w:szCs w:val="20"/>
                <w:color w:val="auto"/>
              </w:rPr>
            </w:pPr>
            <w:r>
              <w:rPr>
                <w:rFonts w:ascii="Arial" w:cs="Arial" w:eastAsia="Arial" w:hAnsi="Arial"/>
                <w:sz w:val="16"/>
                <w:szCs w:val="16"/>
                <w:color w:val="auto"/>
              </w:rPr>
              <w:t>Commercial multi-peril</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461</w:t>
            </w:r>
          </w:p>
        </w:tc>
        <w:tc>
          <w:tcPr>
            <w:tcW w:w="0" w:type="dxa"/>
            <w:vAlign w:val="bottom"/>
          </w:tcPr>
          <w:p>
            <w:pPr>
              <w:spacing w:after="0"/>
              <w:rPr>
                <w:sz w:val="1"/>
                <w:szCs w:val="1"/>
                <w:color w:val="auto"/>
              </w:rPr>
            </w:pPr>
          </w:p>
        </w:tc>
      </w:tr>
      <w:tr>
        <w:trPr>
          <w:trHeight w:val="217"/>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lines</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1,627</w:t>
            </w:r>
          </w:p>
        </w:tc>
        <w:tc>
          <w:tcPr>
            <w:tcW w:w="0" w:type="dxa"/>
            <w:vAlign w:val="bottom"/>
          </w:tcPr>
          <w:p>
            <w:pPr>
              <w:spacing w:after="0"/>
              <w:rPr>
                <w:sz w:val="1"/>
                <w:szCs w:val="1"/>
                <w:color w:val="auto"/>
              </w:rPr>
            </w:pPr>
          </w:p>
        </w:tc>
      </w:tr>
      <w:tr>
        <w:trPr>
          <w:trHeight w:val="209"/>
        </w:trPr>
        <w:tc>
          <w:tcPr>
            <w:tcW w:w="5500" w:type="dxa"/>
            <w:vAlign w:val="bottom"/>
          </w:tcPr>
          <w:p>
            <w:pPr>
              <w:ind w:left="360"/>
              <w:spacing w:after="0"/>
              <w:rPr>
                <w:sz w:val="20"/>
                <w:szCs w:val="20"/>
                <w:color w:val="auto"/>
              </w:rPr>
            </w:pPr>
            <w:r>
              <w:rPr>
                <w:rFonts w:ascii="Arial" w:cs="Arial" w:eastAsia="Arial" w:hAnsi="Arial"/>
                <w:sz w:val="16"/>
                <w:szCs w:val="16"/>
                <w:color w:val="auto"/>
              </w:rPr>
              <w:t>Total Statutory</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6,484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12,630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9,324</w:t>
            </w:r>
          </w:p>
        </w:tc>
        <w:tc>
          <w:tcPr>
            <w:tcW w:w="0" w:type="dxa"/>
            <w:vAlign w:val="bottom"/>
          </w:tcPr>
          <w:p>
            <w:pPr>
              <w:spacing w:after="0"/>
              <w:rPr>
                <w:sz w:val="1"/>
                <w:szCs w:val="1"/>
                <w:color w:val="auto"/>
              </w:rPr>
            </w:pPr>
          </w:p>
        </w:tc>
      </w:tr>
      <w:tr>
        <w:trPr>
          <w:trHeight w:val="217"/>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Adjustments for GAAP:</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00" w:type="dxa"/>
            <w:vAlign w:val="bottom"/>
          </w:tcPr>
          <w:p>
            <w:pPr>
              <w:ind w:left="20"/>
              <w:spacing w:after="0"/>
              <w:rPr>
                <w:sz w:val="20"/>
                <w:szCs w:val="20"/>
                <w:color w:val="auto"/>
              </w:rPr>
            </w:pPr>
            <w:r>
              <w:rPr>
                <w:rFonts w:ascii="Arial" w:cs="Arial" w:eastAsia="Arial" w:hAnsi="Arial"/>
                <w:sz w:val="16"/>
                <w:szCs w:val="16"/>
                <w:color w:val="auto"/>
              </w:rPr>
              <w:t>Foreign operations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217"/>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gains on retroactive reinsurance</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500" w:type="dxa"/>
            <w:vAlign w:val="bottom"/>
          </w:tcPr>
          <w:p>
            <w:pPr>
              <w:ind w:left="20"/>
              <w:spacing w:after="0"/>
              <w:rPr>
                <w:sz w:val="20"/>
                <w:szCs w:val="20"/>
                <w:color w:val="auto"/>
              </w:rPr>
            </w:pPr>
            <w:r>
              <w:rPr>
                <w:rFonts w:ascii="Arial" w:cs="Arial" w:eastAsia="Arial" w:hAnsi="Arial"/>
                <w:sz w:val="16"/>
                <w:szCs w:val="16"/>
                <w:color w:val="auto"/>
              </w:rPr>
              <w:t>Loss reserve discounting</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9"/>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Adjustments for GAAP</w:t>
            </w: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457</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35"/>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GAAP Reserves and Premiums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6,672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13,087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9,656</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right="220"/>
        <w:spacing w:after="0" w:line="301" w:lineRule="auto"/>
        <w:rPr>
          <w:sz w:val="20"/>
          <w:szCs w:val="20"/>
          <w:color w:val="auto"/>
        </w:rPr>
      </w:pPr>
      <w:r>
        <w:rPr>
          <w:rFonts w:ascii="Arial" w:cs="Arial" w:eastAsia="Arial" w:hAnsi="Arial"/>
          <w:sz w:val="17"/>
          <w:szCs w:val="17"/>
          <w:color w:val="auto"/>
        </w:rPr>
        <w:t>While current factors and reasonably likely changes in variable factors are considered in estimating the liability for unpaid losses and LAE, there is no method or system that can eliminate the risk of actual ultimate results differing from such estimates.</w:t>
      </w:r>
    </w:p>
    <w:p>
      <w:pPr>
        <w:spacing w:after="0" w:line="171" w:lineRule="exact"/>
        <w:rPr>
          <w:sz w:val="20"/>
          <w:szCs w:val="20"/>
          <w:color w:val="auto"/>
        </w:rPr>
      </w:pPr>
    </w:p>
    <w:p>
      <w:pPr>
        <w:ind w:right="620"/>
        <w:spacing w:after="0" w:line="284" w:lineRule="auto"/>
        <w:rPr>
          <w:sz w:val="20"/>
          <w:szCs w:val="20"/>
          <w:color w:val="auto"/>
        </w:rPr>
      </w:pPr>
      <w:r>
        <w:rPr>
          <w:rFonts w:ascii="Arial" w:cs="Arial" w:eastAsia="Arial" w:hAnsi="Arial"/>
          <w:sz w:val="17"/>
          <w:szCs w:val="17"/>
          <w:color w:val="auto"/>
        </w:rPr>
        <w:t>Following is a discussion of certain critical variables affecting the estimation of loss reserves of the more significant long-tail lines of business (asbestos and environmental liabilities are separately discussed below). Many other variables may also impact ultimate claim costs.</w:t>
      </w:r>
    </w:p>
    <w:p>
      <w:pPr>
        <w:spacing w:after="0" w:line="185"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An important assumption underlying reserve estimates is that the cost trends implicitly built into development patterns will continue into the future. However, future results could vary due to an unexpected change in the underlying cost trends. This unexpected change could arise from a variety of sources including a general increase in economic inflation, social inflation, new medical technologies, or other factors such as those listed below in connection with AFG’s largest lines of business. It is not possible to isolate and measure the potential impact of just one of these variables, and future cost trends could be partially impacted by several such variables. However, it is reasonable to address the sensitivity of the reserves to potential impact from changes in these variables by measuring the effect of a possible overall 1% change in future cost trends that may be caused by one or more variables. Utilizing the effect of a 1% change in overall cost trends enables changes greater than 1% to be estimated by extrapolation. Each additional 1% change in the cost trend would increase the effect on net earnings by an amount slightly (about 5%) greater than the effect of the previous 1%. For example, if a 1% change in cost trends in a line of business would change net earnings by $20 million, a 2% change would change net earnings by approximately $41 million.</w:t>
      </w:r>
    </w:p>
    <w:p>
      <w:pPr>
        <w:spacing w:after="0" w:line="210"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color w:val="auto"/>
        </w:rPr>
        <w:t>The estimated cumulative adverse impact that a 1% change in cost trends in AFG’s more significant long-tail lines of property and casualty business (exceeding 5% of total reserves) would have on net earnings is shown below (in millions).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83"/>
              <w:spacing w:after="0"/>
              <w:rPr>
                <w:sz w:val="20"/>
                <w:szCs w:val="20"/>
                <w:color w:val="auto"/>
              </w:rPr>
            </w:pPr>
            <w:r>
              <w:rPr>
                <w:rFonts w:ascii="Arial" w:cs="Arial" w:eastAsia="Arial" w:hAnsi="Arial"/>
                <w:sz w:val="14"/>
                <w:szCs w:val="14"/>
                <w:color w:val="auto"/>
              </w:rPr>
              <w:t>Effect of 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960" w:type="dxa"/>
            <w:vAlign w:val="bottom"/>
            <w:gridSpan w:val="2"/>
            <w:vMerge w:val="restart"/>
          </w:tcPr>
          <w:p>
            <w:pPr>
              <w:spacing w:after="0"/>
              <w:rPr>
                <w:sz w:val="20"/>
                <w:szCs w:val="20"/>
                <w:color w:val="auto"/>
              </w:rPr>
            </w:pPr>
            <w:r>
              <w:rPr>
                <w:rFonts w:ascii="Arial" w:cs="Arial" w:eastAsia="Arial" w:hAnsi="Arial"/>
                <w:sz w:val="16"/>
                <w:szCs w:val="16"/>
                <w:color w:val="auto"/>
              </w:rPr>
              <w:t>Line of business</w:t>
            </w:r>
          </w:p>
        </w:tc>
        <w:tc>
          <w:tcPr>
            <w:tcW w:w="160" w:type="dxa"/>
            <w:vAlign w:val="bottom"/>
          </w:tcPr>
          <w:p>
            <w:pPr>
              <w:spacing w:after="0"/>
              <w:rPr>
                <w:sz w:val="12"/>
                <w:szCs w:val="12"/>
                <w:color w:val="auto"/>
              </w:rPr>
            </w:pPr>
          </w:p>
        </w:tc>
        <w:tc>
          <w:tcPr>
            <w:tcW w:w="1060" w:type="dxa"/>
            <w:vAlign w:val="bottom"/>
          </w:tcPr>
          <w:p>
            <w:pPr>
              <w:jc w:val="center"/>
              <w:ind w:right="83"/>
              <w:spacing w:after="0" w:line="145" w:lineRule="exact"/>
              <w:rPr>
                <w:sz w:val="20"/>
                <w:szCs w:val="20"/>
                <w:color w:val="auto"/>
              </w:rPr>
            </w:pPr>
            <w:r>
              <w:rPr>
                <w:rFonts w:ascii="Arial" w:cs="Arial" w:eastAsia="Arial" w:hAnsi="Arial"/>
                <w:sz w:val="14"/>
                <w:szCs w:val="14"/>
                <w:color w:val="auto"/>
              </w:rPr>
              <w:t>Change in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ind w:right="83"/>
              <w:spacing w:after="0" w:line="149" w:lineRule="exact"/>
              <w:rPr>
                <w:sz w:val="20"/>
                <w:szCs w:val="20"/>
                <w:color w:val="auto"/>
              </w:rPr>
            </w:pPr>
            <w:r>
              <w:rPr>
                <w:rFonts w:ascii="Arial" w:cs="Arial" w:eastAsia="Arial" w:hAnsi="Arial"/>
                <w:sz w:val="14"/>
                <w:szCs w:val="14"/>
                <w:color w:val="auto"/>
              </w:rPr>
              <w:t>Cost Trends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8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9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liability — occurrence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960" w:type="dxa"/>
            <w:vAlign w:val="bottom"/>
            <w:gridSpan w:val="2"/>
          </w:tcPr>
          <w:p>
            <w:pPr>
              <w:spacing w:after="0"/>
              <w:rPr>
                <w:sz w:val="20"/>
                <w:szCs w:val="20"/>
                <w:color w:val="auto"/>
              </w:rPr>
            </w:pPr>
            <w:r>
              <w:rPr>
                <w:rFonts w:ascii="Arial" w:cs="Arial" w:eastAsia="Arial" w:hAnsi="Arial"/>
                <w:sz w:val="16"/>
                <w:szCs w:val="16"/>
                <w:color w:val="auto"/>
              </w:rPr>
              <w:t>Workers’ compensation</w:t>
            </w:r>
          </w:p>
        </w:tc>
        <w:tc>
          <w:tcPr>
            <w:tcW w:w="160" w:type="dxa"/>
            <w:vAlign w:val="bottom"/>
          </w:tcPr>
          <w:p>
            <w:pPr>
              <w:spacing w:after="0"/>
              <w:rPr>
                <w:sz w:val="18"/>
                <w:szCs w:val="18"/>
                <w:color w:val="auto"/>
              </w:rPr>
            </w:pP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9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liability — claims made</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960" w:type="dxa"/>
            <w:vAlign w:val="bottom"/>
            <w:gridSpan w:val="2"/>
          </w:tcPr>
          <w:p>
            <w:pPr>
              <w:spacing w:after="0"/>
              <w:rPr>
                <w:sz w:val="20"/>
                <w:szCs w:val="20"/>
                <w:color w:val="auto"/>
              </w:rPr>
            </w:pPr>
            <w:r>
              <w:rPr>
                <w:rFonts w:ascii="Arial" w:cs="Arial" w:eastAsia="Arial" w:hAnsi="Arial"/>
                <w:sz w:val="16"/>
                <w:szCs w:val="16"/>
                <w:color w:val="auto"/>
              </w:rPr>
              <w:t>Commercial auto/truck liability/medical</w:t>
            </w:r>
          </w:p>
        </w:tc>
        <w:tc>
          <w:tcPr>
            <w:tcW w:w="160" w:type="dxa"/>
            <w:vAlign w:val="bottom"/>
          </w:tcPr>
          <w:p>
            <w:pPr>
              <w:spacing w:after="0"/>
              <w:rPr>
                <w:sz w:val="18"/>
                <w:szCs w:val="18"/>
                <w:color w:val="auto"/>
              </w:rPr>
            </w:pP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300"/>
        <w:spacing w:after="0" w:line="266" w:lineRule="auto"/>
        <w:rPr>
          <w:sz w:val="20"/>
          <w:szCs w:val="20"/>
          <w:color w:val="auto"/>
        </w:rPr>
      </w:pPr>
      <w:r>
        <w:rPr>
          <w:rFonts w:ascii="Arial" w:cs="Arial" w:eastAsia="Arial" w:hAnsi="Arial"/>
          <w:sz w:val="17"/>
          <w:szCs w:val="17"/>
          <w:color w:val="auto"/>
        </w:rPr>
        <w:t>The judgments and uncertainties surrounding management’s reserve estimation process and the potential for reasonably possible variability in management’s most recent reserve estimates may also be viewed by looking at how recent historical estimates of reserves have developed. The following table shows (dollars in millions) what the impact on AFG’s net earnings would be on the more significant lines of business if the December 31, 2023, reserves (net of reinsurance) were to develop at the same rate as the average development of the most recent five years.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120" w:type="dxa"/>
            <w:vAlign w:val="bottom"/>
            <w:gridSpan w:val="3"/>
          </w:tcPr>
          <w:p>
            <w:pPr>
              <w:jc w:val="center"/>
              <w:ind w:right="179"/>
              <w:spacing w:after="0"/>
              <w:rPr>
                <w:sz w:val="20"/>
                <w:szCs w:val="20"/>
                <w:color w:val="auto"/>
              </w:rPr>
            </w:pPr>
            <w:r>
              <w:rPr>
                <w:rFonts w:ascii="Arial" w:cs="Arial" w:eastAsia="Arial" w:hAnsi="Arial"/>
                <w:sz w:val="14"/>
                <w:szCs w:val="14"/>
                <w:color w:val="auto"/>
              </w:rPr>
              <w:t>5-yr. Average</w:t>
            </w: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color w:val="auto"/>
              </w:rPr>
              <w:t>Net Reserves (b)</w:t>
            </w:r>
          </w:p>
        </w:tc>
        <w:tc>
          <w:tcPr>
            <w:tcW w:w="200" w:type="dxa"/>
            <w:vAlign w:val="bottom"/>
          </w:tcPr>
          <w:p>
            <w:pPr>
              <w:spacing w:after="0"/>
              <w:rPr>
                <w:sz w:val="14"/>
                <w:szCs w:val="14"/>
                <w:color w:val="auto"/>
              </w:rPr>
            </w:pPr>
          </w:p>
        </w:tc>
        <w:tc>
          <w:tcPr>
            <w:tcW w:w="1300" w:type="dxa"/>
            <w:vAlign w:val="bottom"/>
          </w:tcPr>
          <w:p>
            <w:pPr>
              <w:jc w:val="right"/>
              <w:ind w:right="262"/>
              <w:spacing w:after="0"/>
              <w:rPr>
                <w:sz w:val="20"/>
                <w:szCs w:val="20"/>
                <w:color w:val="auto"/>
              </w:rPr>
            </w:pPr>
            <w:r>
              <w:rPr>
                <w:rFonts w:ascii="Arial" w:cs="Arial" w:eastAsia="Arial" w:hAnsi="Arial"/>
                <w:sz w:val="14"/>
                <w:szCs w:val="14"/>
                <w:color w:val="auto"/>
              </w:rPr>
              <w:t>Effect on Net</w:t>
            </w:r>
          </w:p>
        </w:tc>
      </w:tr>
      <w:tr>
        <w:trPr>
          <w:trHeight w:val="185"/>
        </w:trPr>
        <w:tc>
          <w:tcPr>
            <w:tcW w:w="6000" w:type="dxa"/>
            <w:vAlign w:val="bottom"/>
          </w:tcPr>
          <w:p>
            <w:pPr>
              <w:spacing w:after="0"/>
              <w:rPr>
                <w:sz w:val="16"/>
                <w:szCs w:val="16"/>
                <w:color w:val="auto"/>
              </w:rPr>
            </w:pPr>
          </w:p>
        </w:tc>
        <w:tc>
          <w:tcPr>
            <w:tcW w:w="2120" w:type="dxa"/>
            <w:vAlign w:val="bottom"/>
            <w:gridSpan w:val="3"/>
          </w:tcPr>
          <w:p>
            <w:pPr>
              <w:jc w:val="center"/>
              <w:ind w:right="159"/>
              <w:spacing w:after="0"/>
              <w:rPr>
                <w:sz w:val="20"/>
                <w:szCs w:val="20"/>
                <w:color w:val="auto"/>
              </w:rPr>
            </w:pPr>
            <w:r>
              <w:rPr>
                <w:rFonts w:ascii="Arial" w:cs="Arial" w:eastAsia="Arial" w:hAnsi="Arial"/>
                <w:sz w:val="14"/>
                <w:szCs w:val="14"/>
                <w:color w:val="auto"/>
              </w:rPr>
              <w:t>Development (a)(b)</w:t>
            </w: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color w:val="auto"/>
              </w:rPr>
              <w:t>December 31, 2023</w:t>
            </w:r>
          </w:p>
        </w:tc>
        <w:tc>
          <w:tcPr>
            <w:tcW w:w="200" w:type="dxa"/>
            <w:vAlign w:val="bottom"/>
          </w:tcPr>
          <w:p>
            <w:pPr>
              <w:spacing w:after="0"/>
              <w:rPr>
                <w:sz w:val="16"/>
                <w:szCs w:val="16"/>
                <w:color w:val="auto"/>
              </w:rPr>
            </w:pPr>
          </w:p>
        </w:tc>
        <w:tc>
          <w:tcPr>
            <w:tcW w:w="1300" w:type="dxa"/>
            <w:vAlign w:val="bottom"/>
          </w:tcPr>
          <w:p>
            <w:pPr>
              <w:jc w:val="right"/>
              <w:ind w:right="182"/>
              <w:spacing w:after="0"/>
              <w:rPr>
                <w:sz w:val="20"/>
                <w:szCs w:val="20"/>
                <w:color w:val="auto"/>
              </w:rPr>
            </w:pPr>
            <w:r>
              <w:rPr>
                <w:rFonts w:ascii="Arial" w:cs="Arial" w:eastAsia="Arial" w:hAnsi="Arial"/>
                <w:sz w:val="14"/>
                <w:szCs w:val="14"/>
                <w:color w:val="auto"/>
              </w:rPr>
              <w:t>Earnings (a)(b)</w:t>
            </w:r>
          </w:p>
        </w:tc>
      </w:tr>
      <w:tr>
        <w:trPr>
          <w:trHeight w:val="209"/>
        </w:trPr>
        <w:tc>
          <w:tcPr>
            <w:tcW w:w="6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liability — occurrence</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102</w:t>
            </w:r>
          </w:p>
        </w:tc>
      </w:tr>
      <w:tr>
        <w:trPr>
          <w:trHeight w:val="215"/>
        </w:trPr>
        <w:tc>
          <w:tcPr>
            <w:tcW w:w="6000" w:type="dxa"/>
            <w:vAlign w:val="bottom"/>
          </w:tcPr>
          <w:p>
            <w:pPr>
              <w:ind w:left="20"/>
              <w:spacing w:after="0"/>
              <w:rPr>
                <w:sz w:val="20"/>
                <w:szCs w:val="20"/>
                <w:color w:val="auto"/>
              </w:rPr>
            </w:pPr>
            <w:r>
              <w:rPr>
                <w:rFonts w:ascii="Arial" w:cs="Arial" w:eastAsia="Arial" w:hAnsi="Arial"/>
                <w:sz w:val="16"/>
                <w:szCs w:val="16"/>
                <w:color w:val="auto"/>
              </w:rPr>
              <w:t>Workers’ compensation</w:t>
            </w:r>
          </w:p>
        </w:tc>
        <w:tc>
          <w:tcPr>
            <w:tcW w:w="1860" w:type="dxa"/>
            <w:vAlign w:val="bottom"/>
          </w:tcPr>
          <w:p>
            <w:pPr>
              <w:jc w:val="right"/>
              <w:spacing w:after="0"/>
              <w:rPr>
                <w:sz w:val="20"/>
                <w:szCs w:val="20"/>
                <w:color w:val="auto"/>
              </w:rPr>
            </w:pPr>
            <w:r>
              <w:rPr>
                <w:rFonts w:ascii="Arial" w:cs="Arial" w:eastAsia="Arial" w:hAnsi="Arial"/>
                <w:sz w:val="16"/>
                <w:szCs w:val="16"/>
                <w:color w:val="auto"/>
              </w:rPr>
              <w:t>(5.9 %)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2,127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217"/>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liability — claims made</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5"/>
        </w:trPr>
        <w:tc>
          <w:tcPr>
            <w:tcW w:w="6000" w:type="dxa"/>
            <w:vAlign w:val="bottom"/>
          </w:tcPr>
          <w:p>
            <w:pPr>
              <w:ind w:left="20"/>
              <w:spacing w:after="0"/>
              <w:rPr>
                <w:sz w:val="20"/>
                <w:szCs w:val="20"/>
                <w:color w:val="auto"/>
              </w:rPr>
            </w:pPr>
            <w:r>
              <w:rPr>
                <w:rFonts w:ascii="Arial" w:cs="Arial" w:eastAsia="Arial" w:hAnsi="Arial"/>
                <w:sz w:val="16"/>
                <w:szCs w:val="16"/>
                <w:color w:val="auto"/>
              </w:rPr>
              <w:t>Commercial auto/truck liability/medical</w:t>
            </w:r>
          </w:p>
        </w:tc>
        <w:tc>
          <w:tcPr>
            <w:tcW w:w="1860" w:type="dxa"/>
            <w:vAlign w:val="bottom"/>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2"/>
              <w:spacing w:after="0"/>
              <w:rPr>
                <w:sz w:val="20"/>
                <w:szCs w:val="20"/>
                <w:color w:val="auto"/>
              </w:rPr>
            </w:pPr>
            <w:r>
              <w:rPr>
                <w:rFonts w:ascii="Arial" w:cs="Arial" w:eastAsia="Arial" w:hAnsi="Arial"/>
                <w:sz w:val="16"/>
                <w:szCs w:val="16"/>
                <w:color w:val="auto"/>
              </w:rPr>
              <w:t>8</w:t>
            </w:r>
          </w:p>
        </w:tc>
      </w:tr>
    </w:tbl>
    <w:p>
      <w:pPr>
        <w:spacing w:after="0" w:line="141" w:lineRule="exact"/>
        <w:rPr>
          <w:sz w:val="20"/>
          <w:szCs w:val="20"/>
          <w:color w:val="auto"/>
        </w:rPr>
      </w:pPr>
    </w:p>
    <w:p>
      <w:pPr>
        <w:ind w:left="400" w:hanging="392"/>
        <w:spacing w:after="0"/>
        <w:tabs>
          <w:tab w:leader="none" w:pos="4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Adverse (favorable), net of tax effect.</w:t>
      </w:r>
    </w:p>
    <w:p>
      <w:pPr>
        <w:spacing w:after="0" w:line="23" w:lineRule="exact"/>
        <w:rPr>
          <w:rFonts w:ascii="Arial" w:cs="Arial" w:eastAsia="Arial" w:hAnsi="Arial"/>
          <w:sz w:val="17"/>
          <w:szCs w:val="17"/>
          <w:color w:val="auto"/>
        </w:rPr>
      </w:pPr>
    </w:p>
    <w:p>
      <w:pPr>
        <w:ind w:left="400" w:hanging="392"/>
        <w:spacing w:after="0"/>
        <w:tabs>
          <w:tab w:leader="none" w:pos="4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Excludes asbestos and environmental liabilities.</w:t>
      </w:r>
    </w:p>
    <w:p>
      <w:pPr>
        <w:spacing w:after="0" w:line="234" w:lineRule="exact"/>
        <w:rPr>
          <w:sz w:val="20"/>
          <w:szCs w:val="20"/>
          <w:color w:val="auto"/>
        </w:rPr>
      </w:pPr>
    </w:p>
    <w:p>
      <w:pPr>
        <w:ind w:right="380"/>
        <w:spacing w:after="0" w:line="301" w:lineRule="auto"/>
        <w:rPr>
          <w:sz w:val="20"/>
          <w:szCs w:val="20"/>
          <w:color w:val="auto"/>
        </w:rPr>
      </w:pPr>
      <w:r>
        <w:rPr>
          <w:rFonts w:ascii="Arial" w:cs="Arial" w:eastAsia="Arial" w:hAnsi="Arial"/>
          <w:sz w:val="17"/>
          <w:szCs w:val="17"/>
          <w:color w:val="auto"/>
        </w:rPr>
        <w:t>The following discussion describes key assumptions and important variables that affect the estimate of the reserve for loss and LAE of the more significant lines of business and explains what caused them to change from assumptions used in the preceding period.</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274E"/>
        </w:rPr>
        <w:t>Other Liability — Occurrence</w:t>
      </w:r>
    </w:p>
    <w:p>
      <w:pPr>
        <w:spacing w:after="0" w:line="242"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This long-tail line of business consists of coverages protecting the insured against legal liability resulting from negligence, carelessness, or a failure to act causing property damage or personal injury to others. Some of the important variables affecting estimation of loss reserves for other liability — occurrence include:</w:t>
      </w:r>
    </w:p>
    <w:p>
      <w:pPr>
        <w:spacing w:after="0" w:line="2"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Litigious climate</w:t>
      </w:r>
    </w:p>
    <w:p>
      <w:pPr>
        <w:spacing w:after="0" w:line="7" w:lineRule="exact"/>
        <w:rPr>
          <w:rFonts w:ascii="Arial" w:cs="Arial" w:eastAsia="Arial" w:hAnsi="Arial"/>
          <w:sz w:val="17"/>
          <w:szCs w:val="17"/>
          <w:color w:val="auto"/>
        </w:rPr>
      </w:pPr>
    </w:p>
    <w:p>
      <w:pPr>
        <w:ind w:left="640" w:hanging="308"/>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Unpredictability of judicial decisions regarding coverage issues</w:t>
      </w:r>
    </w:p>
    <w:p>
      <w:pPr>
        <w:spacing w:after="0" w:line="7" w:lineRule="exact"/>
        <w:rPr>
          <w:rFonts w:ascii="Arial" w:cs="Arial" w:eastAsia="Arial" w:hAnsi="Arial"/>
          <w:sz w:val="17"/>
          <w:szCs w:val="17"/>
          <w:color w:val="auto"/>
        </w:rPr>
      </w:pPr>
    </w:p>
    <w:p>
      <w:pPr>
        <w:ind w:left="640" w:hanging="308"/>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Magnitude of jury awards</w:t>
      </w:r>
    </w:p>
    <w:p>
      <w:pPr>
        <w:spacing w:after="0" w:line="13" w:lineRule="exact"/>
        <w:rPr>
          <w:rFonts w:ascii="Arial" w:cs="Arial" w:eastAsia="Arial" w:hAnsi="Arial"/>
          <w:sz w:val="17"/>
          <w:szCs w:val="17"/>
          <w:color w:val="auto"/>
        </w:rPr>
      </w:pPr>
    </w:p>
    <w:p>
      <w:pPr>
        <w:ind w:left="640" w:hanging="308"/>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Outside counsel costs</w:t>
      </w:r>
    </w:p>
    <w:p>
      <w:pPr>
        <w:spacing w:after="0" w:line="14" w:lineRule="exact"/>
        <w:rPr>
          <w:rFonts w:ascii="Arial" w:cs="Arial" w:eastAsia="Arial" w:hAnsi="Arial"/>
          <w:sz w:val="17"/>
          <w:szCs w:val="17"/>
          <w:color w:val="auto"/>
        </w:rPr>
      </w:pPr>
    </w:p>
    <w:p>
      <w:pPr>
        <w:ind w:left="640" w:hanging="308"/>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Timing of claims reporting</w:t>
      </w:r>
    </w:p>
    <w:p>
      <w:pPr>
        <w:spacing w:after="0" w:line="234"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AFG recorded adverse prior year reserve development of $96 million in 2023, $109 million in 2022 and $39 million in 2021 related to its other liability — occurrence coverage due primarily to continued claim severity increases in excess and umbrella liability coverages.</w:t>
      </w:r>
    </w:p>
    <w:p>
      <w:pPr>
        <w:spacing w:after="0" w:line="185" w:lineRule="exact"/>
        <w:rPr>
          <w:sz w:val="20"/>
          <w:szCs w:val="20"/>
          <w:color w:val="auto"/>
        </w:rPr>
      </w:pPr>
    </w:p>
    <w:p>
      <w:pPr>
        <w:jc w:val="both"/>
        <w:ind w:right="120"/>
        <w:spacing w:after="0" w:line="274" w:lineRule="auto"/>
        <w:rPr>
          <w:sz w:val="20"/>
          <w:szCs w:val="20"/>
          <w:color w:val="auto"/>
        </w:rPr>
      </w:pPr>
      <w:r>
        <w:rPr>
          <w:rFonts w:ascii="Arial" w:cs="Arial" w:eastAsia="Arial" w:hAnsi="Arial"/>
          <w:sz w:val="17"/>
          <w:szCs w:val="17"/>
          <w:color w:val="auto"/>
        </w:rPr>
        <w:t xml:space="preserve">While management applies the actuarial methods discussed in </w:t>
      </w:r>
      <w:r>
        <w:rPr>
          <w:rFonts w:ascii="Arial" w:cs="Arial" w:eastAsia="Arial" w:hAnsi="Arial"/>
          <w:sz w:val="17"/>
          <w:szCs w:val="17"/>
          <w:i w:val="1"/>
          <w:iCs w:val="1"/>
          <w:color w:val="auto"/>
        </w:rPr>
        <w:t>Note O — “Insurance — Property and Casualty Insurance Reserves”</w:t>
      </w:r>
      <w:r>
        <w:rPr>
          <w:rFonts w:ascii="Arial" w:cs="Arial" w:eastAsia="Arial" w:hAnsi="Arial"/>
          <w:sz w:val="17"/>
          <w:szCs w:val="17"/>
          <w:color w:val="auto"/>
        </w:rPr>
        <w:t xml:space="preserve"> to the financial statements, more judgment is involved in arriving at the final reserve to be held. For recent accident years, more weight is given to the Bornhuetter-Ferguson method.</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274E"/>
        </w:rPr>
        <w:t>Workers’ Compensation</w:t>
      </w:r>
    </w:p>
    <w:p>
      <w:pPr>
        <w:spacing w:after="0" w:line="242" w:lineRule="exact"/>
        <w:rPr>
          <w:sz w:val="20"/>
          <w:szCs w:val="20"/>
          <w:color w:val="auto"/>
        </w:rPr>
      </w:pPr>
    </w:p>
    <w:p>
      <w:pPr>
        <w:ind w:right="300"/>
        <w:spacing w:after="0" w:line="266" w:lineRule="auto"/>
        <w:rPr>
          <w:sz w:val="20"/>
          <w:szCs w:val="20"/>
          <w:color w:val="auto"/>
        </w:rPr>
      </w:pPr>
      <w:r>
        <w:rPr>
          <w:rFonts w:ascii="Arial" w:cs="Arial" w:eastAsia="Arial" w:hAnsi="Arial"/>
          <w:sz w:val="17"/>
          <w:szCs w:val="17"/>
          <w:color w:val="auto"/>
        </w:rPr>
        <w:t>This long-tail line of business provides coverage to employees who may be injured in the course of employment. Some of the important variables affecting estimation of loss reserves for workers’ compensation include:</w:t>
      </w:r>
    </w:p>
    <w:p>
      <w:pPr>
        <w:spacing w:after="0" w:line="1" w:lineRule="exact"/>
        <w:rPr>
          <w:sz w:val="20"/>
          <w:szCs w:val="20"/>
          <w:color w:val="auto"/>
        </w:rPr>
      </w:pPr>
    </w:p>
    <w:p>
      <w:pPr>
        <w:ind w:left="640" w:hanging="308"/>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Legislative actions and regulatory and legal interpretations</w:t>
      </w:r>
    </w:p>
    <w:p>
      <w:pPr>
        <w:spacing w:after="0" w:line="7" w:lineRule="exact"/>
        <w:rPr>
          <w:rFonts w:ascii="Arial" w:cs="Arial" w:eastAsia="Arial" w:hAnsi="Arial"/>
          <w:sz w:val="17"/>
          <w:szCs w:val="17"/>
          <w:color w:val="auto"/>
        </w:rPr>
      </w:pPr>
    </w:p>
    <w:p>
      <w:pPr>
        <w:ind w:left="640" w:hanging="308"/>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Future medical cost inflation</w:t>
      </w:r>
    </w:p>
    <w:p>
      <w:pPr>
        <w:spacing w:after="0" w:line="7" w:lineRule="exact"/>
        <w:rPr>
          <w:rFonts w:ascii="Arial" w:cs="Arial" w:eastAsia="Arial" w:hAnsi="Arial"/>
          <w:sz w:val="17"/>
          <w:szCs w:val="17"/>
          <w:color w:val="auto"/>
        </w:rPr>
      </w:pPr>
    </w:p>
    <w:p>
      <w:pPr>
        <w:ind w:left="640" w:hanging="308"/>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Economic conditions</w:t>
      </w:r>
    </w:p>
    <w:p>
      <w:pPr>
        <w:spacing w:after="0" w:line="7" w:lineRule="exact"/>
        <w:rPr>
          <w:rFonts w:ascii="Arial" w:cs="Arial" w:eastAsia="Arial" w:hAnsi="Arial"/>
          <w:sz w:val="17"/>
          <w:szCs w:val="17"/>
          <w:color w:val="auto"/>
        </w:rPr>
      </w:pPr>
    </w:p>
    <w:p>
      <w:pPr>
        <w:ind w:left="640" w:hanging="308"/>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Frequency of reopening claims previously closed</w:t>
      </w:r>
    </w:p>
    <w:p>
      <w:pPr>
        <w:spacing w:after="0" w:line="13" w:lineRule="exact"/>
        <w:rPr>
          <w:rFonts w:ascii="Arial" w:cs="Arial" w:eastAsia="Arial" w:hAnsi="Arial"/>
          <w:sz w:val="17"/>
          <w:szCs w:val="17"/>
          <w:color w:val="auto"/>
        </w:rPr>
      </w:pPr>
    </w:p>
    <w:p>
      <w:pPr>
        <w:ind w:left="640" w:hanging="308"/>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Advances in medical equipment and processes</w:t>
      </w:r>
    </w:p>
    <w:p>
      <w:pPr>
        <w:spacing w:after="0" w:line="14" w:lineRule="exact"/>
        <w:rPr>
          <w:rFonts w:ascii="Arial" w:cs="Arial" w:eastAsia="Arial" w:hAnsi="Arial"/>
          <w:sz w:val="17"/>
          <w:szCs w:val="17"/>
          <w:color w:val="auto"/>
        </w:rPr>
      </w:pPr>
    </w:p>
    <w:p>
      <w:pPr>
        <w:ind w:left="640" w:hanging="308"/>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Pace and intensity of employee rehabilitation</w:t>
      </w:r>
    </w:p>
    <w:p>
      <w:pPr>
        <w:spacing w:after="0" w:line="7" w:lineRule="exact"/>
        <w:rPr>
          <w:rFonts w:ascii="Arial" w:cs="Arial" w:eastAsia="Arial" w:hAnsi="Arial"/>
          <w:sz w:val="17"/>
          <w:szCs w:val="17"/>
          <w:color w:val="auto"/>
        </w:rPr>
      </w:pPr>
    </w:p>
    <w:p>
      <w:pPr>
        <w:ind w:left="640" w:hanging="308"/>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in the use of pharmaceutical drugs</w:t>
      </w:r>
    </w:p>
    <w:p>
      <w:pPr>
        <w:spacing w:after="0" w:line="7" w:lineRule="exact"/>
        <w:rPr>
          <w:rFonts w:ascii="Arial" w:cs="Arial" w:eastAsia="Arial" w:hAnsi="Arial"/>
          <w:sz w:val="17"/>
          <w:szCs w:val="17"/>
          <w:color w:val="auto"/>
        </w:rPr>
      </w:pPr>
    </w:p>
    <w:p>
      <w:pPr>
        <w:ind w:left="640" w:hanging="308"/>
        <w:spacing w:after="0"/>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in mortality trends for permanently injured workers</w:t>
      </w:r>
    </w:p>
    <w:p>
      <w:pPr>
        <w:spacing w:after="0" w:line="234" w:lineRule="exact"/>
        <w:rPr>
          <w:sz w:val="20"/>
          <w:szCs w:val="20"/>
          <w:color w:val="auto"/>
        </w:rPr>
      </w:pPr>
    </w:p>
    <w:p>
      <w:pPr>
        <w:ind w:right="360"/>
        <w:spacing w:after="0" w:line="301" w:lineRule="auto"/>
        <w:rPr>
          <w:sz w:val="20"/>
          <w:szCs w:val="20"/>
          <w:color w:val="auto"/>
        </w:rPr>
      </w:pPr>
      <w:r>
        <w:rPr>
          <w:rFonts w:ascii="Arial" w:cs="Arial" w:eastAsia="Arial" w:hAnsi="Arial"/>
          <w:sz w:val="17"/>
          <w:szCs w:val="17"/>
          <w:color w:val="auto"/>
        </w:rPr>
        <w:t>Approximately 26% and 25% of AFG’s workers’ compensation reserves at December 31, 2023 relate to policies written in Florida and California, respectively.</w:t>
      </w:r>
    </w:p>
    <w:p>
      <w:pPr>
        <w:spacing w:after="0" w:line="171"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AFG recorded favorable prior year reserve development of $116 million in 2023, $189 million in 2022 and $169 million in 2021, related to its workers’ compensation coverage due to lower than anticipated medical severity.</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274E"/>
        </w:rPr>
        <w:t>Other Liability — Claims Made</w:t>
      </w:r>
    </w:p>
    <w:p>
      <w:pPr>
        <w:spacing w:after="0" w:line="255"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This long-tail line of business consists mostly of directors’ and officers’ liability (“D&amp;O”). Some of the important variables affecting estimation of loss reserves for other liability — claims made include:</w:t>
      </w:r>
    </w:p>
    <w:p>
      <w:pPr>
        <w:spacing w:after="0" w:line="1"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Litigious climate</w:t>
      </w:r>
    </w:p>
    <w:p>
      <w:pPr>
        <w:spacing w:after="0" w:line="7" w:lineRule="exact"/>
        <w:rPr>
          <w:rFonts w:ascii="Arial" w:cs="Arial" w:eastAsia="Arial" w:hAnsi="Arial"/>
          <w:sz w:val="17"/>
          <w:szCs w:val="17"/>
          <w:color w:val="auto"/>
        </w:rPr>
      </w:pPr>
    </w:p>
    <w:p>
      <w:pPr>
        <w:ind w:left="640" w:hanging="308"/>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Economic conditions</w:t>
      </w:r>
    </w:p>
    <w:p>
      <w:pPr>
        <w:spacing w:after="0" w:line="7" w:lineRule="exact"/>
        <w:rPr>
          <w:rFonts w:ascii="Arial" w:cs="Arial" w:eastAsia="Arial" w:hAnsi="Arial"/>
          <w:sz w:val="17"/>
          <w:szCs w:val="17"/>
          <w:color w:val="auto"/>
        </w:rPr>
      </w:pPr>
    </w:p>
    <w:p>
      <w:pPr>
        <w:ind w:left="640" w:hanging="308"/>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Variability of stock prices</w:t>
      </w:r>
    </w:p>
    <w:p>
      <w:pPr>
        <w:spacing w:after="0" w:line="13" w:lineRule="exact"/>
        <w:rPr>
          <w:rFonts w:ascii="Arial" w:cs="Arial" w:eastAsia="Arial" w:hAnsi="Arial"/>
          <w:sz w:val="17"/>
          <w:szCs w:val="17"/>
          <w:color w:val="auto"/>
        </w:rPr>
      </w:pPr>
    </w:p>
    <w:p>
      <w:pPr>
        <w:ind w:left="640" w:hanging="308"/>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Magnitude of jury awards</w:t>
      </w:r>
    </w:p>
    <w:p>
      <w:pPr>
        <w:spacing w:after="0" w:line="133" w:lineRule="exact"/>
        <w:rPr>
          <w:sz w:val="20"/>
          <w:szCs w:val="20"/>
          <w:color w:val="auto"/>
        </w:rPr>
      </w:pPr>
    </w:p>
    <w:p>
      <w:pPr>
        <w:ind w:right="440"/>
        <w:spacing w:after="0" w:line="261" w:lineRule="auto"/>
        <w:rPr>
          <w:sz w:val="20"/>
          <w:szCs w:val="20"/>
          <w:color w:val="auto"/>
        </w:rPr>
      </w:pPr>
      <w:r>
        <w:rPr>
          <w:rFonts w:ascii="Arial" w:cs="Arial" w:eastAsia="Arial" w:hAnsi="Arial"/>
          <w:sz w:val="17"/>
          <w:szCs w:val="17"/>
          <w:color w:val="auto"/>
        </w:rPr>
        <w:t>The general state of the economy and the variability of the stock price of the insured can affect the frequency and severity of shareholder class action suits and other situations that trigger coverage under D&amp;O policies. For example, from 2008 to 2010, economic conditions led to higher frequency of claims, particularly in the D&amp;O policies for small account and not-for-profit organizations. After peaking in 2010, claim frequency decreased and stabilized to near pre-2008 levels until dropping sharply during the pandemic-related shutdowns. Post-pandemic, frequency has increased slightly but has not rebounded to pre-pandemic levels.</w:t>
      </w:r>
    </w:p>
    <w:p>
      <w:pPr>
        <w:spacing w:after="0" w:line="206" w:lineRule="exact"/>
        <w:rPr>
          <w:sz w:val="20"/>
          <w:szCs w:val="20"/>
          <w:color w:val="auto"/>
        </w:rPr>
      </w:pPr>
    </w:p>
    <w:p>
      <w:pPr>
        <w:ind w:right="280"/>
        <w:spacing w:after="0" w:line="301" w:lineRule="auto"/>
        <w:rPr>
          <w:sz w:val="20"/>
          <w:szCs w:val="20"/>
          <w:color w:val="auto"/>
        </w:rPr>
      </w:pPr>
      <w:r>
        <w:rPr>
          <w:rFonts w:ascii="Arial" w:cs="Arial" w:eastAsia="Arial" w:hAnsi="Arial"/>
          <w:sz w:val="17"/>
          <w:szCs w:val="17"/>
          <w:color w:val="auto"/>
        </w:rPr>
        <w:t>AFG recorded favorable prior year reserve development of $33 million in 2023, $24 million in 2022 and $2 million in 2021 on its D&amp;O business as claim frequency and severity were less than expected across several prior accident years.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274E"/>
        </w:rPr>
        <w:t>Commercial Auto/Truck Liability/Medical</w:t>
      </w:r>
    </w:p>
    <w:p>
      <w:pPr>
        <w:spacing w:after="0" w:line="242"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This line of business is a mix of coverage protecting the insured against legal liability for property damage or personal injury to others arising from the operation of commercial motor vehicles. The property damage liability exposure is usually short-tail with relatively prompt reporting and settlement of claims. The bodily injury and medical payments exposures are longer-tailed; although the claim reporting is relatively prompt, the final settlement can take longer to achieve. Some of the important variables affecting estimation of loss reserves for commercial auto/truck liability/medical are similar to other liability — occurrence and include:</w:t>
      </w:r>
    </w:p>
    <w:p>
      <w:pPr>
        <w:spacing w:after="0" w:line="4" w:lineRule="exact"/>
        <w:rPr>
          <w:sz w:val="20"/>
          <w:szCs w:val="20"/>
          <w:color w:val="auto"/>
        </w:rPr>
      </w:pPr>
    </w:p>
    <w:p>
      <w:pPr>
        <w:ind w:left="640" w:hanging="308"/>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Magnitude of jury awards</w:t>
      </w:r>
    </w:p>
    <w:p>
      <w:pPr>
        <w:spacing w:after="0" w:line="7" w:lineRule="exact"/>
        <w:rPr>
          <w:rFonts w:ascii="Arial" w:cs="Arial" w:eastAsia="Arial" w:hAnsi="Arial"/>
          <w:sz w:val="17"/>
          <w:szCs w:val="17"/>
          <w:color w:val="auto"/>
        </w:rPr>
      </w:pPr>
    </w:p>
    <w:p>
      <w:pPr>
        <w:ind w:left="640" w:hanging="308"/>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Unpredictability of judicial decisions regarding coverage issues</w:t>
      </w:r>
    </w:p>
    <w:p>
      <w:pPr>
        <w:spacing w:after="0" w:line="13" w:lineRule="exact"/>
        <w:rPr>
          <w:rFonts w:ascii="Arial" w:cs="Arial" w:eastAsia="Arial" w:hAnsi="Arial"/>
          <w:sz w:val="17"/>
          <w:szCs w:val="17"/>
          <w:color w:val="auto"/>
        </w:rPr>
      </w:pPr>
    </w:p>
    <w:p>
      <w:pPr>
        <w:ind w:left="640" w:hanging="308"/>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Litigious climate and trends</w:t>
      </w:r>
    </w:p>
    <w:p>
      <w:pPr>
        <w:spacing w:after="0" w:line="14" w:lineRule="exact"/>
        <w:rPr>
          <w:rFonts w:ascii="Arial" w:cs="Arial" w:eastAsia="Arial" w:hAnsi="Arial"/>
          <w:sz w:val="17"/>
          <w:szCs w:val="17"/>
          <w:color w:val="auto"/>
        </w:rPr>
      </w:pPr>
    </w:p>
    <w:p>
      <w:pPr>
        <w:ind w:left="640" w:hanging="308"/>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 in frequency of severe accidents</w:t>
      </w:r>
    </w:p>
    <w:p>
      <w:pPr>
        <w:spacing w:after="0" w:line="7" w:lineRule="exact"/>
        <w:rPr>
          <w:rFonts w:ascii="Arial" w:cs="Arial" w:eastAsia="Arial" w:hAnsi="Arial"/>
          <w:sz w:val="17"/>
          <w:szCs w:val="17"/>
          <w:color w:val="auto"/>
        </w:rPr>
      </w:pPr>
    </w:p>
    <w:p>
      <w:pPr>
        <w:ind w:left="640" w:hanging="308"/>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Health care costs and utilization of medical services by injured parties</w:t>
      </w:r>
    </w:p>
    <w:p>
      <w:pPr>
        <w:spacing w:after="0" w:line="234"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color w:val="auto"/>
        </w:rPr>
        <w:t>AFG recorded adverse prior year reserve development of $29 million in 2023, $32 million in 2022 and $7 million in 2021 for this line of business due to higher than anticipated severity.</w:t>
      </w:r>
    </w:p>
    <w:p>
      <w:pPr>
        <w:spacing w:after="0" w:line="199" w:lineRule="exact"/>
        <w:rPr>
          <w:sz w:val="20"/>
          <w:szCs w:val="20"/>
          <w:color w:val="auto"/>
        </w:rPr>
      </w:pPr>
    </w:p>
    <w:p>
      <w:pPr>
        <w:ind w:right="440"/>
        <w:spacing w:after="0"/>
        <w:rPr>
          <w:sz w:val="20"/>
          <w:szCs w:val="20"/>
          <w:color w:val="auto"/>
        </w:rPr>
      </w:pPr>
      <w:r>
        <w:rPr>
          <w:rFonts w:ascii="Arial" w:cs="Arial" w:eastAsia="Arial" w:hAnsi="Arial"/>
          <w:sz w:val="20"/>
          <w:szCs w:val="20"/>
          <w:b w:val="1"/>
          <w:bCs w:val="1"/>
          <w:i w:val="1"/>
          <w:iCs w:val="1"/>
          <w:color w:val="00274E"/>
        </w:rPr>
        <w:t xml:space="preserve">Recoverables from Reinsurers and Availability of Reinsurance </w:t>
      </w:r>
      <w:r>
        <w:rPr>
          <w:rFonts w:ascii="Arial" w:cs="Arial" w:eastAsia="Arial" w:hAnsi="Arial"/>
          <w:sz w:val="17"/>
          <w:szCs w:val="17"/>
          <w:color w:val="000000"/>
        </w:rPr>
        <w:t>AFG is subject to credit risk with respect to its reinsurers, as</w:t>
      </w:r>
      <w:r>
        <w:rPr>
          <w:rFonts w:ascii="Arial" w:cs="Arial" w:eastAsia="Arial" w:hAnsi="Arial"/>
          <w:sz w:val="20"/>
          <w:szCs w:val="20"/>
          <w:b w:val="1"/>
          <w:bCs w:val="1"/>
          <w:i w:val="1"/>
          <w:iCs w:val="1"/>
          <w:color w:val="00274E"/>
        </w:rPr>
        <w:t xml:space="preserve"> </w:t>
      </w:r>
      <w:r>
        <w:rPr>
          <w:rFonts w:ascii="Arial" w:cs="Arial" w:eastAsia="Arial" w:hAnsi="Arial"/>
          <w:sz w:val="17"/>
          <w:szCs w:val="17"/>
          <w:color w:val="000000"/>
        </w:rPr>
        <w:t>reinsurance contracts do not relieve AFG of its liability to policyholders. To mitigate this risk, substantially all reinsurance is ceded to companies rated “A” or better by S&amp;P or is secured by “funds withheld” or other collateral.</w:t>
      </w:r>
    </w:p>
    <w:p>
      <w:pPr>
        <w:spacing w:after="0" w:line="235"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The availability and cost of reinsurance are subject to prevailing market conditions, which are beyond AFG’s control and which may affect AFG’s level of business and profitability. Although the cost of certain reinsurance programs may increase, management believes that AFG will be able to maintain adequate reinsurance coverage at acceptable rates without a material adverse effect on AFG’s results of operations. AFG’s gross and net combined ratios are shown in the table below.</w:t>
      </w:r>
    </w:p>
    <w:p>
      <w:pPr>
        <w:spacing w:after="0" w:line="206"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i w:val="1"/>
          <w:iCs w:val="1"/>
          <w:color w:val="auto"/>
        </w:rPr>
        <w:t>Item 1 — Business — “Property and Casualty Insurance Segment — Reinsurance”</w:t>
      </w:r>
      <w:r>
        <w:rPr>
          <w:rFonts w:ascii="Arial" w:cs="Arial" w:eastAsia="Arial" w:hAnsi="Arial"/>
          <w:sz w:val="17"/>
          <w:szCs w:val="17"/>
          <w:color w:val="auto"/>
        </w:rPr>
        <w:t xml:space="preserve"> for more information on AFG’s reinsurance programs. For additional information on the effect of reinsurance on AFG’s historical results of operations see </w:t>
      </w:r>
      <w:r>
        <w:rPr>
          <w:rFonts w:ascii="Arial" w:cs="Arial" w:eastAsia="Arial" w:hAnsi="Arial"/>
          <w:sz w:val="17"/>
          <w:szCs w:val="17"/>
          <w:i w:val="1"/>
          <w:iCs w:val="1"/>
          <w:color w:val="auto"/>
        </w:rPr>
        <w:t>Note O — “Insurance — Reinsurance”</w:t>
      </w:r>
      <w:r>
        <w:rPr>
          <w:rFonts w:ascii="Arial" w:cs="Arial" w:eastAsia="Arial" w:hAnsi="Arial"/>
          <w:sz w:val="17"/>
          <w:szCs w:val="17"/>
          <w:color w:val="auto"/>
        </w:rPr>
        <w:t xml:space="preserve"> to the financial statements.</w:t>
      </w:r>
    </w:p>
    <w:p>
      <w:pPr>
        <w:spacing w:after="0" w:line="195" w:lineRule="exact"/>
        <w:rPr>
          <w:sz w:val="20"/>
          <w:szCs w:val="20"/>
          <w:color w:val="auto"/>
        </w:rPr>
      </w:pPr>
    </w:p>
    <w:p>
      <w:pPr>
        <w:ind w:right="460"/>
        <w:spacing w:after="0" w:line="284" w:lineRule="auto"/>
        <w:rPr>
          <w:sz w:val="20"/>
          <w:szCs w:val="20"/>
          <w:color w:val="auto"/>
        </w:rPr>
      </w:pPr>
      <w:r>
        <w:rPr>
          <w:rFonts w:ascii="Arial" w:cs="Arial" w:eastAsia="Arial" w:hAnsi="Arial"/>
          <w:sz w:val="17"/>
          <w:szCs w:val="17"/>
          <w:color w:val="auto"/>
        </w:rPr>
        <w:t>The following table illustrates the effect that purchasing property and casualty reinsurance has had on AFG’s combined ratio over the last three years.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0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rPr>
              <w:t>2023</w:t>
            </w:r>
          </w:p>
        </w:tc>
        <w:tc>
          <w:tcPr>
            <w:tcW w:w="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rPr>
              <w:t>2022</w:t>
            </w:r>
          </w:p>
        </w:tc>
        <w:tc>
          <w:tcPr>
            <w:tcW w:w="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rPr>
              <w:t>2021</w:t>
            </w:r>
          </w:p>
        </w:tc>
      </w:tr>
      <w:tr>
        <w:trPr>
          <w:trHeight w:val="213"/>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Before reinsurance (gross)</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92.8 %</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90.9 %</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87.4 %</w:t>
            </w:r>
          </w:p>
        </w:tc>
      </w:tr>
      <w:tr>
        <w:trPr>
          <w:trHeight w:val="215"/>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reinsurance</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(2.4 %)</w:t>
            </w:r>
          </w:p>
        </w:tc>
        <w:tc>
          <w:tcPr>
            <w:tcW w:w="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(3.6 %)</w:t>
            </w:r>
          </w:p>
        </w:tc>
        <w:tc>
          <w:tcPr>
            <w:tcW w:w="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(0.9 %)</w:t>
            </w:r>
          </w:p>
        </w:tc>
      </w:tr>
      <w:tr>
        <w:trPr>
          <w:trHeight w:val="235"/>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Actual (net of reinsurance)</w:t>
            </w: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90.4 %</w:t>
            </w:r>
          </w:p>
        </w:tc>
        <w:tc>
          <w:tcPr>
            <w:tcW w:w="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87.3 %</w:t>
            </w:r>
          </w:p>
        </w:tc>
        <w:tc>
          <w:tcPr>
            <w:tcW w:w="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86.5 %</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240" w:type="dxa"/>
            <w:vAlign w:val="bottom"/>
          </w:tcPr>
          <w:p>
            <w:pPr>
              <w:spacing w:after="0"/>
              <w:rPr>
                <w:sz w:val="20"/>
                <w:szCs w:val="20"/>
                <w:color w:val="auto"/>
              </w:rPr>
            </w:pPr>
            <w:r>
              <w:rPr>
                <w:rFonts w:ascii="Arial" w:cs="Arial" w:eastAsia="Arial" w:hAnsi="Arial"/>
                <w:sz w:val="20"/>
                <w:szCs w:val="20"/>
                <w:b w:val="1"/>
                <w:bCs w:val="1"/>
                <w:i w:val="1"/>
                <w:iCs w:val="1"/>
                <w:color w:val="00274E"/>
                <w:w w:val="99"/>
              </w:rPr>
              <w:t>Asbestos and Environmental-related (“A&amp;E”) Insurance Reserves</w:t>
            </w:r>
          </w:p>
        </w:tc>
        <w:tc>
          <w:tcPr>
            <w:tcW w:w="5000" w:type="dxa"/>
            <w:vAlign w:val="bottom"/>
            <w:gridSpan w:val="6"/>
          </w:tcPr>
          <w:p>
            <w:pPr>
              <w:jc w:val="right"/>
              <w:ind w:right="521"/>
              <w:spacing w:after="0"/>
              <w:rPr>
                <w:sz w:val="20"/>
                <w:szCs w:val="20"/>
                <w:color w:val="auto"/>
              </w:rPr>
            </w:pPr>
            <w:r>
              <w:rPr>
                <w:rFonts w:ascii="Arial" w:cs="Arial" w:eastAsia="Arial" w:hAnsi="Arial"/>
                <w:sz w:val="17"/>
                <w:szCs w:val="17"/>
                <w:color w:val="auto"/>
              </w:rPr>
              <w:t>Asbestos and environmental reserves of the property and</w:t>
            </w:r>
          </w:p>
        </w:tc>
      </w:tr>
      <w:tr>
        <w:trPr>
          <w:trHeight w:val="225"/>
        </w:trPr>
        <w:tc>
          <w:tcPr>
            <w:tcW w:w="6240" w:type="dxa"/>
            <w:vAlign w:val="bottom"/>
          </w:tcPr>
          <w:p>
            <w:pPr>
              <w:spacing w:after="0"/>
              <w:rPr>
                <w:sz w:val="20"/>
                <w:szCs w:val="20"/>
                <w:color w:val="auto"/>
              </w:rPr>
            </w:pPr>
            <w:r>
              <w:rPr>
                <w:rFonts w:ascii="Arial" w:cs="Arial" w:eastAsia="Arial" w:hAnsi="Arial"/>
                <w:sz w:val="17"/>
                <w:szCs w:val="17"/>
                <w:color w:val="auto"/>
              </w:rPr>
              <w:t>casualty group consisted of the following (in millions):</w:t>
            </w:r>
          </w:p>
        </w:tc>
        <w:tc>
          <w:tcPr>
            <w:tcW w:w="2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307"/>
        </w:trPr>
        <w:tc>
          <w:tcPr>
            <w:tcW w:w="62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December 31,</w:t>
            </w:r>
          </w:p>
        </w:tc>
        <w:tc>
          <w:tcPr>
            <w:tcW w:w="780" w:type="dxa"/>
            <w:vAlign w:val="bottom"/>
            <w:tcBorders>
              <w:bottom w:val="single" w:sz="8" w:color="auto"/>
            </w:tcBorders>
          </w:tcPr>
          <w:p>
            <w:pPr>
              <w:spacing w:after="0"/>
              <w:rPr>
                <w:sz w:val="24"/>
                <w:szCs w:val="24"/>
                <w:color w:val="auto"/>
              </w:rPr>
            </w:pPr>
          </w:p>
        </w:tc>
      </w:tr>
      <w:tr>
        <w:trPr>
          <w:trHeight w:val="196"/>
        </w:trPr>
        <w:tc>
          <w:tcPr>
            <w:tcW w:w="6240" w:type="dxa"/>
            <w:vAlign w:val="bottom"/>
            <w:tcBorders>
              <w:bottom w:val="single" w:sz="8" w:color="CCEEFF"/>
            </w:tcBorders>
          </w:tcPr>
          <w:p>
            <w:pPr>
              <w:spacing w:after="0"/>
              <w:rPr>
                <w:sz w:val="17"/>
                <w:szCs w:val="17"/>
                <w:color w:val="auto"/>
              </w:rPr>
            </w:pPr>
          </w:p>
        </w:tc>
        <w:tc>
          <w:tcPr>
            <w:tcW w:w="24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color w:val="auto"/>
              </w:rPr>
              <w:t>2023</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2022</w:t>
            </w:r>
          </w:p>
        </w:tc>
      </w:tr>
      <w:tr>
        <w:trPr>
          <w:trHeight w:val="213"/>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Asbestos</w:t>
            </w:r>
          </w:p>
        </w:tc>
        <w:tc>
          <w:tcPr>
            <w:tcW w:w="24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220</w:t>
            </w:r>
          </w:p>
        </w:tc>
      </w:tr>
      <w:tr>
        <w:trPr>
          <w:trHeight w:val="215"/>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Environmental</w:t>
            </w:r>
          </w:p>
        </w:tc>
        <w:tc>
          <w:tcPr>
            <w:tcW w:w="24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168</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165</w:t>
            </w:r>
          </w:p>
        </w:tc>
      </w:tr>
      <w:tr>
        <w:trPr>
          <w:trHeight w:val="210"/>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A&amp;E reserves, net of reinsurance recoverable</w:t>
            </w:r>
          </w:p>
        </w:tc>
        <w:tc>
          <w:tcPr>
            <w:tcW w:w="2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370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385</w:t>
            </w:r>
          </w:p>
        </w:tc>
      </w:tr>
      <w:tr>
        <w:trPr>
          <w:trHeight w:val="215"/>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Reinsurance recoverable, net of allowance</w:t>
            </w:r>
          </w:p>
        </w:tc>
        <w:tc>
          <w:tcPr>
            <w:tcW w:w="24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128</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140</w:t>
            </w:r>
          </w:p>
        </w:tc>
      </w:tr>
      <w:tr>
        <w:trPr>
          <w:trHeight w:val="235"/>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A&amp;E reserves</w:t>
            </w:r>
          </w:p>
        </w:tc>
        <w:tc>
          <w:tcPr>
            <w:tcW w:w="24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498</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525</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Asbestos reserves include claims asserting alleged injuries and damages from exposure to asbestos. Environmental reserves include claims relating to polluted sites.</w:t>
      </w:r>
    </w:p>
    <w:p>
      <w:pPr>
        <w:spacing w:after="0" w:line="185"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Asbestos claims against manufacturers, distributors or installers of asbestos products were presented under the products liability section of their policies, which typically had aggregate limits that capped an insurer’s liability. In addition, asbestos claims are being presented as “non-products” claims, such as those by installers of asbestos products and by property owners or operators who allegedly had asbestos on their property, under the premises or operations section of their policies. Unlike products exposures, these non-products exposures typically had no aggregate limits, creating greater exposure for insurers. Further, in an effort to seek additional insurance coverage, some insureds with installation activities who have substantially eroded their products coverage are presenting new asbestos claims as non-products operations claims or attempting to reclassify previously settled products claims as non-products claims to restore a portion of previously exhausted products aggregate limits.</w:t>
      </w:r>
    </w:p>
    <w:p>
      <w:pPr>
        <w:spacing w:after="0" w:line="205"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Approximately 47% of AFG’s net asbestos reserves relate to policies written directly by AFG subsidiaries. Claims from these policies generally are product-oriented claims with only a limited amount of non-products exposures and are dominated by small to mid-sized commercial entities that are mostly regional policyholders with few national target defendants. The remainder is assumed reinsurance business that includes exposures from 1954 to 1983. The asbestos and environmental assumed claims are ceded by various insurance companies under reinsurance treaties. A majority of the individual assumed claims have exposures of less than $100,000 to AFG. Asbestos losses assumed include some of the industry known manufacturers, distributors and installers. Pollution losses include industry known insured names and sites.</w:t>
      </w:r>
    </w:p>
    <w:p>
      <w:pPr>
        <w:spacing w:after="0" w:line="206"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Establishing reserves for A&amp;E claims relating to policies and participations in reinsurance treaties and former operations is subject to uncertainties that are significantly greater than those presented by other types of claims. For this group of claims, traditional actuarial techniques that rely on historical loss development trends cannot be used and a range of reasonably possible losses cannot be estimated. Case reserves and expense reserves are established by the claims department as specific policies are identified. In addition to the case reserves established for known claims, management establishes additional reserves for claims not yet known or reported and for possible development on known claims. These additional reserves are management’s best estimate based on periodic comprehensive studies and internal reviews adjusted for payments and identifiable changes, supplemented by management’s review of industry information about such claims, with due consideration to individual claim situations.</w:t>
      </w:r>
    </w:p>
    <w:p>
      <w:pPr>
        <w:spacing w:after="0" w:line="209"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Management believes that estimating the ultimate liability for asbestos claims presents a unique and difficult challenge to the insurance industry due to, among other things, inconsistent court decisions, an increase in bankruptcy filings as a result of asbestos-related liabilities, novel theories of coverage, and judicial interpretations that often expand theories of recovery and broaden the scope of coverage. Environmental claims likewise present challenges in prediction, due to uncertainty regarding the interpretation of insurance policies, complexities regarding multi-party involvements at sites, evolving cleanup standards and protracted time periods required to assess the level of cleanup required at contaminated sites.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factors could impact AFG’s A&amp;E reserves and payments:</w:t>
      </w:r>
    </w:p>
    <w:p>
      <w:pPr>
        <w:spacing w:after="0" w:line="23" w:lineRule="exact"/>
        <w:rPr>
          <w:sz w:val="20"/>
          <w:szCs w:val="20"/>
          <w:color w:val="auto"/>
        </w:rPr>
      </w:pPr>
    </w:p>
    <w:p>
      <w:pPr>
        <w:ind w:left="660" w:right="620" w:hanging="328"/>
        <w:spacing w:after="0" w:line="256" w:lineRule="auto"/>
        <w:tabs>
          <w:tab w:leader="none" w:pos="652"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There is interest at the state level to attempt to legislatively address asbestos liabilities and the manner in which asbestos claims are resolved. These developments are fluid and could result in piecemeal state-by-state solutions.</w:t>
      </w:r>
    </w:p>
    <w:p>
      <w:pPr>
        <w:spacing w:after="0" w:line="1" w:lineRule="exact"/>
        <w:rPr>
          <w:rFonts w:ascii="Arial" w:cs="Arial" w:eastAsia="Arial" w:hAnsi="Arial"/>
          <w:sz w:val="17"/>
          <w:szCs w:val="17"/>
          <w:color w:val="auto"/>
        </w:rPr>
      </w:pPr>
    </w:p>
    <w:p>
      <w:pPr>
        <w:ind w:left="640" w:hanging="308"/>
        <w:spacing w:after="0"/>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manner by which bankruptcy courts are addressing asbestos liabilities is in flux.</w:t>
      </w:r>
    </w:p>
    <w:p>
      <w:pPr>
        <w:spacing w:after="0" w:line="7" w:lineRule="exact"/>
        <w:rPr>
          <w:rFonts w:ascii="Arial" w:cs="Arial" w:eastAsia="Arial" w:hAnsi="Arial"/>
          <w:sz w:val="17"/>
          <w:szCs w:val="17"/>
          <w:color w:val="auto"/>
        </w:rPr>
      </w:pPr>
    </w:p>
    <w:p>
      <w:pPr>
        <w:ind w:left="640" w:hanging="308"/>
        <w:spacing w:after="0"/>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AFG’s insureds may make claims alleging significant non-products exposures.</w:t>
      </w:r>
    </w:p>
    <w:p>
      <w:pPr>
        <w:spacing w:after="0" w:line="234"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While management believes that AFG’s reserves for A&amp;E claims are a reasonable estimate of ultimate liability for such claims, actual results may vary materially from the amounts currently recorded due to the difficulty in predicting the number of future claims, the impact of bankruptcy filings and unresolved issues such as whether coverage exists, whether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policies are subject to aggregate limits on coverage, how claims are to be allocated among triggered policies and implicated years and whether claimants who exhibit no signs of illness will be successful in pursuing their claims. A 1% variation in loss cost trends, caused by any of the factors previously described, would change net earnings by approximately $30 million.</w:t>
      </w:r>
    </w:p>
    <w:p>
      <w:pPr>
        <w:spacing w:after="0" w:line="214" w:lineRule="exact"/>
        <w:rPr>
          <w:sz w:val="20"/>
          <w:szCs w:val="20"/>
          <w:color w:val="auto"/>
        </w:rPr>
      </w:pPr>
    </w:p>
    <w:p>
      <w:pPr>
        <w:ind w:right="600"/>
        <w:spacing w:after="0" w:line="266" w:lineRule="auto"/>
        <w:rPr>
          <w:sz w:val="20"/>
          <w:szCs w:val="20"/>
          <w:color w:val="auto"/>
        </w:rPr>
      </w:pPr>
      <w:r>
        <w:rPr>
          <w:rFonts w:ascii="Arial" w:cs="Arial" w:eastAsia="Arial" w:hAnsi="Arial"/>
          <w:sz w:val="17"/>
          <w:szCs w:val="17"/>
          <w:color w:val="auto"/>
        </w:rPr>
        <w:t>AFG tracks its A&amp;E claims by policyholder. The following table shows, by type of claim, the number of policyholders that did not receive any payments in the calendar year separate from policyholders that did receive a payment. Policyholder counts represent policies written by AFG subsidiaries and do not include assumed reinsurance.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44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2021</w:t>
            </w:r>
          </w:p>
        </w:tc>
      </w:tr>
      <w:tr>
        <w:trPr>
          <w:trHeight w:val="200"/>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Number of policyholders with no indemnity payments:</w:t>
            </w: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5"/>
        </w:trPr>
        <w:tc>
          <w:tcPr>
            <w:tcW w:w="7440" w:type="dxa"/>
            <w:vAlign w:val="bottom"/>
          </w:tcPr>
          <w:p>
            <w:pPr>
              <w:ind w:left="360"/>
              <w:spacing w:after="0"/>
              <w:rPr>
                <w:sz w:val="20"/>
                <w:szCs w:val="20"/>
                <w:color w:val="auto"/>
              </w:rPr>
            </w:pPr>
            <w:r>
              <w:rPr>
                <w:rFonts w:ascii="Arial" w:cs="Arial" w:eastAsia="Arial" w:hAnsi="Arial"/>
                <w:sz w:val="16"/>
                <w:szCs w:val="16"/>
                <w:color w:val="auto"/>
              </w:rPr>
              <w:t>Asbestos</w:t>
            </w:r>
          </w:p>
        </w:tc>
        <w:tc>
          <w:tcPr>
            <w:tcW w:w="120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Environmental</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r>
      <w:tr>
        <w:trPr>
          <w:trHeight w:val="210"/>
        </w:trPr>
        <w:tc>
          <w:tcPr>
            <w:tcW w:w="74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231</w:t>
            </w:r>
          </w:p>
        </w:tc>
      </w:tr>
      <w:tr>
        <w:trPr>
          <w:trHeight w:val="21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Number of policyholders with indemnity payments: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5"/>
        </w:trPr>
        <w:tc>
          <w:tcPr>
            <w:tcW w:w="7440" w:type="dxa"/>
            <w:vAlign w:val="bottom"/>
          </w:tcPr>
          <w:p>
            <w:pPr>
              <w:ind w:left="360"/>
              <w:spacing w:after="0"/>
              <w:rPr>
                <w:sz w:val="20"/>
                <w:szCs w:val="20"/>
                <w:color w:val="auto"/>
              </w:rPr>
            </w:pPr>
            <w:r>
              <w:rPr>
                <w:rFonts w:ascii="Arial" w:cs="Arial" w:eastAsia="Arial" w:hAnsi="Arial"/>
                <w:sz w:val="16"/>
                <w:szCs w:val="16"/>
                <w:color w:val="auto"/>
              </w:rPr>
              <w:t>Asbestos</w:t>
            </w:r>
          </w:p>
        </w:tc>
        <w:tc>
          <w:tcPr>
            <w:tcW w:w="120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Environmental</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0"/>
        </w:trPr>
        <w:tc>
          <w:tcPr>
            <w:tcW w:w="744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r>
      <w:tr>
        <w:trPr>
          <w:trHeight w:val="235"/>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7"/>
          <w:szCs w:val="17"/>
          <w:color w:val="auto"/>
        </w:rPr>
        <w:t>Amounts paid (net of reinsurance recoveries) for asbestos and environmental claims, including LAE, were as follows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4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2023</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2022</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2021</w:t>
            </w:r>
          </w:p>
        </w:tc>
      </w:tr>
      <w:tr>
        <w:trPr>
          <w:trHeight w:val="214"/>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Asbestos</w:t>
            </w:r>
          </w:p>
        </w:tc>
        <w:tc>
          <w:tcPr>
            <w:tcW w:w="880" w:type="dxa"/>
            <w:vAlign w:val="bottom"/>
            <w:shd w:val="clear" w:color="auto" w:fill="CCEEFF"/>
          </w:tcPr>
          <w:p>
            <w:pPr>
              <w:jc w:val="right"/>
              <w:ind w:right="682"/>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w:t>
            </w:r>
          </w:p>
        </w:tc>
      </w:tr>
      <w:tr>
        <w:trPr>
          <w:trHeight w:val="215"/>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Environmental</w:t>
            </w:r>
          </w:p>
        </w:tc>
        <w:tc>
          <w:tcPr>
            <w:tcW w:w="8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w:t>
            </w:r>
          </w:p>
        </w:tc>
      </w:tr>
      <w:tr>
        <w:trPr>
          <w:trHeight w:val="235"/>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880" w:type="dxa"/>
            <w:vAlign w:val="bottom"/>
            <w:tcBorders>
              <w:bottom w:val="single" w:sz="8" w:color="auto"/>
            </w:tcBorders>
            <w:shd w:val="clear" w:color="auto" w:fill="CCEEFF"/>
          </w:tcPr>
          <w:p>
            <w:pPr>
              <w:jc w:val="right"/>
              <w:ind w:right="682"/>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The survival ratio is a measure often used by industry analysts to compare A&amp;E reserves’ strength among companies. This ratio is typically calculated by dividing reserves for A&amp;E exposures by the three-year average of paid losses, and therefore measures the number of years that it would take to pay off current reserves based on recent average payments. Because this ratio can be significantly impacted by a number of factors such as loss payout variability, caution should be exercised in attempting to determine reserve adequacy based simply on the survival ratio. At December 31, 2023, the property and casualty insurance segment’s three-year survival ratios compare favorably with industry survival ratios published by A.M. Best (as of December 31, 2022, and adjusted for several large portfolio transfers) as detailed in the following table:</w:t>
      </w:r>
    </w:p>
    <w:p>
      <w:pPr>
        <w:spacing w:after="0" w:line="99" w:lineRule="exact"/>
        <w:rPr>
          <w:sz w:val="20"/>
          <w:szCs w:val="20"/>
          <w:color w:val="auto"/>
        </w:rPr>
      </w:pPr>
    </w:p>
    <w:p>
      <w:pPr>
        <w:jc w:val="center"/>
        <w:ind w:left="5520"/>
        <w:spacing w:after="0"/>
        <w:rPr>
          <w:sz w:val="20"/>
          <w:szCs w:val="20"/>
          <w:color w:val="auto"/>
        </w:rPr>
      </w:pPr>
      <w:r>
        <w:rPr>
          <w:rFonts w:ascii="Arial" w:cs="Arial" w:eastAsia="Arial" w:hAnsi="Arial"/>
          <w:sz w:val="14"/>
          <w:szCs w:val="14"/>
          <w:color w:val="auto"/>
        </w:rPr>
        <w:t>Property and Casualty Insurance Reserves</w:t>
      </w:r>
    </w:p>
    <w:p>
      <w:pPr>
        <w:jc w:val="center"/>
        <w:ind w:left="5520"/>
        <w:spacing w:after="0"/>
        <w:rPr>
          <w:sz w:val="20"/>
          <w:szCs w:val="20"/>
          <w:color w:val="auto"/>
        </w:rPr>
      </w:pPr>
      <w:r>
        <w:rPr>
          <w:rFonts w:ascii="Arial" w:cs="Arial" w:eastAsia="Arial" w:hAnsi="Arial"/>
          <w:sz w:val="14"/>
          <w:szCs w:val="14"/>
          <w:color w:val="auto"/>
        </w:rPr>
        <w:t>Three-Year Survival Ratio (Times Paid Losses)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540" w:type="dxa"/>
            <w:vAlign w:val="bottom"/>
            <w:tcBorders>
              <w:bottom w:val="single" w:sz="8" w:color="CCEEFF"/>
            </w:tcBorders>
          </w:tcPr>
          <w:p>
            <w:pPr>
              <w:spacing w:after="0"/>
              <w:rPr>
                <w:sz w:val="17"/>
                <w:szCs w:val="17"/>
                <w:color w:val="auto"/>
              </w:rPr>
            </w:pPr>
          </w:p>
        </w:tc>
        <w:tc>
          <w:tcPr>
            <w:tcW w:w="132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4"/>
                <w:szCs w:val="14"/>
                <w:color w:val="auto"/>
              </w:rPr>
              <w:t>Asbestos</w:t>
            </w:r>
          </w:p>
        </w:tc>
        <w:tc>
          <w:tcPr>
            <w:tcW w:w="5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42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4"/>
                <w:szCs w:val="14"/>
                <w:color w:val="auto"/>
              </w:rPr>
              <w:t>Environmental</w:t>
            </w:r>
          </w:p>
        </w:tc>
        <w:tc>
          <w:tcPr>
            <w:tcW w:w="4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84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color w:val="auto"/>
              </w:rPr>
              <w:t>Total A&amp;E</w:t>
            </w:r>
          </w:p>
        </w:tc>
      </w:tr>
      <w:tr>
        <w:trPr>
          <w:trHeight w:val="214"/>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AFG (12/31/2023)</w:t>
            </w:r>
          </w:p>
        </w:tc>
        <w:tc>
          <w:tcPr>
            <w:tcW w:w="1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21.1</w:t>
            </w:r>
          </w:p>
        </w:tc>
      </w:tr>
      <w:tr>
        <w:trPr>
          <w:trHeight w:val="215"/>
        </w:trPr>
        <w:tc>
          <w:tcPr>
            <w:tcW w:w="6860" w:type="dxa"/>
            <w:vAlign w:val="bottom"/>
            <w:gridSpan w:val="2"/>
          </w:tcPr>
          <w:p>
            <w:pPr>
              <w:ind w:left="20"/>
              <w:spacing w:after="0"/>
              <w:rPr>
                <w:sz w:val="20"/>
                <w:szCs w:val="20"/>
                <w:color w:val="auto"/>
              </w:rPr>
            </w:pPr>
            <w:r>
              <w:rPr>
                <w:rFonts w:ascii="Arial" w:cs="Arial" w:eastAsia="Arial" w:hAnsi="Arial"/>
                <w:sz w:val="16"/>
                <w:szCs w:val="16"/>
                <w:color w:val="auto"/>
              </w:rPr>
              <w:t>Industry (12/31/2022)</w:t>
            </w:r>
          </w:p>
        </w:tc>
        <w:tc>
          <w:tcPr>
            <w:tcW w:w="500" w:type="dxa"/>
            <w:vAlign w:val="bottom"/>
          </w:tcPr>
          <w:p>
            <w:pPr>
              <w:jc w:val="right"/>
              <w:spacing w:after="0"/>
              <w:rPr>
                <w:sz w:val="20"/>
                <w:szCs w:val="20"/>
                <w:color w:val="auto"/>
              </w:rPr>
            </w:pPr>
            <w:r>
              <w:rPr>
                <w:rFonts w:ascii="Arial" w:cs="Arial" w:eastAsia="Arial" w:hAnsi="Arial"/>
                <w:sz w:val="16"/>
                <w:szCs w:val="16"/>
                <w:color w:val="auto"/>
              </w:rPr>
              <w:t>8.4</w:t>
            </w: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1840" w:type="dxa"/>
            <w:vAlign w:val="bottom"/>
          </w:tcPr>
          <w:p>
            <w:pPr>
              <w:jc w:val="right"/>
              <w:ind w:right="2"/>
              <w:spacing w:after="0"/>
              <w:rPr>
                <w:sz w:val="20"/>
                <w:szCs w:val="20"/>
                <w:color w:val="auto"/>
              </w:rPr>
            </w:pPr>
            <w:r>
              <w:rPr>
                <w:rFonts w:ascii="Arial" w:cs="Arial" w:eastAsia="Arial" w:hAnsi="Arial"/>
                <w:sz w:val="16"/>
                <w:szCs w:val="16"/>
                <w:color w:val="auto"/>
              </w:rPr>
              <w:t>7.5</w:t>
            </w:r>
          </w:p>
        </w:tc>
      </w:tr>
    </w:tbl>
    <w:p>
      <w:pPr>
        <w:spacing w:after="0" w:line="303"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During the third quarter of 2023, AFG completed an in-depth internal review of its asbestos and environmental exposures relating to the run-off operations of its property and casualty insurance segment. In addition to its ongoing internal monitoring of asbestos and environmental exposures, AFG has historically conducted periodic comprehensive external studies of its asbestos and environmental reserves with the aid of specialty actuarial, engineering and consulting firms and outside counsel, with an in-depth internal review during all other years.</w:t>
      </w:r>
    </w:p>
    <w:p>
      <w:pPr>
        <w:spacing w:after="0" w:line="200" w:lineRule="exact"/>
        <w:rPr>
          <w:sz w:val="20"/>
          <w:szCs w:val="20"/>
          <w:color w:val="auto"/>
        </w:rPr>
      </w:pPr>
    </w:p>
    <w:p>
      <w:pPr>
        <w:jc w:val="both"/>
        <w:ind w:right="60"/>
        <w:spacing w:after="0" w:line="274" w:lineRule="auto"/>
        <w:rPr>
          <w:sz w:val="20"/>
          <w:szCs w:val="20"/>
          <w:color w:val="auto"/>
        </w:rPr>
      </w:pPr>
      <w:r>
        <w:rPr>
          <w:rFonts w:ascii="Arial" w:cs="Arial" w:eastAsia="Arial" w:hAnsi="Arial"/>
          <w:sz w:val="17"/>
          <w:szCs w:val="17"/>
          <w:color w:val="auto"/>
        </w:rPr>
        <w:t>During the 2023 internal review, no new trends were identified and recent claims activity was generally consistent with AFG’s expectations resulting from its in-depth internal reviews in 2022 and 2021 and most recent external study in 2020. As a result, the 2023 review resulted in no net change to AFG’s property and casualty insurance segment’s asbestos and environmental reserves.</w:t>
      </w:r>
    </w:p>
    <w:p>
      <w:pPr>
        <w:spacing w:after="0" w:line="195"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Over the past few years, the focus of AFG’s asbestos claims litigation has shifted to smaller companies and companies with ancillary exposures. AFG’s insureds with these exposures have been the driver of the property and casualty segment’s asbestos reserve increases in recent years. AFG is seeing modestly increasing estimates for indemnity and defense compared to prior studies on certain specific open claims. AFG has updated its view of legal defense costs on open environmental claims as well as a number of claims and sites where the estimated investigation and remediation costs have increased.</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51" w:lineRule="auto"/>
        <w:rPr>
          <w:sz w:val="20"/>
          <w:szCs w:val="20"/>
          <w:color w:val="auto"/>
        </w:rPr>
      </w:pPr>
      <w:r>
        <w:rPr>
          <w:rFonts w:ascii="Arial" w:cs="Arial" w:eastAsia="Arial" w:hAnsi="Arial"/>
          <w:sz w:val="20"/>
          <w:szCs w:val="20"/>
          <w:b w:val="1"/>
          <w:bCs w:val="1"/>
          <w:color w:val="00274E"/>
        </w:rPr>
        <w:t xml:space="preserve">Contingencies related to Subsidiaries’ Former Operations </w:t>
      </w:r>
      <w:r>
        <w:rPr>
          <w:rFonts w:ascii="Arial" w:cs="Arial" w:eastAsia="Arial" w:hAnsi="Arial"/>
          <w:sz w:val="17"/>
          <w:szCs w:val="17"/>
          <w:color w:val="000000"/>
        </w:rPr>
        <w:t>The A&amp;E reviews and external study discussed above also encompassed</w:t>
      </w:r>
      <w:r>
        <w:rPr>
          <w:rFonts w:ascii="Arial" w:cs="Arial" w:eastAsia="Arial" w:hAnsi="Arial"/>
          <w:sz w:val="20"/>
          <w:szCs w:val="20"/>
          <w:b w:val="1"/>
          <w:bCs w:val="1"/>
          <w:color w:val="00274E"/>
        </w:rPr>
        <w:t xml:space="preserve"> </w:t>
      </w:r>
      <w:r>
        <w:rPr>
          <w:rFonts w:ascii="Arial" w:cs="Arial" w:eastAsia="Arial" w:hAnsi="Arial"/>
          <w:sz w:val="17"/>
          <w:szCs w:val="17"/>
          <w:color w:val="000000"/>
        </w:rPr>
        <w:t xml:space="preserve">reserves for various environmental and occupational injury and disease claims and other contingencies arising out of the railroad operations disposed of by American Premier’s predecessor and certain manufacturing operations disposed of by American Premier and its subsidiaries and by Great American Financial Resources, Inc. AFG recorded a $15 million pretax non-core special charge to increase liabilities for those operations as a result of the 2023 internal review. Liabilities for claims and contingencies arising from these former railroad and manufacturing operations totaled $101 million at December 31, 2023. For a discussion of the uncertainties in determining the ultimate liability, see </w:t>
      </w:r>
      <w:r>
        <w:rPr>
          <w:rFonts w:ascii="Arial" w:cs="Arial" w:eastAsia="Arial" w:hAnsi="Arial"/>
          <w:sz w:val="17"/>
          <w:szCs w:val="17"/>
          <w:i w:val="1"/>
          <w:iCs w:val="1"/>
          <w:color w:val="000000"/>
        </w:rPr>
        <w:t>Note N — “Contingencies”</w:t>
      </w:r>
      <w:r>
        <w:rPr>
          <w:rFonts w:ascii="Arial" w:cs="Arial" w:eastAsia="Arial" w:hAnsi="Arial"/>
          <w:sz w:val="17"/>
          <w:szCs w:val="17"/>
          <w:color w:val="000000"/>
        </w:rPr>
        <w:t xml:space="preserve"> to the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29"/>
          <w:szCs w:val="29"/>
          <w:b w:val="1"/>
          <w:bCs w:val="1"/>
          <w:color w:val="00274E"/>
        </w:rPr>
        <w:t>MANAGED INVESTMENT ENTITIES</w:t>
      </w:r>
    </w:p>
    <w:p>
      <w:pPr>
        <w:spacing w:after="0" w:line="259"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 xml:space="preserve">Accounting standards require AFG to consolidate its investments in collateralized loan obligation (“CLO”) entities that it manages and owns an interest in (in the form of debt). See </w:t>
      </w:r>
      <w:r>
        <w:rPr>
          <w:rFonts w:ascii="Arial" w:cs="Arial" w:eastAsia="Arial" w:hAnsi="Arial"/>
          <w:sz w:val="17"/>
          <w:szCs w:val="17"/>
          <w:i w:val="1"/>
          <w:iCs w:val="1"/>
          <w:color w:val="auto"/>
        </w:rPr>
        <w:t>Note A — “Accounting Policies — Managed Investment Entities”</w:t>
      </w:r>
      <w:r>
        <w:rPr>
          <w:rFonts w:ascii="Arial" w:cs="Arial" w:eastAsia="Arial" w:hAnsi="Arial"/>
          <w:sz w:val="17"/>
          <w:szCs w:val="17"/>
          <w:color w:val="auto"/>
        </w:rPr>
        <w:t xml:space="preserve"> and </w:t>
      </w:r>
      <w:r>
        <w:rPr>
          <w:rFonts w:ascii="Arial" w:cs="Arial" w:eastAsia="Arial" w:hAnsi="Arial"/>
          <w:sz w:val="17"/>
          <w:szCs w:val="17"/>
          <w:i w:val="1"/>
          <w:iCs w:val="1"/>
          <w:color w:val="auto"/>
        </w:rPr>
        <w:t>Note H — “Managed Investment Entities”</w:t>
      </w:r>
      <w:r>
        <w:rPr>
          <w:rFonts w:ascii="Arial" w:cs="Arial" w:eastAsia="Arial" w:hAnsi="Arial"/>
          <w:sz w:val="17"/>
          <w:szCs w:val="17"/>
          <w:color w:val="auto"/>
        </w:rPr>
        <w:t xml:space="preserve"> to the financial statements. The effect of consolidating these entities is shown in the tables below (in millions). The “Before CLO Consolidation” columns include AFG’s investment and earnings in the CLOs on an unconsolidated basis.</w:t>
      </w: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CONSOLIDATING BALANCE SHEET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rPr>
              <w:t>Before CLO</w:t>
            </w: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Managed</w:t>
            </w:r>
          </w:p>
        </w:tc>
        <w:tc>
          <w:tcPr>
            <w:tcW w:w="200" w:type="dxa"/>
            <w:vAlign w:val="bottom"/>
          </w:tcPr>
          <w:p>
            <w:pPr>
              <w:spacing w:after="0"/>
              <w:rPr>
                <w:sz w:val="14"/>
                <w:szCs w:val="14"/>
                <w:color w:val="auto"/>
              </w:rPr>
            </w:pPr>
          </w:p>
        </w:tc>
        <w:tc>
          <w:tcPr>
            <w:tcW w:w="860" w:type="dxa"/>
            <w:vAlign w:val="bottom"/>
            <w:vMerge w:val="restart"/>
          </w:tcPr>
          <w:p>
            <w:pPr>
              <w:jc w:val="right"/>
              <w:ind w:right="208"/>
              <w:spacing w:after="0"/>
              <w:rPr>
                <w:sz w:val="20"/>
                <w:szCs w:val="20"/>
                <w:color w:val="auto"/>
              </w:rPr>
            </w:pPr>
            <w:r>
              <w:rPr>
                <w:rFonts w:ascii="Arial" w:cs="Arial" w:eastAsia="Arial" w:hAnsi="Arial"/>
                <w:sz w:val="14"/>
                <w:szCs w:val="14"/>
                <w:color w:val="auto"/>
              </w:rPr>
              <w:t>Consol.</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Investment</w:t>
            </w:r>
          </w:p>
        </w:tc>
        <w:tc>
          <w:tcPr>
            <w:tcW w:w="2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color w:val="auto"/>
              </w:rPr>
              <w:t>Consolidation</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Entities</w:t>
            </w:r>
          </w:p>
        </w:tc>
        <w:tc>
          <w:tcPr>
            <w:tcW w:w="200" w:type="dxa"/>
            <w:vAlign w:val="bottom"/>
          </w:tcPr>
          <w:p>
            <w:pPr>
              <w:spacing w:after="0"/>
              <w:rPr>
                <w:sz w:val="16"/>
                <w:szCs w:val="16"/>
                <w:color w:val="auto"/>
              </w:rPr>
            </w:pPr>
          </w:p>
        </w:tc>
        <w:tc>
          <w:tcPr>
            <w:tcW w:w="860" w:type="dxa"/>
            <w:vAlign w:val="bottom"/>
          </w:tcPr>
          <w:p>
            <w:pPr>
              <w:jc w:val="right"/>
              <w:ind w:right="228"/>
              <w:spacing w:after="0"/>
              <w:rPr>
                <w:sz w:val="20"/>
                <w:szCs w:val="20"/>
                <w:color w:val="auto"/>
              </w:rPr>
            </w:pPr>
            <w:r>
              <w:rPr>
                <w:rFonts w:ascii="Arial" w:cs="Arial" w:eastAsia="Arial" w:hAnsi="Arial"/>
                <w:sz w:val="14"/>
                <w:szCs w:val="14"/>
                <w:color w:val="auto"/>
              </w:rPr>
              <w:t>Entries</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As Reported</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56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December 31, 2023</w:t>
            </w:r>
          </w:p>
        </w:tc>
        <w:tc>
          <w:tcPr>
            <w:tcW w:w="18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Borders>
              <w:top w:val="single" w:sz="8" w:color="CCEEFF"/>
            </w:tcBorders>
          </w:tcPr>
          <w:p>
            <w:pPr>
              <w:spacing w:after="0"/>
              <w:rPr>
                <w:sz w:val="17"/>
                <w:szCs w:val="17"/>
                <w:color w:val="auto"/>
              </w:rPr>
            </w:pPr>
          </w:p>
        </w:tc>
        <w:tc>
          <w:tcPr>
            <w:tcW w:w="12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Assets:</w:t>
            </w:r>
          </w:p>
        </w:tc>
        <w:tc>
          <w:tcPr>
            <w:tcW w:w="44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Cash and investments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15,438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7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15,263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2"/>
          </w:tcPr>
          <w:p>
            <w:pPr>
              <w:ind w:left="340"/>
              <w:spacing w:after="0"/>
              <w:rPr>
                <w:sz w:val="20"/>
                <w:szCs w:val="20"/>
                <w:color w:val="auto"/>
              </w:rPr>
            </w:pPr>
            <w:r>
              <w:rPr>
                <w:rFonts w:ascii="Arial" w:cs="Arial" w:eastAsia="Arial" w:hAnsi="Arial"/>
                <w:sz w:val="14"/>
                <w:szCs w:val="14"/>
                <w:color w:val="auto"/>
              </w:rPr>
              <w:t>Assets of managed investment entities</w:t>
            </w:r>
          </w:p>
        </w:tc>
        <w:tc>
          <w:tcPr>
            <w:tcW w:w="18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4,484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4,484</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Other assets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10,042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7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10,040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80" w:type="dxa"/>
            <w:vAlign w:val="bottom"/>
            <w:gridSpan w:val="2"/>
          </w:tcPr>
          <w:p>
            <w:pPr>
              <w:ind w:left="1100"/>
              <w:spacing w:after="0"/>
              <w:rPr>
                <w:sz w:val="20"/>
                <w:szCs w:val="20"/>
                <w:color w:val="auto"/>
              </w:rPr>
            </w:pPr>
            <w:r>
              <w:rPr>
                <w:rFonts w:ascii="Arial" w:cs="Arial" w:eastAsia="Arial" w:hAnsi="Arial"/>
                <w:sz w:val="14"/>
                <w:szCs w:val="14"/>
                <w:color w:val="auto"/>
              </w:rPr>
              <w:t>Total assets</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25,480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4,484</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(177)</w:t>
            </w:r>
          </w:p>
        </w:tc>
        <w:tc>
          <w:tcPr>
            <w:tcW w:w="7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29,787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2"/>
          </w:tcPr>
          <w:p>
            <w:pPr>
              <w:ind w:left="340"/>
              <w:spacing w:after="0"/>
              <w:rPr>
                <w:sz w:val="20"/>
                <w:szCs w:val="20"/>
                <w:color w:val="auto"/>
              </w:rPr>
            </w:pPr>
            <w:r>
              <w:rPr>
                <w:rFonts w:ascii="Arial" w:cs="Arial" w:eastAsia="Arial" w:hAnsi="Arial"/>
                <w:sz w:val="14"/>
                <w:szCs w:val="14"/>
                <w:color w:val="auto"/>
              </w:rPr>
              <w:t>Unpaid losses and loss adjustment expenses and unearned premiums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16,538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16,538</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Liabilities of managed investment entities</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7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2"/>
          </w:tcPr>
          <w:p>
            <w:pPr>
              <w:ind w:left="340"/>
              <w:spacing w:after="0"/>
              <w:rPr>
                <w:sz w:val="20"/>
                <w:szCs w:val="20"/>
                <w:color w:val="auto"/>
              </w:rPr>
            </w:pPr>
            <w:r>
              <w:rPr>
                <w:rFonts w:ascii="Arial" w:cs="Arial" w:eastAsia="Arial" w:hAnsi="Arial"/>
                <w:sz w:val="14"/>
                <w:szCs w:val="14"/>
                <w:color w:val="auto"/>
              </w:rPr>
              <w:t>Long-term debt and other liabilities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4,684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4,684</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5680" w:type="dxa"/>
            <w:vAlign w:val="bottom"/>
            <w:tcBorders>
              <w:top w:val="single" w:sz="8" w:color="CCEEFF"/>
            </w:tcBorders>
            <w:gridSpan w:val="2"/>
            <w:shd w:val="clear" w:color="auto" w:fill="CCEEFF"/>
          </w:tcPr>
          <w:p>
            <w:pPr>
              <w:ind w:left="1100"/>
              <w:spacing w:after="0"/>
              <w:rPr>
                <w:sz w:val="20"/>
                <w:szCs w:val="20"/>
                <w:color w:val="auto"/>
              </w:rPr>
            </w:pPr>
            <w:r>
              <w:rPr>
                <w:rFonts w:ascii="Arial" w:cs="Arial" w:eastAsia="Arial" w:hAnsi="Arial"/>
                <w:sz w:val="14"/>
                <w:szCs w:val="14"/>
                <w:color w:val="auto"/>
              </w:rPr>
              <w:t>Total liabilities</w:t>
            </w: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21,222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25,529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Shareholders’ equity:</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2"/>
          </w:tcPr>
          <w:p>
            <w:pPr>
              <w:ind w:left="340"/>
              <w:spacing w:after="0"/>
              <w:rPr>
                <w:sz w:val="20"/>
                <w:szCs w:val="20"/>
                <w:color w:val="auto"/>
              </w:rPr>
            </w:pPr>
            <w:r>
              <w:rPr>
                <w:rFonts w:ascii="Arial" w:cs="Arial" w:eastAsia="Arial" w:hAnsi="Arial"/>
                <w:sz w:val="14"/>
                <w:szCs w:val="14"/>
                <w:color w:val="auto"/>
              </w:rPr>
              <w:t>Common Stock and Capital surplus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1,456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1,456</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Retained earnings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2"/>
          </w:tcPr>
          <w:p>
            <w:pPr>
              <w:ind w:left="340"/>
              <w:spacing w:after="0"/>
              <w:rPr>
                <w:sz w:val="20"/>
                <w:szCs w:val="20"/>
                <w:color w:val="auto"/>
              </w:rPr>
            </w:pPr>
            <w:r>
              <w:rPr>
                <w:rFonts w:ascii="Arial" w:cs="Arial" w:eastAsia="Arial" w:hAnsi="Arial"/>
                <w:sz w:val="14"/>
                <w:szCs w:val="14"/>
                <w:color w:val="auto"/>
              </w:rPr>
              <w:t>Accumulated other comprehensive income (loss), net of tax</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5680" w:type="dxa"/>
            <w:vAlign w:val="bottom"/>
            <w:tcBorders>
              <w:top w:val="single" w:sz="8" w:color="CCEEFF"/>
            </w:tcBorders>
            <w:gridSpan w:val="2"/>
            <w:shd w:val="clear" w:color="auto" w:fill="CCEEFF"/>
          </w:tcPr>
          <w:p>
            <w:pPr>
              <w:ind w:left="1100"/>
              <w:spacing w:after="0"/>
              <w:rPr>
                <w:sz w:val="20"/>
                <w:szCs w:val="20"/>
                <w:color w:val="auto"/>
              </w:rPr>
            </w:pPr>
            <w:r>
              <w:rPr>
                <w:rFonts w:ascii="Arial" w:cs="Arial" w:eastAsia="Arial" w:hAnsi="Arial"/>
                <w:sz w:val="14"/>
                <w:szCs w:val="14"/>
                <w:color w:val="auto"/>
              </w:rPr>
              <w:t>Total shareholders’ equity</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80" w:type="dxa"/>
            <w:vAlign w:val="bottom"/>
            <w:gridSpan w:val="2"/>
          </w:tcPr>
          <w:p>
            <w:pPr>
              <w:ind w:left="1100"/>
              <w:spacing w:after="0"/>
              <w:rPr>
                <w:sz w:val="20"/>
                <w:szCs w:val="20"/>
                <w:color w:val="auto"/>
              </w:rPr>
            </w:pPr>
            <w:r>
              <w:rPr>
                <w:rFonts w:ascii="Arial" w:cs="Arial" w:eastAsia="Arial" w:hAnsi="Arial"/>
                <w:sz w:val="14"/>
                <w:szCs w:val="14"/>
                <w:color w:val="auto"/>
              </w:rPr>
              <w:t>Total liabilities and shareholders’ equity</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25,480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w:t>
            </w:r>
          </w:p>
        </w:tc>
        <w:tc>
          <w:tcPr>
            <w:tcW w:w="7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29,787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gridSpan w:val="2"/>
          </w:tcPr>
          <w:p>
            <w:pPr>
              <w:spacing w:after="0"/>
              <w:rPr>
                <w:sz w:val="20"/>
                <w:szCs w:val="20"/>
                <w:color w:val="auto"/>
              </w:rPr>
            </w:pPr>
            <w:r>
              <w:rPr>
                <w:rFonts w:ascii="Arial" w:cs="Arial" w:eastAsia="Arial" w:hAnsi="Arial"/>
                <w:sz w:val="14"/>
                <w:szCs w:val="14"/>
                <w:color w:val="auto"/>
              </w:rPr>
              <w:t>December 31, 2022</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Assets: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2"/>
          </w:tcPr>
          <w:p>
            <w:pPr>
              <w:ind w:left="340"/>
              <w:spacing w:after="0"/>
              <w:rPr>
                <w:sz w:val="20"/>
                <w:szCs w:val="20"/>
                <w:color w:val="auto"/>
              </w:rPr>
            </w:pPr>
            <w:r>
              <w:rPr>
                <w:rFonts w:ascii="Arial" w:cs="Arial" w:eastAsia="Arial" w:hAnsi="Arial"/>
                <w:sz w:val="14"/>
                <w:szCs w:val="14"/>
                <w:color w:val="auto"/>
              </w:rPr>
              <w:t>Cash and investments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14,627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(115)</w:t>
            </w:r>
          </w:p>
        </w:tc>
        <w:tc>
          <w:tcPr>
            <w:tcW w:w="7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14,512</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Assets of managed investment entities</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2"/>
          </w:tcPr>
          <w:p>
            <w:pPr>
              <w:ind w:left="340"/>
              <w:spacing w:after="0"/>
              <w:rPr>
                <w:sz w:val="20"/>
                <w:szCs w:val="20"/>
                <w:color w:val="auto"/>
              </w:rPr>
            </w:pPr>
            <w:r>
              <w:rPr>
                <w:rFonts w:ascii="Arial" w:cs="Arial" w:eastAsia="Arial" w:hAnsi="Arial"/>
                <w:sz w:val="14"/>
                <w:szCs w:val="14"/>
                <w:color w:val="auto"/>
              </w:rPr>
              <w:t>Other assets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8,872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8,872</w:t>
            </w:r>
          </w:p>
        </w:tc>
        <w:tc>
          <w:tcPr>
            <w:tcW w:w="0" w:type="dxa"/>
            <w:vAlign w:val="bottom"/>
          </w:tcPr>
          <w:p>
            <w:pPr>
              <w:spacing w:after="0"/>
              <w:rPr>
                <w:sz w:val="1"/>
                <w:szCs w:val="1"/>
                <w:color w:val="auto"/>
              </w:rPr>
            </w:pPr>
          </w:p>
        </w:tc>
      </w:tr>
      <w:tr>
        <w:trPr>
          <w:trHeight w:val="22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680" w:type="dxa"/>
            <w:vAlign w:val="bottom"/>
            <w:tcBorders>
              <w:top w:val="single" w:sz="8" w:color="CCEEFF"/>
              <w:bottom w:val="single" w:sz="8" w:color="CCEEFF"/>
            </w:tcBorders>
            <w:gridSpan w:val="2"/>
            <w:shd w:val="clear" w:color="auto" w:fill="CCEEFF"/>
          </w:tcPr>
          <w:p>
            <w:pPr>
              <w:ind w:left="1100"/>
              <w:spacing w:after="0"/>
              <w:rPr>
                <w:sz w:val="20"/>
                <w:szCs w:val="20"/>
                <w:color w:val="auto"/>
              </w:rPr>
            </w:pPr>
            <w:r>
              <w:rPr>
                <w:rFonts w:ascii="Arial" w:cs="Arial" w:eastAsia="Arial" w:hAnsi="Arial"/>
                <w:sz w:val="14"/>
                <w:szCs w:val="14"/>
                <w:color w:val="auto"/>
              </w:rPr>
              <w:t>Total assets</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28,831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6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vMerge w:val="continue"/>
          </w:tcPr>
          <w:p>
            <w:pPr>
              <w:spacing w:after="0"/>
              <w:rPr>
                <w:sz w:val="12"/>
                <w:szCs w:val="12"/>
                <w:color w:val="auto"/>
              </w:rPr>
            </w:pPr>
          </w:p>
        </w:tc>
        <w:tc>
          <w:tcPr>
            <w:tcW w:w="56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Unpaid losses and loss adjustment expenses and unearned premiums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15,220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15,220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2"/>
          </w:tcPr>
          <w:p>
            <w:pPr>
              <w:ind w:left="340"/>
              <w:spacing w:after="0"/>
              <w:rPr>
                <w:sz w:val="20"/>
                <w:szCs w:val="20"/>
                <w:color w:val="auto"/>
              </w:rPr>
            </w:pPr>
            <w:r>
              <w:rPr>
                <w:rFonts w:ascii="Arial" w:cs="Arial" w:eastAsia="Arial" w:hAnsi="Arial"/>
                <w:sz w:val="14"/>
                <w:szCs w:val="14"/>
                <w:color w:val="auto"/>
              </w:rPr>
              <w:t>Liabilities of managed investment entities</w:t>
            </w:r>
          </w:p>
        </w:tc>
        <w:tc>
          <w:tcPr>
            <w:tcW w:w="18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5,444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(112)</w:t>
            </w:r>
          </w:p>
        </w:tc>
        <w:tc>
          <w:tcPr>
            <w:tcW w:w="7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5,332</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Long-term debt and other liabilities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80" w:type="dxa"/>
            <w:vAlign w:val="bottom"/>
            <w:gridSpan w:val="2"/>
          </w:tcPr>
          <w:p>
            <w:pPr>
              <w:ind w:left="1100"/>
              <w:spacing w:after="0"/>
              <w:rPr>
                <w:sz w:val="20"/>
                <w:szCs w:val="20"/>
                <w:color w:val="auto"/>
              </w:rPr>
            </w:pPr>
            <w:r>
              <w:rPr>
                <w:rFonts w:ascii="Arial" w:cs="Arial" w:eastAsia="Arial" w:hAnsi="Arial"/>
                <w:sz w:val="14"/>
                <w:szCs w:val="14"/>
                <w:color w:val="auto"/>
              </w:rPr>
              <w:t>Total liabilities</w:t>
            </w: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19,447</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5,444</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(112)</w:t>
            </w:r>
          </w:p>
        </w:tc>
        <w:tc>
          <w:tcPr>
            <w:tcW w:w="7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24,779</w:t>
            </w: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4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80" w:type="dxa"/>
            <w:vAlign w:val="bottom"/>
            <w:gridSpan w:val="2"/>
          </w:tcPr>
          <w:p>
            <w:pPr>
              <w:spacing w:after="0"/>
              <w:rPr>
                <w:sz w:val="20"/>
                <w:szCs w:val="20"/>
                <w:color w:val="auto"/>
              </w:rPr>
            </w:pPr>
            <w:r>
              <w:rPr>
                <w:rFonts w:ascii="Arial" w:cs="Arial" w:eastAsia="Arial" w:hAnsi="Arial"/>
                <w:sz w:val="14"/>
                <w:szCs w:val="14"/>
                <w:color w:val="auto"/>
              </w:rPr>
              <w:t>Shareholders’ equity:</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6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Common Stock and Capital surplus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80" w:type="dxa"/>
            <w:vAlign w:val="bottom"/>
            <w:gridSpan w:val="2"/>
          </w:tcPr>
          <w:p>
            <w:pPr>
              <w:ind w:left="340"/>
              <w:spacing w:after="0"/>
              <w:rPr>
                <w:sz w:val="20"/>
                <w:szCs w:val="20"/>
                <w:color w:val="auto"/>
              </w:rPr>
            </w:pPr>
            <w:r>
              <w:rPr>
                <w:rFonts w:ascii="Arial" w:cs="Arial" w:eastAsia="Arial" w:hAnsi="Arial"/>
                <w:sz w:val="14"/>
                <w:szCs w:val="14"/>
                <w:color w:val="auto"/>
              </w:rPr>
              <w:t>Retained earnings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3,142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3,142</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6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Accumulated other comprehensive income (loss), net of tax</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5680" w:type="dxa"/>
            <w:vAlign w:val="bottom"/>
            <w:tcBorders>
              <w:bottom w:val="single" w:sz="8" w:color="CCEEFF"/>
            </w:tcBorders>
            <w:gridSpan w:val="2"/>
          </w:tcPr>
          <w:p>
            <w:pPr>
              <w:ind w:left="1100"/>
              <w:spacing w:after="0"/>
              <w:rPr>
                <w:sz w:val="20"/>
                <w:szCs w:val="20"/>
                <w:color w:val="auto"/>
              </w:rPr>
            </w:pPr>
            <w:r>
              <w:rPr>
                <w:rFonts w:ascii="Arial" w:cs="Arial" w:eastAsia="Arial" w:hAnsi="Arial"/>
                <w:sz w:val="14"/>
                <w:szCs w:val="14"/>
                <w:color w:val="auto"/>
              </w:rPr>
              <w:t>Total shareholders’ equity</w:t>
            </w:r>
          </w:p>
        </w:tc>
        <w:tc>
          <w:tcPr>
            <w:tcW w:w="1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4,052</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7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4,052</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5680" w:type="dxa"/>
            <w:vAlign w:val="bottom"/>
            <w:tcBorders>
              <w:bottom w:val="single" w:sz="8" w:color="CCEEFF"/>
            </w:tcBorders>
            <w:gridSpan w:val="2"/>
            <w:shd w:val="clear" w:color="auto" w:fill="CCEEFF"/>
          </w:tcPr>
          <w:p>
            <w:pPr>
              <w:ind w:left="1100"/>
              <w:spacing w:after="0"/>
              <w:rPr>
                <w:sz w:val="20"/>
                <w:szCs w:val="20"/>
                <w:color w:val="auto"/>
              </w:rPr>
            </w:pPr>
            <w:r>
              <w:rPr>
                <w:rFonts w:ascii="Arial" w:cs="Arial" w:eastAsia="Arial" w:hAnsi="Arial"/>
                <w:sz w:val="14"/>
                <w:szCs w:val="14"/>
                <w:color w:val="auto"/>
              </w:rPr>
              <w:t>Total liabilities and shareholders’ equity</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23,499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7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28,831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400" w:hanging="392"/>
        <w:spacing w:after="0"/>
        <w:tabs>
          <w:tab w:leader="none" w:pos="400" w:val="left"/>
        </w:tabs>
        <w:numPr>
          <w:ilvl w:val="0"/>
          <w:numId w:val="23"/>
        </w:numPr>
        <w:rPr>
          <w:rFonts w:ascii="Arial" w:cs="Arial" w:eastAsia="Arial" w:hAnsi="Arial"/>
          <w:sz w:val="16"/>
          <w:szCs w:val="16"/>
          <w:color w:val="auto"/>
        </w:rPr>
      </w:pPr>
      <w:r>
        <w:rPr>
          <w:rFonts w:ascii="Arial" w:cs="Arial" w:eastAsia="Arial" w:hAnsi="Arial"/>
          <w:sz w:val="14"/>
          <w:szCs w:val="14"/>
          <w:color w:val="auto"/>
        </w:rPr>
        <w:t>Elimination of the fair value of AFG’s investment in CLOs and related accrued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CONSOLIDATING STATEMENT OF EARNINGS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rPr>
              <w:t>Before CLO</w:t>
            </w: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Managed</w:t>
            </w:r>
          </w:p>
        </w:tc>
        <w:tc>
          <w:tcPr>
            <w:tcW w:w="160" w:type="dxa"/>
            <w:vAlign w:val="bottom"/>
          </w:tcPr>
          <w:p>
            <w:pPr>
              <w:spacing w:after="0"/>
              <w:rPr>
                <w:sz w:val="14"/>
                <w:szCs w:val="14"/>
                <w:color w:val="auto"/>
              </w:rPr>
            </w:pPr>
          </w:p>
        </w:tc>
        <w:tc>
          <w:tcPr>
            <w:tcW w:w="740" w:type="dxa"/>
            <w:vAlign w:val="bottom"/>
            <w:vMerge w:val="restart"/>
          </w:tcPr>
          <w:p>
            <w:pPr>
              <w:jc w:val="right"/>
              <w:ind w:right="128"/>
              <w:spacing w:after="0"/>
              <w:rPr>
                <w:sz w:val="20"/>
                <w:szCs w:val="20"/>
                <w:color w:val="auto"/>
              </w:rPr>
            </w:pPr>
            <w:r>
              <w:rPr>
                <w:rFonts w:ascii="Arial" w:cs="Arial" w:eastAsia="Arial" w:hAnsi="Arial"/>
                <w:sz w:val="14"/>
                <w:szCs w:val="14"/>
                <w:color w:val="auto"/>
              </w:rPr>
              <w:t>Consol.</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Investment</w:t>
            </w: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color w:val="auto"/>
              </w:rPr>
              <w:t>Consolidation (a)</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Entities</w:t>
            </w:r>
          </w:p>
        </w:tc>
        <w:tc>
          <w:tcPr>
            <w:tcW w:w="160" w:type="dxa"/>
            <w:vAlign w:val="bottom"/>
          </w:tcPr>
          <w:p>
            <w:pPr>
              <w:spacing w:after="0"/>
              <w:rPr>
                <w:sz w:val="16"/>
                <w:szCs w:val="16"/>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Entries</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As Reported</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640" w:type="dxa"/>
            <w:vAlign w:val="bottom"/>
            <w:tcBorders>
              <w:top w:val="single" w:sz="8" w:color="CCEEFF"/>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Three months ended December 31, 2023</w:t>
            </w:r>
          </w:p>
        </w:tc>
        <w:tc>
          <w:tcPr>
            <w:tcW w:w="30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3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2"/>
          </w:tcPr>
          <w:p>
            <w:pPr>
              <w:spacing w:after="0"/>
              <w:rPr>
                <w:sz w:val="20"/>
                <w:szCs w:val="20"/>
                <w:color w:val="auto"/>
              </w:rPr>
            </w:pPr>
            <w:r>
              <w:rPr>
                <w:rFonts w:ascii="Arial" w:cs="Arial" w:eastAsia="Arial" w:hAnsi="Arial"/>
                <w:sz w:val="14"/>
                <w:szCs w:val="14"/>
                <w:color w:val="auto"/>
              </w:rPr>
              <w:t>Revenues:</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Property and casualty insurance net earned premiums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2"/>
          </w:tcPr>
          <w:p>
            <w:pPr>
              <w:ind w:left="340"/>
              <w:spacing w:after="0"/>
              <w:rPr>
                <w:sz w:val="20"/>
                <w:szCs w:val="20"/>
                <w:color w:val="auto"/>
              </w:rPr>
            </w:pPr>
            <w:r>
              <w:rPr>
                <w:rFonts w:ascii="Arial" w:cs="Arial" w:eastAsia="Arial" w:hAnsi="Arial"/>
                <w:sz w:val="14"/>
                <w:szCs w:val="14"/>
                <w:color w:val="auto"/>
              </w:rPr>
              <w:t>Net investment income</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w:t>
            </w:r>
          </w:p>
        </w:tc>
        <w:tc>
          <w:tcPr>
            <w:tcW w:w="800" w:type="dxa"/>
            <w:vAlign w:val="bottom"/>
          </w:tcPr>
          <w:p>
            <w:pPr>
              <w:ind w:left="120"/>
              <w:spacing w:after="0"/>
              <w:rPr>
                <w:sz w:val="20"/>
                <w:szCs w:val="20"/>
                <w:color w:val="auto"/>
              </w:rPr>
            </w:pPr>
            <w:r>
              <w:rPr>
                <w:rFonts w:ascii="Arial" w:cs="Arial" w:eastAsia="Arial" w:hAnsi="Arial"/>
                <w:sz w:val="14"/>
                <w:szCs w:val="14"/>
                <w:color w:val="auto"/>
              </w:rPr>
              <w:t>(b)</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Realized gains (losses) on securities</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2"/>
          </w:tcPr>
          <w:p>
            <w:pPr>
              <w:ind w:left="340"/>
              <w:spacing w:after="0"/>
              <w:rPr>
                <w:sz w:val="20"/>
                <w:szCs w:val="20"/>
                <w:color w:val="auto"/>
              </w:rPr>
            </w:pPr>
            <w:r>
              <w:rPr>
                <w:rFonts w:ascii="Arial" w:cs="Arial" w:eastAsia="Arial" w:hAnsi="Arial"/>
                <w:sz w:val="14"/>
                <w:szCs w:val="14"/>
                <w:color w:val="auto"/>
              </w:rPr>
              <w:t>Income of managed investment entities:</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Investment income</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2"/>
          </w:tcPr>
          <w:p>
            <w:pPr>
              <w:ind w:left="660"/>
              <w:spacing w:after="0"/>
              <w:rPr>
                <w:sz w:val="20"/>
                <w:szCs w:val="20"/>
                <w:color w:val="auto"/>
              </w:rPr>
            </w:pPr>
            <w:r>
              <w:rPr>
                <w:rFonts w:ascii="Arial" w:cs="Arial" w:eastAsia="Arial" w:hAnsi="Arial"/>
                <w:sz w:val="14"/>
                <w:szCs w:val="14"/>
                <w:color w:val="auto"/>
              </w:rPr>
              <w:t>Gain (loss) on change in fair value of assets/liabilities</w:t>
            </w:r>
          </w:p>
        </w:tc>
        <w:tc>
          <w:tcPr>
            <w:tcW w:w="14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w:t>
            </w:r>
          </w:p>
        </w:tc>
        <w:tc>
          <w:tcPr>
            <w:tcW w:w="800" w:type="dxa"/>
            <w:vAlign w:val="bottom"/>
          </w:tcPr>
          <w:p>
            <w:pPr>
              <w:ind w:left="120"/>
              <w:spacing w:after="0"/>
              <w:rPr>
                <w:sz w:val="20"/>
                <w:szCs w:val="20"/>
                <w:color w:val="auto"/>
              </w:rPr>
            </w:pPr>
            <w:r>
              <w:rPr>
                <w:rFonts w:ascii="Arial" w:cs="Arial" w:eastAsia="Arial" w:hAnsi="Arial"/>
                <w:sz w:val="14"/>
                <w:szCs w:val="14"/>
                <w:color w:val="auto"/>
              </w:rPr>
              <w:t>(b)</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Other income</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80" w:type="dxa"/>
            <w:vAlign w:val="bottom"/>
            <w:gridSpan w:val="2"/>
          </w:tcPr>
          <w:p>
            <w:pPr>
              <w:ind w:left="1100"/>
              <w:spacing w:after="0"/>
              <w:rPr>
                <w:sz w:val="20"/>
                <w:szCs w:val="20"/>
                <w:color w:val="auto"/>
              </w:rPr>
            </w:pPr>
            <w:r>
              <w:rPr>
                <w:rFonts w:ascii="Arial" w:cs="Arial" w:eastAsia="Arial" w:hAnsi="Arial"/>
                <w:sz w:val="14"/>
                <w:szCs w:val="14"/>
                <w:color w:val="auto"/>
              </w:rPr>
              <w:t>Total revenues</w:t>
            </w: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1,981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8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2,083</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Costs and Expenses:</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2"/>
          </w:tcPr>
          <w:p>
            <w:pPr>
              <w:ind w:left="340"/>
              <w:spacing w:after="0"/>
              <w:rPr>
                <w:sz w:val="20"/>
                <w:szCs w:val="20"/>
                <w:color w:val="auto"/>
              </w:rPr>
            </w:pPr>
            <w:r>
              <w:rPr>
                <w:rFonts w:ascii="Arial" w:cs="Arial" w:eastAsia="Arial" w:hAnsi="Arial"/>
                <w:sz w:val="14"/>
                <w:szCs w:val="14"/>
                <w:color w:val="auto"/>
              </w:rPr>
              <w:t>Insurance benefits and expenses</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1,549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1,549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Expenses of managed investment entities</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(b)(c)</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2"/>
          </w:tcPr>
          <w:p>
            <w:pPr>
              <w:ind w:left="340"/>
              <w:spacing w:after="0"/>
              <w:rPr>
                <w:sz w:val="20"/>
                <w:szCs w:val="20"/>
                <w:color w:val="auto"/>
              </w:rPr>
            </w:pPr>
            <w:r>
              <w:rPr>
                <w:rFonts w:ascii="Arial" w:cs="Arial" w:eastAsia="Arial" w:hAnsi="Arial"/>
                <w:sz w:val="14"/>
                <w:szCs w:val="14"/>
                <w:color w:val="auto"/>
              </w:rPr>
              <w:t>Interest charges on borrowed money and other expenses</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5680" w:type="dxa"/>
            <w:vAlign w:val="bottom"/>
            <w:tcBorders>
              <w:top w:val="single" w:sz="8" w:color="CCEEFF"/>
            </w:tcBorders>
            <w:gridSpan w:val="2"/>
            <w:shd w:val="clear" w:color="auto" w:fill="CCEEFF"/>
          </w:tcPr>
          <w:p>
            <w:pPr>
              <w:ind w:left="1100"/>
              <w:spacing w:after="0"/>
              <w:rPr>
                <w:sz w:val="20"/>
                <w:szCs w:val="20"/>
                <w:color w:val="auto"/>
              </w:rPr>
            </w:pPr>
            <w:r>
              <w:rPr>
                <w:rFonts w:ascii="Arial" w:cs="Arial" w:eastAsia="Arial" w:hAnsi="Arial"/>
                <w:sz w:val="14"/>
                <w:szCs w:val="14"/>
                <w:color w:val="auto"/>
              </w:rPr>
              <w:t>Total costs and expenses</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8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80" w:type="dxa"/>
            <w:vAlign w:val="bottom"/>
            <w:gridSpan w:val="2"/>
          </w:tcPr>
          <w:p>
            <w:pPr>
              <w:spacing w:after="0"/>
              <w:rPr>
                <w:sz w:val="20"/>
                <w:szCs w:val="20"/>
                <w:color w:val="auto"/>
              </w:rPr>
            </w:pPr>
            <w:r>
              <w:rPr>
                <w:rFonts w:ascii="Arial" w:cs="Arial" w:eastAsia="Arial" w:hAnsi="Arial"/>
                <w:sz w:val="14"/>
                <w:szCs w:val="14"/>
                <w:color w:val="auto"/>
              </w:rPr>
              <w:t>Earnings before income taxes</w:t>
            </w:r>
          </w:p>
        </w:tc>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1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80" w:type="dxa"/>
            <w:vAlign w:val="bottom"/>
            <w:gridSpan w:val="2"/>
          </w:tcPr>
          <w:p>
            <w:pPr>
              <w:spacing w:after="0"/>
              <w:rPr>
                <w:sz w:val="20"/>
                <w:szCs w:val="20"/>
                <w:color w:val="auto"/>
              </w:rPr>
            </w:pPr>
            <w:r>
              <w:rPr>
                <w:rFonts w:ascii="Arial" w:cs="Arial" w:eastAsia="Arial" w:hAnsi="Arial"/>
                <w:sz w:val="14"/>
                <w:szCs w:val="14"/>
                <w:color w:val="auto"/>
              </w:rPr>
              <w:t>Net earnings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263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64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gridSpan w:val="2"/>
          </w:tcPr>
          <w:p>
            <w:pPr>
              <w:spacing w:after="0"/>
              <w:rPr>
                <w:sz w:val="20"/>
                <w:szCs w:val="20"/>
                <w:color w:val="auto"/>
              </w:rPr>
            </w:pPr>
            <w:r>
              <w:rPr>
                <w:rFonts w:ascii="Arial" w:cs="Arial" w:eastAsia="Arial" w:hAnsi="Arial"/>
                <w:sz w:val="14"/>
                <w:szCs w:val="14"/>
                <w:color w:val="auto"/>
              </w:rPr>
              <w:t>Three months ended December 31, 2022</w:t>
            </w: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40" w:type="dxa"/>
            <w:vAlign w:val="bottom"/>
            <w:tcBorders>
              <w:top w:val="single" w:sz="8" w:color="auto"/>
            </w:tcBorders>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Revenues:</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2"/>
          </w:tcPr>
          <w:p>
            <w:pPr>
              <w:ind w:left="340"/>
              <w:spacing w:after="0"/>
              <w:rPr>
                <w:sz w:val="20"/>
                <w:szCs w:val="20"/>
                <w:color w:val="auto"/>
              </w:rPr>
            </w:pPr>
            <w:r>
              <w:rPr>
                <w:rFonts w:ascii="Arial" w:cs="Arial" w:eastAsia="Arial" w:hAnsi="Arial"/>
                <w:sz w:val="14"/>
                <w:szCs w:val="14"/>
                <w:color w:val="auto"/>
              </w:rPr>
              <w:t>Property and casualty insurance net earned premiums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1,623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1,623</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Net investment income</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2"/>
          </w:tcPr>
          <w:p>
            <w:pPr>
              <w:ind w:left="340"/>
              <w:spacing w:after="0"/>
              <w:rPr>
                <w:sz w:val="20"/>
                <w:szCs w:val="20"/>
                <w:color w:val="auto"/>
              </w:rPr>
            </w:pPr>
            <w:r>
              <w:rPr>
                <w:rFonts w:ascii="Arial" w:cs="Arial" w:eastAsia="Arial" w:hAnsi="Arial"/>
                <w:sz w:val="14"/>
                <w:szCs w:val="14"/>
                <w:color w:val="auto"/>
              </w:rPr>
              <w:t>Realized gains (losses) on securities</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Income of managed investment entities:</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2"/>
          </w:tcPr>
          <w:p>
            <w:pPr>
              <w:ind w:left="660"/>
              <w:spacing w:after="0"/>
              <w:rPr>
                <w:sz w:val="20"/>
                <w:szCs w:val="20"/>
                <w:color w:val="auto"/>
              </w:rPr>
            </w:pPr>
            <w:r>
              <w:rPr>
                <w:rFonts w:ascii="Arial" w:cs="Arial" w:eastAsia="Arial" w:hAnsi="Arial"/>
                <w:sz w:val="14"/>
                <w:szCs w:val="14"/>
                <w:color w:val="auto"/>
              </w:rPr>
              <w:t>Investment income</w:t>
            </w:r>
          </w:p>
        </w:tc>
        <w:tc>
          <w:tcPr>
            <w:tcW w:w="14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Gain (loss) on change in fair value of assets/liabilities</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2"/>
          </w:tcPr>
          <w:p>
            <w:pPr>
              <w:ind w:left="340"/>
              <w:spacing w:after="0"/>
              <w:rPr>
                <w:sz w:val="20"/>
                <w:szCs w:val="20"/>
                <w:color w:val="auto"/>
              </w:rPr>
            </w:pPr>
            <w:r>
              <w:rPr>
                <w:rFonts w:ascii="Arial" w:cs="Arial" w:eastAsia="Arial" w:hAnsi="Arial"/>
                <w:sz w:val="14"/>
                <w:szCs w:val="14"/>
                <w:color w:val="auto"/>
              </w:rPr>
              <w:t>Other income</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w:t>
            </w:r>
          </w:p>
        </w:tc>
        <w:tc>
          <w:tcPr>
            <w:tcW w:w="800" w:type="dxa"/>
            <w:vAlign w:val="bottom"/>
          </w:tcPr>
          <w:p>
            <w:pPr>
              <w:ind w:left="120"/>
              <w:spacing w:after="0"/>
              <w:rPr>
                <w:sz w:val="20"/>
                <w:szCs w:val="20"/>
                <w:color w:val="auto"/>
              </w:rPr>
            </w:pPr>
            <w:r>
              <w:rPr>
                <w:rFonts w:ascii="Arial" w:cs="Arial" w:eastAsia="Arial" w:hAnsi="Arial"/>
                <w:sz w:val="14"/>
                <w:szCs w:val="14"/>
                <w:color w:val="auto"/>
              </w:rPr>
              <w:t>(c)</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5680" w:type="dxa"/>
            <w:vAlign w:val="bottom"/>
            <w:tcBorders>
              <w:top w:val="single" w:sz="8" w:color="CCEEFF"/>
            </w:tcBorders>
            <w:gridSpan w:val="2"/>
            <w:shd w:val="clear" w:color="auto" w:fill="CCEEFF"/>
          </w:tcPr>
          <w:p>
            <w:pPr>
              <w:ind w:left="1100"/>
              <w:spacing w:after="0"/>
              <w:rPr>
                <w:sz w:val="20"/>
                <w:szCs w:val="20"/>
                <w:color w:val="auto"/>
              </w:rPr>
            </w:pPr>
            <w:r>
              <w:rPr>
                <w:rFonts w:ascii="Arial" w:cs="Arial" w:eastAsia="Arial" w:hAnsi="Arial"/>
                <w:sz w:val="14"/>
                <w:szCs w:val="14"/>
                <w:color w:val="auto"/>
              </w:rPr>
              <w:t>Total revenues</w:t>
            </w: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2"/>
          </w:tcPr>
          <w:p>
            <w:pPr>
              <w:spacing w:after="0"/>
              <w:rPr>
                <w:sz w:val="20"/>
                <w:szCs w:val="20"/>
                <w:color w:val="auto"/>
              </w:rPr>
            </w:pPr>
            <w:r>
              <w:rPr>
                <w:rFonts w:ascii="Arial" w:cs="Arial" w:eastAsia="Arial" w:hAnsi="Arial"/>
                <w:sz w:val="14"/>
                <w:szCs w:val="14"/>
                <w:color w:val="auto"/>
              </w:rPr>
              <w:t>Costs and Expenses:</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Insurance benefits and expenses</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gridSpan w:val="2"/>
          </w:tcPr>
          <w:p>
            <w:pPr>
              <w:ind w:left="340"/>
              <w:spacing w:after="0"/>
              <w:rPr>
                <w:sz w:val="20"/>
                <w:szCs w:val="20"/>
                <w:color w:val="auto"/>
              </w:rPr>
            </w:pPr>
            <w:r>
              <w:rPr>
                <w:rFonts w:ascii="Arial" w:cs="Arial" w:eastAsia="Arial" w:hAnsi="Arial"/>
                <w:sz w:val="14"/>
                <w:szCs w:val="14"/>
                <w:color w:val="auto"/>
              </w:rPr>
              <w:t>Expenses of managed investment entities</w:t>
            </w:r>
          </w:p>
        </w:tc>
        <w:tc>
          <w:tcPr>
            <w:tcW w:w="14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w:t>
            </w:r>
          </w:p>
        </w:tc>
        <w:tc>
          <w:tcPr>
            <w:tcW w:w="800" w:type="dxa"/>
            <w:vAlign w:val="bottom"/>
          </w:tcPr>
          <w:p>
            <w:pPr>
              <w:ind w:left="120"/>
              <w:spacing w:after="0"/>
              <w:rPr>
                <w:sz w:val="20"/>
                <w:szCs w:val="20"/>
                <w:color w:val="auto"/>
              </w:rPr>
            </w:pPr>
            <w:r>
              <w:rPr>
                <w:rFonts w:ascii="Arial" w:cs="Arial" w:eastAsia="Arial" w:hAnsi="Arial"/>
                <w:sz w:val="14"/>
                <w:szCs w:val="14"/>
                <w:color w:val="auto"/>
              </w:rPr>
              <w:t>(b)(c)</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Interest charges on borrowed money and other expenses</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5680" w:type="dxa"/>
            <w:vAlign w:val="bottom"/>
            <w:tcBorders>
              <w:bottom w:val="single" w:sz="8" w:color="CCEEFF"/>
            </w:tcBorders>
            <w:gridSpan w:val="2"/>
          </w:tcPr>
          <w:p>
            <w:pPr>
              <w:ind w:left="1100"/>
              <w:spacing w:after="0"/>
              <w:rPr>
                <w:sz w:val="20"/>
                <w:szCs w:val="20"/>
                <w:color w:val="auto"/>
              </w:rPr>
            </w:pPr>
            <w:r>
              <w:rPr>
                <w:rFonts w:ascii="Arial" w:cs="Arial" w:eastAsia="Arial" w:hAnsi="Arial"/>
                <w:sz w:val="14"/>
                <w:szCs w:val="14"/>
                <w:color w:val="auto"/>
              </w:rPr>
              <w:t>Total costs and expenses</w:t>
            </w:r>
          </w:p>
        </w:tc>
        <w:tc>
          <w:tcPr>
            <w:tcW w:w="14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1,501</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8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1,583</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Earnings before income taxes</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56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Provision for income taxes</w:t>
            </w: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earnings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420" w:right="480" w:hanging="412"/>
        <w:spacing w:after="0" w:line="272" w:lineRule="auto"/>
        <w:tabs>
          <w:tab w:leader="none" w:pos="407"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income of $9 million in the fourth quarter of 2023 and less than $1 million in the fourth quarter of 2022, representing the change in fair value of AFG’s CLO investments and $4 million and $5 million of income in the fourth quarter of 2023 and 2022, respectively, in CLO management fees earned.</w:t>
      </w:r>
    </w:p>
    <w:p>
      <w:pPr>
        <w:ind w:left="420" w:right="480" w:hanging="412"/>
        <w:spacing w:after="0" w:line="251" w:lineRule="auto"/>
        <w:tabs>
          <w:tab w:leader="none" w:pos="407" w:val="left"/>
        </w:tabs>
        <w:numPr>
          <w:ilvl w:val="0"/>
          <w:numId w:val="24"/>
        </w:numPr>
        <w:rPr>
          <w:rFonts w:ascii="Arial" w:cs="Arial" w:eastAsia="Arial" w:hAnsi="Arial"/>
          <w:sz w:val="14"/>
          <w:szCs w:val="14"/>
          <w:color w:val="auto"/>
        </w:rPr>
      </w:pPr>
      <w:r>
        <w:rPr>
          <w:rFonts w:ascii="Arial" w:cs="Arial" w:eastAsia="Arial" w:hAnsi="Arial"/>
          <w:sz w:val="14"/>
          <w:szCs w:val="14"/>
          <w:color w:val="auto"/>
        </w:rPr>
        <w:t>Elimination of the change in fair value of AFG’s investments in the CLOs, including $11 million and $5 million in the fourth quarter of 2023 and 2022, respectively, in distributions recorded as interest expense by the CLOs.</w:t>
      </w:r>
    </w:p>
    <w:p>
      <w:pPr>
        <w:ind w:left="400" w:hanging="392"/>
        <w:spacing w:after="0"/>
        <w:tabs>
          <w:tab w:leader="none" w:pos="4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Elimination of management fees earned by AFG.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CONSOLIDATING STATEMENT OF EARNINGS - CONTINUED</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color w:val="auto"/>
              </w:rPr>
              <w:t>Before</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color w:val="auto"/>
              </w:rPr>
              <w:t>Managed</w:t>
            </w:r>
          </w:p>
        </w:tc>
        <w:tc>
          <w:tcPr>
            <w:tcW w:w="160" w:type="dxa"/>
            <w:vAlign w:val="bottom"/>
          </w:tcPr>
          <w:p>
            <w:pPr>
              <w:spacing w:after="0"/>
              <w:rPr>
                <w:sz w:val="14"/>
                <w:szCs w:val="14"/>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color w:val="auto"/>
              </w:rPr>
              <w:t>Consol.</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CLO</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rPr>
              <w:t>Investment</w:t>
            </w: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color w:val="auto"/>
              </w:rPr>
              <w:t>Consol. (a)</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color w:val="auto"/>
              </w:rPr>
              <w:t>Entities</w:t>
            </w:r>
          </w:p>
        </w:tc>
        <w:tc>
          <w:tcPr>
            <w:tcW w:w="160" w:type="dxa"/>
            <w:vAlign w:val="bottom"/>
          </w:tcPr>
          <w:p>
            <w:pPr>
              <w:spacing w:after="0"/>
              <w:rPr>
                <w:sz w:val="16"/>
                <w:szCs w:val="16"/>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Entries</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As Reported</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60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Year ended December 31, 2023</w:t>
            </w: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Borders>
              <w:top w:val="single" w:sz="8" w:color="CCEEFF"/>
            </w:tcBorders>
          </w:tcPr>
          <w:p>
            <w:pPr>
              <w:spacing w:after="0"/>
              <w:rPr>
                <w:sz w:val="17"/>
                <w:szCs w:val="17"/>
                <w:color w:val="auto"/>
              </w:rPr>
            </w:pPr>
          </w:p>
        </w:tc>
        <w:tc>
          <w:tcPr>
            <w:tcW w:w="20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Revenues:</w:t>
            </w:r>
          </w:p>
        </w:tc>
        <w:tc>
          <w:tcPr>
            <w:tcW w:w="40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0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Property and casualty insurance net earned premiums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80" w:type="dxa"/>
            <w:vAlign w:val="bottom"/>
            <w:gridSpan w:val="2"/>
          </w:tcPr>
          <w:p>
            <w:pPr>
              <w:ind w:left="340"/>
              <w:spacing w:after="0"/>
              <w:rPr>
                <w:sz w:val="20"/>
                <w:szCs w:val="20"/>
                <w:color w:val="auto"/>
              </w:rPr>
            </w:pPr>
            <w:r>
              <w:rPr>
                <w:rFonts w:ascii="Arial" w:cs="Arial" w:eastAsia="Arial" w:hAnsi="Arial"/>
                <w:sz w:val="14"/>
                <w:szCs w:val="14"/>
                <w:color w:val="auto"/>
              </w:rPr>
              <w:t>Net investment income</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769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w:t>
            </w:r>
          </w:p>
        </w:tc>
        <w:tc>
          <w:tcPr>
            <w:tcW w:w="800" w:type="dxa"/>
            <w:vAlign w:val="bottom"/>
          </w:tcPr>
          <w:p>
            <w:pPr>
              <w:ind w:left="120"/>
              <w:spacing w:after="0"/>
              <w:rPr>
                <w:sz w:val="20"/>
                <w:szCs w:val="20"/>
                <w:color w:val="auto"/>
              </w:rPr>
            </w:pPr>
            <w:r>
              <w:rPr>
                <w:rFonts w:ascii="Arial" w:cs="Arial" w:eastAsia="Arial" w:hAnsi="Arial"/>
                <w:sz w:val="14"/>
                <w:szCs w:val="14"/>
                <w:color w:val="auto"/>
              </w:rPr>
              <w:t>(b)</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742</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0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Realized gains (losses) on:</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80" w:type="dxa"/>
            <w:vAlign w:val="bottom"/>
            <w:gridSpan w:val="2"/>
          </w:tcPr>
          <w:p>
            <w:pPr>
              <w:ind w:left="660"/>
              <w:spacing w:after="0"/>
              <w:rPr>
                <w:sz w:val="20"/>
                <w:szCs w:val="20"/>
                <w:color w:val="auto"/>
              </w:rPr>
            </w:pPr>
            <w:r>
              <w:rPr>
                <w:rFonts w:ascii="Arial" w:cs="Arial" w:eastAsia="Arial" w:hAnsi="Arial"/>
                <w:sz w:val="14"/>
                <w:szCs w:val="14"/>
                <w:color w:val="auto"/>
              </w:rPr>
              <w:t>Securities</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0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Subsidiaries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80" w:type="dxa"/>
            <w:vAlign w:val="bottom"/>
            <w:gridSpan w:val="2"/>
          </w:tcPr>
          <w:p>
            <w:pPr>
              <w:ind w:left="340"/>
              <w:spacing w:after="0"/>
              <w:rPr>
                <w:sz w:val="20"/>
                <w:szCs w:val="20"/>
                <w:color w:val="auto"/>
              </w:rPr>
            </w:pPr>
            <w:r>
              <w:rPr>
                <w:rFonts w:ascii="Arial" w:cs="Arial" w:eastAsia="Arial" w:hAnsi="Arial"/>
                <w:sz w:val="14"/>
                <w:szCs w:val="14"/>
                <w:color w:val="auto"/>
              </w:rPr>
              <w:t>Income of managed investment entities:</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0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Investment income</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80" w:type="dxa"/>
            <w:vAlign w:val="bottom"/>
            <w:gridSpan w:val="2"/>
          </w:tcPr>
          <w:p>
            <w:pPr>
              <w:ind w:left="660"/>
              <w:spacing w:after="0"/>
              <w:rPr>
                <w:sz w:val="20"/>
                <w:szCs w:val="20"/>
                <w:color w:val="auto"/>
              </w:rPr>
            </w:pPr>
            <w:r>
              <w:rPr>
                <w:rFonts w:ascii="Arial" w:cs="Arial" w:eastAsia="Arial" w:hAnsi="Arial"/>
                <w:sz w:val="14"/>
                <w:szCs w:val="14"/>
                <w:color w:val="auto"/>
              </w:rPr>
              <w:t>Gain (loss) on change in fair value of assets/liabilities</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c>
          <w:tcPr>
            <w:tcW w:w="800" w:type="dxa"/>
            <w:vAlign w:val="bottom"/>
          </w:tcPr>
          <w:p>
            <w:pPr>
              <w:ind w:left="120"/>
              <w:spacing w:after="0"/>
              <w:rPr>
                <w:sz w:val="20"/>
                <w:szCs w:val="20"/>
                <w:color w:val="auto"/>
              </w:rPr>
            </w:pPr>
            <w:r>
              <w:rPr>
                <w:rFonts w:ascii="Arial" w:cs="Arial" w:eastAsia="Arial" w:hAnsi="Arial"/>
                <w:sz w:val="14"/>
                <w:szCs w:val="14"/>
                <w:color w:val="auto"/>
              </w:rPr>
              <w:t>(b)</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0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Other income</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80" w:type="dxa"/>
            <w:vAlign w:val="bottom"/>
            <w:gridSpan w:val="2"/>
          </w:tcPr>
          <w:p>
            <w:pPr>
              <w:ind w:left="1100"/>
              <w:spacing w:after="0"/>
              <w:rPr>
                <w:sz w:val="20"/>
                <w:szCs w:val="20"/>
                <w:color w:val="auto"/>
              </w:rPr>
            </w:pPr>
            <w:r>
              <w:rPr>
                <w:rFonts w:ascii="Arial" w:cs="Arial" w:eastAsia="Arial" w:hAnsi="Arial"/>
                <w:sz w:val="14"/>
                <w:szCs w:val="14"/>
                <w:color w:val="auto"/>
              </w:rPr>
              <w:t>Total revenues</w:t>
            </w: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7,422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450</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8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7,827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Costs and Expenses: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80" w:type="dxa"/>
            <w:vAlign w:val="bottom"/>
            <w:gridSpan w:val="2"/>
          </w:tcPr>
          <w:p>
            <w:pPr>
              <w:ind w:left="340"/>
              <w:spacing w:after="0"/>
              <w:rPr>
                <w:sz w:val="20"/>
                <w:szCs w:val="20"/>
                <w:color w:val="auto"/>
              </w:rPr>
            </w:pPr>
            <w:r>
              <w:rPr>
                <w:rFonts w:ascii="Arial" w:cs="Arial" w:eastAsia="Arial" w:hAnsi="Arial"/>
                <w:sz w:val="14"/>
                <w:szCs w:val="14"/>
                <w:color w:val="auto"/>
              </w:rPr>
              <w:t>Insurance benefits and expenses</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5,968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5,968</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0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Expenses of managed investment entities</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(b)(c)</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80" w:type="dxa"/>
            <w:vAlign w:val="bottom"/>
            <w:gridSpan w:val="2"/>
          </w:tcPr>
          <w:p>
            <w:pPr>
              <w:ind w:left="340"/>
              <w:spacing w:after="0"/>
              <w:rPr>
                <w:sz w:val="20"/>
                <w:szCs w:val="20"/>
                <w:color w:val="auto"/>
              </w:rPr>
            </w:pPr>
            <w:r>
              <w:rPr>
                <w:rFonts w:ascii="Arial" w:cs="Arial" w:eastAsia="Arial" w:hAnsi="Arial"/>
                <w:sz w:val="14"/>
                <w:szCs w:val="14"/>
                <w:color w:val="auto"/>
              </w:rPr>
              <w:t>Interest charges on borrowed money and other expenses</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6080" w:type="dxa"/>
            <w:vAlign w:val="bottom"/>
            <w:tcBorders>
              <w:top w:val="single" w:sz="8" w:color="CCEEFF"/>
            </w:tcBorders>
            <w:gridSpan w:val="2"/>
            <w:shd w:val="clear" w:color="auto" w:fill="CCEEFF"/>
          </w:tcPr>
          <w:p>
            <w:pPr>
              <w:ind w:left="1100"/>
              <w:spacing w:after="0"/>
              <w:rPr>
                <w:sz w:val="20"/>
                <w:szCs w:val="20"/>
                <w:color w:val="auto"/>
              </w:rPr>
            </w:pPr>
            <w:r>
              <w:rPr>
                <w:rFonts w:ascii="Arial" w:cs="Arial" w:eastAsia="Arial" w:hAnsi="Arial"/>
                <w:sz w:val="14"/>
                <w:szCs w:val="14"/>
                <w:color w:val="auto"/>
              </w:rPr>
              <w:t>Total costs and expenses</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6,349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8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6,754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80" w:type="dxa"/>
            <w:vAlign w:val="bottom"/>
            <w:gridSpan w:val="2"/>
          </w:tcPr>
          <w:p>
            <w:pPr>
              <w:spacing w:after="0"/>
              <w:rPr>
                <w:sz w:val="20"/>
                <w:szCs w:val="20"/>
                <w:color w:val="auto"/>
              </w:rPr>
            </w:pPr>
            <w:r>
              <w:rPr>
                <w:rFonts w:ascii="Arial" w:cs="Arial" w:eastAsia="Arial" w:hAnsi="Arial"/>
                <w:sz w:val="14"/>
                <w:szCs w:val="14"/>
                <w:color w:val="auto"/>
              </w:rPr>
              <w:t>Earnings before income taxes</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1,073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1,073</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080" w:type="dxa"/>
            <w:vAlign w:val="bottom"/>
            <w:gridSpan w:val="2"/>
          </w:tcPr>
          <w:p>
            <w:pPr>
              <w:spacing w:after="0"/>
              <w:rPr>
                <w:sz w:val="20"/>
                <w:szCs w:val="20"/>
                <w:color w:val="auto"/>
              </w:rPr>
            </w:pPr>
            <w:r>
              <w:rPr>
                <w:rFonts w:ascii="Arial" w:cs="Arial" w:eastAsia="Arial" w:hAnsi="Arial"/>
                <w:sz w:val="14"/>
                <w:szCs w:val="14"/>
                <w:color w:val="auto"/>
              </w:rPr>
              <w:t>Net earnings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852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852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4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80" w:type="dxa"/>
            <w:vAlign w:val="bottom"/>
            <w:gridSpan w:val="2"/>
          </w:tcPr>
          <w:p>
            <w:pPr>
              <w:spacing w:after="0"/>
              <w:rPr>
                <w:sz w:val="20"/>
                <w:szCs w:val="20"/>
                <w:color w:val="auto"/>
              </w:rPr>
            </w:pPr>
            <w:r>
              <w:rPr>
                <w:rFonts w:ascii="Arial" w:cs="Arial" w:eastAsia="Arial" w:hAnsi="Arial"/>
                <w:sz w:val="14"/>
                <w:szCs w:val="14"/>
                <w:color w:val="auto"/>
              </w:rPr>
              <w:t>Year ended December 31, 2022</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40" w:type="dxa"/>
            <w:vAlign w:val="bottom"/>
            <w:tcBorders>
              <w:top w:val="single" w:sz="8" w:color="auto"/>
            </w:tcBorders>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80" w:type="dxa"/>
            <w:vAlign w:val="bottom"/>
            <w:gridSpan w:val="2"/>
          </w:tcPr>
          <w:p>
            <w:pPr>
              <w:ind w:left="340"/>
              <w:spacing w:after="0"/>
              <w:rPr>
                <w:sz w:val="20"/>
                <w:szCs w:val="20"/>
                <w:color w:val="auto"/>
              </w:rPr>
            </w:pPr>
            <w:r>
              <w:rPr>
                <w:rFonts w:ascii="Arial" w:cs="Arial" w:eastAsia="Arial" w:hAnsi="Arial"/>
                <w:sz w:val="14"/>
                <w:szCs w:val="14"/>
                <w:color w:val="auto"/>
              </w:rPr>
              <w:t>Property and casualty insurance net earned premiums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6,085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6,085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0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Net investment income</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80" w:type="dxa"/>
            <w:vAlign w:val="bottom"/>
            <w:gridSpan w:val="2"/>
          </w:tcPr>
          <w:p>
            <w:pPr>
              <w:ind w:left="340"/>
              <w:spacing w:after="0"/>
              <w:rPr>
                <w:sz w:val="20"/>
                <w:szCs w:val="20"/>
                <w:color w:val="auto"/>
              </w:rPr>
            </w:pPr>
            <w:r>
              <w:rPr>
                <w:rFonts w:ascii="Arial" w:cs="Arial" w:eastAsia="Arial" w:hAnsi="Arial"/>
                <w:sz w:val="14"/>
                <w:szCs w:val="14"/>
                <w:color w:val="auto"/>
              </w:rPr>
              <w:t>Realized gains (losses) on securities</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0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Income of managed investment entities: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80" w:type="dxa"/>
            <w:vAlign w:val="bottom"/>
            <w:gridSpan w:val="2"/>
          </w:tcPr>
          <w:p>
            <w:pPr>
              <w:ind w:left="660"/>
              <w:spacing w:after="0"/>
              <w:rPr>
                <w:sz w:val="20"/>
                <w:szCs w:val="20"/>
                <w:color w:val="auto"/>
              </w:rPr>
            </w:pPr>
            <w:r>
              <w:rPr>
                <w:rFonts w:ascii="Arial" w:cs="Arial" w:eastAsia="Arial" w:hAnsi="Arial"/>
                <w:sz w:val="14"/>
                <w:szCs w:val="14"/>
                <w:color w:val="auto"/>
              </w:rPr>
              <w:t>Investment income</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0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Gain (loss) on change in fair value of assets/liabilities</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80" w:type="dxa"/>
            <w:vAlign w:val="bottom"/>
            <w:gridSpan w:val="2"/>
          </w:tcPr>
          <w:p>
            <w:pPr>
              <w:ind w:left="340"/>
              <w:spacing w:after="0"/>
              <w:rPr>
                <w:sz w:val="20"/>
                <w:szCs w:val="20"/>
                <w:color w:val="auto"/>
              </w:rPr>
            </w:pPr>
            <w:r>
              <w:rPr>
                <w:rFonts w:ascii="Arial" w:cs="Arial" w:eastAsia="Arial" w:hAnsi="Arial"/>
                <w:sz w:val="14"/>
                <w:szCs w:val="14"/>
                <w:color w:val="auto"/>
              </w:rPr>
              <w:t>Other income</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w:t>
            </w:r>
          </w:p>
        </w:tc>
        <w:tc>
          <w:tcPr>
            <w:tcW w:w="800" w:type="dxa"/>
            <w:vAlign w:val="bottom"/>
          </w:tcPr>
          <w:p>
            <w:pPr>
              <w:ind w:left="120"/>
              <w:spacing w:after="0"/>
              <w:rPr>
                <w:sz w:val="20"/>
                <w:szCs w:val="20"/>
                <w:color w:val="auto"/>
              </w:rPr>
            </w:pPr>
            <w:r>
              <w:rPr>
                <w:rFonts w:ascii="Arial" w:cs="Arial" w:eastAsia="Arial" w:hAnsi="Arial"/>
                <w:sz w:val="14"/>
                <w:szCs w:val="14"/>
                <w:color w:val="auto"/>
              </w:rPr>
              <w:t>(c)</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6080" w:type="dxa"/>
            <w:vAlign w:val="bottom"/>
            <w:tcBorders>
              <w:top w:val="single" w:sz="8" w:color="CCEEFF"/>
            </w:tcBorders>
            <w:gridSpan w:val="2"/>
            <w:shd w:val="clear" w:color="auto" w:fill="CCEEFF"/>
          </w:tcPr>
          <w:p>
            <w:pPr>
              <w:ind w:left="1100"/>
              <w:spacing w:after="0"/>
              <w:rPr>
                <w:sz w:val="20"/>
                <w:szCs w:val="20"/>
                <w:color w:val="auto"/>
              </w:rPr>
            </w:pPr>
            <w:r>
              <w:rPr>
                <w:rFonts w:ascii="Arial" w:cs="Arial" w:eastAsia="Arial" w:hAnsi="Arial"/>
                <w:sz w:val="14"/>
                <w:szCs w:val="14"/>
                <w:color w:val="auto"/>
              </w:rPr>
              <w:t>Total revenues</w:t>
            </w: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6,810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8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7,040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80" w:type="dxa"/>
            <w:vAlign w:val="bottom"/>
            <w:gridSpan w:val="2"/>
          </w:tcPr>
          <w:p>
            <w:pPr>
              <w:spacing w:after="0"/>
              <w:rPr>
                <w:sz w:val="20"/>
                <w:szCs w:val="20"/>
                <w:color w:val="auto"/>
              </w:rPr>
            </w:pPr>
            <w:r>
              <w:rPr>
                <w:rFonts w:ascii="Arial" w:cs="Arial" w:eastAsia="Arial" w:hAnsi="Arial"/>
                <w:sz w:val="14"/>
                <w:szCs w:val="14"/>
                <w:color w:val="auto"/>
              </w:rPr>
              <w:t>Costs and Expenses:</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0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Insurance benefits and expenses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80" w:type="dxa"/>
            <w:vAlign w:val="bottom"/>
            <w:gridSpan w:val="2"/>
          </w:tcPr>
          <w:p>
            <w:pPr>
              <w:ind w:left="340"/>
              <w:spacing w:after="0"/>
              <w:rPr>
                <w:sz w:val="20"/>
                <w:szCs w:val="20"/>
                <w:color w:val="auto"/>
              </w:rPr>
            </w:pPr>
            <w:r>
              <w:rPr>
                <w:rFonts w:ascii="Arial" w:cs="Arial" w:eastAsia="Arial" w:hAnsi="Arial"/>
                <w:sz w:val="14"/>
                <w:szCs w:val="14"/>
                <w:color w:val="auto"/>
              </w:rPr>
              <w:t>Expenses of managed investment entities</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w:t>
            </w:r>
          </w:p>
        </w:tc>
        <w:tc>
          <w:tcPr>
            <w:tcW w:w="800" w:type="dxa"/>
            <w:vAlign w:val="bottom"/>
          </w:tcPr>
          <w:p>
            <w:pPr>
              <w:ind w:left="120"/>
              <w:spacing w:after="0"/>
              <w:rPr>
                <w:sz w:val="20"/>
                <w:szCs w:val="20"/>
                <w:color w:val="auto"/>
              </w:rPr>
            </w:pPr>
            <w:r>
              <w:rPr>
                <w:rFonts w:ascii="Arial" w:cs="Arial" w:eastAsia="Arial" w:hAnsi="Arial"/>
                <w:sz w:val="14"/>
                <w:szCs w:val="14"/>
                <w:color w:val="auto"/>
              </w:rPr>
              <w:t>(b)(c)</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0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Interest charges on borrowed money and other expenses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6080" w:type="dxa"/>
            <w:vAlign w:val="bottom"/>
            <w:tcBorders>
              <w:bottom w:val="single" w:sz="8" w:color="CCEEFF"/>
            </w:tcBorders>
            <w:gridSpan w:val="2"/>
          </w:tcPr>
          <w:p>
            <w:pPr>
              <w:ind w:left="1100"/>
              <w:spacing w:after="0"/>
              <w:rPr>
                <w:sz w:val="20"/>
                <w:szCs w:val="20"/>
                <w:color w:val="auto"/>
              </w:rPr>
            </w:pPr>
            <w:r>
              <w:rPr>
                <w:rFonts w:ascii="Arial" w:cs="Arial" w:eastAsia="Arial" w:hAnsi="Arial"/>
                <w:sz w:val="14"/>
                <w:szCs w:val="14"/>
                <w:color w:val="auto"/>
              </w:rPr>
              <w:t>Total costs and expenses</w:t>
            </w:r>
          </w:p>
        </w:tc>
        <w:tc>
          <w:tcPr>
            <w:tcW w:w="1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5,687</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265</w:t>
            </w:r>
          </w:p>
        </w:tc>
        <w:tc>
          <w:tcPr>
            <w:tcW w:w="10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8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5,917</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Earnings before income taxes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80" w:type="dxa"/>
            <w:vAlign w:val="bottom"/>
            <w:gridSpan w:val="2"/>
          </w:tcPr>
          <w:p>
            <w:pPr>
              <w:spacing w:after="0"/>
              <w:rPr>
                <w:sz w:val="20"/>
                <w:szCs w:val="20"/>
                <w:color w:val="auto"/>
              </w:rPr>
            </w:pPr>
            <w:r>
              <w:rPr>
                <w:rFonts w:ascii="Arial" w:cs="Arial" w:eastAsia="Arial" w:hAnsi="Arial"/>
                <w:sz w:val="14"/>
                <w:szCs w:val="14"/>
                <w:color w:val="auto"/>
              </w:rPr>
              <w:t>Provision for income taxes</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22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Net earnings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420" w:right="140" w:hanging="412"/>
        <w:spacing w:after="0" w:line="253" w:lineRule="auto"/>
        <w:tabs>
          <w:tab w:leader="none" w:pos="415" w:val="left"/>
        </w:tabs>
        <w:numPr>
          <w:ilvl w:val="0"/>
          <w:numId w:val="25"/>
        </w:numPr>
        <w:rPr>
          <w:rFonts w:ascii="Arial" w:cs="Arial" w:eastAsia="Arial" w:hAnsi="Arial"/>
          <w:sz w:val="16"/>
          <w:szCs w:val="16"/>
          <w:color w:val="auto"/>
        </w:rPr>
      </w:pPr>
      <w:r>
        <w:rPr>
          <w:rFonts w:ascii="Arial" w:cs="Arial" w:eastAsia="Arial" w:hAnsi="Arial"/>
          <w:sz w:val="14"/>
          <w:szCs w:val="14"/>
          <w:color w:val="auto"/>
        </w:rPr>
        <w:t>Includes income of $27 million in 2023 and a loss of $10 million in 2022, representing the change in fair value of AFG’s CLO investments and $16 million and $17 million of income in 2023 and 2022, respectively, in CLO management fees earned.</w:t>
      </w:r>
    </w:p>
    <w:p>
      <w:pPr>
        <w:spacing w:after="0" w:line="1" w:lineRule="exact"/>
        <w:rPr>
          <w:rFonts w:ascii="Arial" w:cs="Arial" w:eastAsia="Arial" w:hAnsi="Arial"/>
          <w:sz w:val="16"/>
          <w:szCs w:val="16"/>
          <w:color w:val="auto"/>
        </w:rPr>
      </w:pPr>
    </w:p>
    <w:p>
      <w:pPr>
        <w:ind w:left="420" w:right="80" w:hanging="412"/>
        <w:spacing w:after="0" w:line="261" w:lineRule="auto"/>
        <w:tabs>
          <w:tab w:leader="none" w:pos="407" w:val="left"/>
        </w:tabs>
        <w:numPr>
          <w:ilvl w:val="0"/>
          <w:numId w:val="25"/>
        </w:numPr>
        <w:rPr>
          <w:rFonts w:ascii="Arial" w:cs="Arial" w:eastAsia="Arial" w:hAnsi="Arial"/>
          <w:sz w:val="14"/>
          <w:szCs w:val="14"/>
          <w:color w:val="auto"/>
        </w:rPr>
      </w:pPr>
      <w:r>
        <w:rPr>
          <w:rFonts w:ascii="Arial" w:cs="Arial" w:eastAsia="Arial" w:hAnsi="Arial"/>
          <w:sz w:val="14"/>
          <w:szCs w:val="14"/>
          <w:color w:val="auto"/>
        </w:rPr>
        <w:t>Elimination of the change in fair value of AFG’s investments in the CLOs, including $29 million and $18 million in 2023 and 2022, respectively, in distributions recorded as interest expense by the CLOs.</w:t>
      </w:r>
    </w:p>
    <w:p>
      <w:pPr>
        <w:ind w:left="400" w:hanging="392"/>
        <w:spacing w:after="0"/>
        <w:tabs>
          <w:tab w:leader="none" w:pos="4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Elimination of management fees earned by AFG.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CONSOLIDATING STATEMENT OF EARNINGS - CONTINUED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color w:val="auto"/>
              </w:rPr>
              <w:t>Before</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color w:val="auto"/>
              </w:rPr>
              <w:t>Managed</w:t>
            </w:r>
          </w:p>
        </w:tc>
        <w:tc>
          <w:tcPr>
            <w:tcW w:w="160" w:type="dxa"/>
            <w:vAlign w:val="bottom"/>
          </w:tcPr>
          <w:p>
            <w:pPr>
              <w:spacing w:after="0"/>
              <w:rPr>
                <w:sz w:val="14"/>
                <w:szCs w:val="14"/>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color w:val="auto"/>
              </w:rPr>
              <w:t>Consol.</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CLO</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rPr>
              <w:t>Investment</w:t>
            </w: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color w:val="auto"/>
              </w:rPr>
              <w:t>Consol. (a)</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color w:val="auto"/>
              </w:rPr>
              <w:t>Entities</w:t>
            </w:r>
          </w:p>
        </w:tc>
        <w:tc>
          <w:tcPr>
            <w:tcW w:w="160" w:type="dxa"/>
            <w:vAlign w:val="bottom"/>
          </w:tcPr>
          <w:p>
            <w:pPr>
              <w:spacing w:after="0"/>
              <w:rPr>
                <w:sz w:val="16"/>
                <w:szCs w:val="16"/>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Entries</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As Reported</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60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Year ended December 31, 2021</w:t>
            </w: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Borders>
              <w:top w:val="single" w:sz="8" w:color="CCEEFF"/>
            </w:tcBorders>
          </w:tcPr>
          <w:p>
            <w:pPr>
              <w:spacing w:after="0"/>
              <w:rPr>
                <w:sz w:val="17"/>
                <w:szCs w:val="17"/>
                <w:color w:val="auto"/>
              </w:rPr>
            </w:pPr>
          </w:p>
        </w:tc>
        <w:tc>
          <w:tcPr>
            <w:tcW w:w="20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Revenues:</w:t>
            </w:r>
          </w:p>
        </w:tc>
        <w:tc>
          <w:tcPr>
            <w:tcW w:w="40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0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Property and casualty insurance net earned premiums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80" w:type="dxa"/>
            <w:vAlign w:val="bottom"/>
            <w:gridSpan w:val="2"/>
          </w:tcPr>
          <w:p>
            <w:pPr>
              <w:ind w:left="340"/>
              <w:spacing w:after="0"/>
              <w:rPr>
                <w:sz w:val="20"/>
                <w:szCs w:val="20"/>
                <w:color w:val="auto"/>
              </w:rPr>
            </w:pPr>
            <w:r>
              <w:rPr>
                <w:rFonts w:ascii="Arial" w:cs="Arial" w:eastAsia="Arial" w:hAnsi="Arial"/>
                <w:sz w:val="14"/>
                <w:szCs w:val="14"/>
                <w:color w:val="auto"/>
              </w:rPr>
              <w:t>Net investment income</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w:t>
            </w:r>
          </w:p>
        </w:tc>
        <w:tc>
          <w:tcPr>
            <w:tcW w:w="800" w:type="dxa"/>
            <w:vAlign w:val="bottom"/>
          </w:tcPr>
          <w:p>
            <w:pPr>
              <w:ind w:left="120"/>
              <w:spacing w:after="0"/>
              <w:rPr>
                <w:sz w:val="20"/>
                <w:szCs w:val="20"/>
                <w:color w:val="auto"/>
              </w:rPr>
            </w:pPr>
            <w:r>
              <w:rPr>
                <w:rFonts w:ascii="Arial" w:cs="Arial" w:eastAsia="Arial" w:hAnsi="Arial"/>
                <w:sz w:val="14"/>
                <w:szCs w:val="14"/>
                <w:color w:val="auto"/>
              </w:rPr>
              <w:t>(b)</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730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0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Realized gains (losses) on:</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80" w:type="dxa"/>
            <w:vAlign w:val="bottom"/>
            <w:gridSpan w:val="2"/>
          </w:tcPr>
          <w:p>
            <w:pPr>
              <w:ind w:left="660"/>
              <w:spacing w:after="0"/>
              <w:rPr>
                <w:sz w:val="20"/>
                <w:szCs w:val="20"/>
                <w:color w:val="auto"/>
              </w:rPr>
            </w:pPr>
            <w:r>
              <w:rPr>
                <w:rFonts w:ascii="Arial" w:cs="Arial" w:eastAsia="Arial" w:hAnsi="Arial"/>
                <w:sz w:val="14"/>
                <w:szCs w:val="14"/>
                <w:color w:val="auto"/>
              </w:rPr>
              <w:t>Securities</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0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Subsidiaries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80" w:type="dxa"/>
            <w:vAlign w:val="bottom"/>
            <w:gridSpan w:val="2"/>
          </w:tcPr>
          <w:p>
            <w:pPr>
              <w:ind w:left="340"/>
              <w:spacing w:after="0"/>
              <w:rPr>
                <w:sz w:val="20"/>
                <w:szCs w:val="20"/>
                <w:color w:val="auto"/>
              </w:rPr>
            </w:pPr>
            <w:r>
              <w:rPr>
                <w:rFonts w:ascii="Arial" w:cs="Arial" w:eastAsia="Arial" w:hAnsi="Arial"/>
                <w:sz w:val="14"/>
                <w:szCs w:val="14"/>
                <w:color w:val="auto"/>
              </w:rPr>
              <w:t>Income of managed investment entities:</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0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Investment income</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80" w:type="dxa"/>
            <w:vAlign w:val="bottom"/>
            <w:gridSpan w:val="2"/>
          </w:tcPr>
          <w:p>
            <w:pPr>
              <w:ind w:left="660"/>
              <w:spacing w:after="0"/>
              <w:rPr>
                <w:sz w:val="20"/>
                <w:szCs w:val="20"/>
                <w:color w:val="auto"/>
              </w:rPr>
            </w:pPr>
            <w:r>
              <w:rPr>
                <w:rFonts w:ascii="Arial" w:cs="Arial" w:eastAsia="Arial" w:hAnsi="Arial"/>
                <w:sz w:val="14"/>
                <w:szCs w:val="14"/>
                <w:color w:val="auto"/>
              </w:rPr>
              <w:t>Gain (loss) on change in fair value of assets/liabilities</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w:t>
            </w:r>
          </w:p>
        </w:tc>
        <w:tc>
          <w:tcPr>
            <w:tcW w:w="800" w:type="dxa"/>
            <w:vAlign w:val="bottom"/>
          </w:tcPr>
          <w:p>
            <w:pPr>
              <w:ind w:left="120"/>
              <w:spacing w:after="0"/>
              <w:rPr>
                <w:sz w:val="20"/>
                <w:szCs w:val="20"/>
                <w:color w:val="auto"/>
              </w:rPr>
            </w:pPr>
            <w:r>
              <w:rPr>
                <w:rFonts w:ascii="Arial" w:cs="Arial" w:eastAsia="Arial" w:hAnsi="Arial"/>
                <w:sz w:val="14"/>
                <w:szCs w:val="14"/>
                <w:color w:val="auto"/>
              </w:rPr>
              <w:t>(b)</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0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Other income</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80" w:type="dxa"/>
            <w:vAlign w:val="bottom"/>
            <w:gridSpan w:val="2"/>
          </w:tcPr>
          <w:p>
            <w:pPr>
              <w:ind w:left="1100"/>
              <w:spacing w:after="0"/>
              <w:rPr>
                <w:sz w:val="20"/>
                <w:szCs w:val="20"/>
                <w:color w:val="auto"/>
              </w:rPr>
            </w:pPr>
            <w:r>
              <w:rPr>
                <w:rFonts w:ascii="Arial" w:cs="Arial" w:eastAsia="Arial" w:hAnsi="Arial"/>
                <w:sz w:val="14"/>
                <w:szCs w:val="14"/>
                <w:color w:val="auto"/>
              </w:rPr>
              <w:t>Total revenues</w:t>
            </w: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6,397</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8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6,552</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Costs and Expenses: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80" w:type="dxa"/>
            <w:vAlign w:val="bottom"/>
            <w:gridSpan w:val="2"/>
          </w:tcPr>
          <w:p>
            <w:pPr>
              <w:ind w:left="340"/>
              <w:spacing w:after="0"/>
              <w:rPr>
                <w:sz w:val="20"/>
                <w:szCs w:val="20"/>
                <w:color w:val="auto"/>
              </w:rPr>
            </w:pPr>
            <w:r>
              <w:rPr>
                <w:rFonts w:ascii="Arial" w:cs="Arial" w:eastAsia="Arial" w:hAnsi="Arial"/>
                <w:sz w:val="14"/>
                <w:szCs w:val="14"/>
                <w:color w:val="auto"/>
              </w:rPr>
              <w:t>Insurance benefits and expenses</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4,704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4,704</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0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Expenses of managed investment entities</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8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(b)(c)</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80" w:type="dxa"/>
            <w:vAlign w:val="bottom"/>
            <w:gridSpan w:val="2"/>
          </w:tcPr>
          <w:p>
            <w:pPr>
              <w:ind w:left="340"/>
              <w:spacing w:after="0"/>
              <w:rPr>
                <w:sz w:val="20"/>
                <w:szCs w:val="20"/>
                <w:color w:val="auto"/>
              </w:rPr>
            </w:pPr>
            <w:r>
              <w:rPr>
                <w:rFonts w:ascii="Arial" w:cs="Arial" w:eastAsia="Arial" w:hAnsi="Arial"/>
                <w:sz w:val="14"/>
                <w:szCs w:val="14"/>
                <w:color w:val="auto"/>
              </w:rPr>
              <w:t>Interest charges on borrowed money and other expenses</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358</w:t>
            </w:r>
          </w:p>
        </w:tc>
        <w:tc>
          <w:tcPr>
            <w:tcW w:w="0" w:type="dxa"/>
            <w:vAlign w:val="bottom"/>
          </w:tcPr>
          <w:p>
            <w:pPr>
              <w:spacing w:after="0"/>
              <w:rPr>
                <w:sz w:val="1"/>
                <w:szCs w:val="1"/>
                <w:color w:val="auto"/>
              </w:rPr>
            </w:pP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6080" w:type="dxa"/>
            <w:vAlign w:val="bottom"/>
            <w:tcBorders>
              <w:top w:val="single" w:sz="8" w:color="CCEEFF"/>
            </w:tcBorders>
            <w:gridSpan w:val="2"/>
            <w:shd w:val="clear" w:color="auto" w:fill="CCEEFF"/>
          </w:tcPr>
          <w:p>
            <w:pPr>
              <w:ind w:left="1100"/>
              <w:spacing w:after="0"/>
              <w:rPr>
                <w:sz w:val="20"/>
                <w:szCs w:val="20"/>
                <w:color w:val="auto"/>
              </w:rPr>
            </w:pPr>
            <w:r>
              <w:rPr>
                <w:rFonts w:ascii="Arial" w:cs="Arial" w:eastAsia="Arial" w:hAnsi="Arial"/>
                <w:sz w:val="14"/>
                <w:szCs w:val="14"/>
                <w:color w:val="auto"/>
              </w:rPr>
              <w:t>Total costs and expenses</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5,062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8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5,217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80" w:type="dxa"/>
            <w:vAlign w:val="bottom"/>
            <w:gridSpan w:val="2"/>
          </w:tcPr>
          <w:p>
            <w:pPr>
              <w:spacing w:after="0"/>
              <w:rPr>
                <w:sz w:val="20"/>
                <w:szCs w:val="20"/>
                <w:color w:val="auto"/>
              </w:rPr>
            </w:pPr>
            <w:r>
              <w:rPr>
                <w:rFonts w:ascii="Arial" w:cs="Arial" w:eastAsia="Arial" w:hAnsi="Arial"/>
                <w:sz w:val="14"/>
                <w:szCs w:val="14"/>
                <w:color w:val="auto"/>
              </w:rPr>
              <w:t>Earnings from continuing operations before income taxes</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1,335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80" w:type="dxa"/>
            <w:vAlign w:val="bottom"/>
            <w:gridSpan w:val="2"/>
          </w:tcPr>
          <w:p>
            <w:pPr>
              <w:spacing w:after="0"/>
              <w:rPr>
                <w:sz w:val="20"/>
                <w:szCs w:val="20"/>
                <w:color w:val="auto"/>
              </w:rPr>
            </w:pPr>
            <w:r>
              <w:rPr>
                <w:rFonts w:ascii="Arial" w:cs="Arial" w:eastAsia="Arial" w:hAnsi="Arial"/>
                <w:sz w:val="14"/>
                <w:szCs w:val="14"/>
                <w:color w:val="auto"/>
              </w:rPr>
              <w:t>Net earnings from continuing operations</w:t>
            </w: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1,081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1,081</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earnings from discontinued operations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080" w:type="dxa"/>
            <w:vAlign w:val="bottom"/>
            <w:gridSpan w:val="2"/>
          </w:tcPr>
          <w:p>
            <w:pPr>
              <w:spacing w:after="0"/>
              <w:rPr>
                <w:sz w:val="20"/>
                <w:szCs w:val="20"/>
                <w:color w:val="auto"/>
              </w:rPr>
            </w:pPr>
            <w:r>
              <w:rPr>
                <w:rFonts w:ascii="Arial" w:cs="Arial" w:eastAsia="Arial" w:hAnsi="Arial"/>
                <w:sz w:val="14"/>
                <w:szCs w:val="14"/>
                <w:color w:val="auto"/>
              </w:rPr>
              <w:t>Net earnings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1,995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1,995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400" w:hanging="392"/>
        <w:spacing w:after="0"/>
        <w:tabs>
          <w:tab w:leader="none" w:pos="400" w:val="left"/>
        </w:tabs>
        <w:numPr>
          <w:ilvl w:val="0"/>
          <w:numId w:val="26"/>
        </w:numPr>
        <w:rPr>
          <w:rFonts w:ascii="Arial" w:cs="Arial" w:eastAsia="Arial" w:hAnsi="Arial"/>
          <w:sz w:val="16"/>
          <w:szCs w:val="16"/>
          <w:color w:val="auto"/>
        </w:rPr>
      </w:pPr>
      <w:r>
        <w:rPr>
          <w:rFonts w:ascii="Arial" w:cs="Arial" w:eastAsia="Arial" w:hAnsi="Arial"/>
          <w:sz w:val="14"/>
          <w:szCs w:val="14"/>
          <w:color w:val="auto"/>
        </w:rPr>
        <w:t>Includes income of $20 million representing the change in fair value of AFG’s CLO investments and $16 million of income in CLO management fees earned.</w:t>
      </w:r>
    </w:p>
    <w:p>
      <w:pPr>
        <w:spacing w:after="0" w:line="12" w:lineRule="exact"/>
        <w:rPr>
          <w:rFonts w:ascii="Arial" w:cs="Arial" w:eastAsia="Arial" w:hAnsi="Arial"/>
          <w:sz w:val="16"/>
          <w:szCs w:val="16"/>
          <w:color w:val="auto"/>
        </w:rPr>
      </w:pPr>
    </w:p>
    <w:p>
      <w:pPr>
        <w:ind w:left="400" w:hanging="392"/>
        <w:spacing w:after="0"/>
        <w:tabs>
          <w:tab w:leader="none" w:pos="4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Elimination of the change in fair value of AFG’s investments in the CLOs, including $12 million in distributions recorded as interest expense by the CLOs.</w:t>
      </w:r>
    </w:p>
    <w:p>
      <w:pPr>
        <w:spacing w:after="0" w:line="7" w:lineRule="exact"/>
        <w:rPr>
          <w:rFonts w:ascii="Arial" w:cs="Arial" w:eastAsia="Arial" w:hAnsi="Arial"/>
          <w:sz w:val="14"/>
          <w:szCs w:val="14"/>
          <w:color w:val="auto"/>
        </w:rPr>
      </w:pPr>
    </w:p>
    <w:p>
      <w:pPr>
        <w:ind w:left="400" w:hanging="392"/>
        <w:spacing w:after="0"/>
        <w:tabs>
          <w:tab w:leader="none" w:pos="4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Elimination of management fees earned by AFG.</w:t>
      </w:r>
    </w:p>
    <w:p>
      <w:pPr>
        <w:spacing w:after="0" w:line="273" w:lineRule="exact"/>
        <w:rPr>
          <w:sz w:val="20"/>
          <w:szCs w:val="20"/>
          <w:color w:val="auto"/>
        </w:rPr>
      </w:pPr>
    </w:p>
    <w:p>
      <w:pPr>
        <w:spacing w:after="0"/>
        <w:rPr>
          <w:sz w:val="20"/>
          <w:szCs w:val="20"/>
          <w:color w:val="auto"/>
        </w:rPr>
      </w:pPr>
      <w:r>
        <w:rPr>
          <w:rFonts w:ascii="Arial" w:cs="Arial" w:eastAsia="Arial" w:hAnsi="Arial"/>
          <w:sz w:val="29"/>
          <w:szCs w:val="29"/>
          <w:b w:val="1"/>
          <w:bCs w:val="1"/>
          <w:color w:val="00274E"/>
        </w:rPr>
        <w:t>RESULTS OF OPERATIONS</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00274E"/>
        </w:rPr>
        <w:t>General</w:t>
      </w:r>
    </w:p>
    <w:p>
      <w:pPr>
        <w:spacing w:after="0" w:line="28"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AFG’s net earnings, determined in accordance with GAAP, include certain items that may not be indicative of its ongoing core operations. In addition to discontinued operations, core net operating earnings excludes realized gains (losses) on securities because such gains and losses are influenced significantly by financial markets, interest rates and the timing of sales. In addition, special charges related to coverage that AFG no longer writes, such as asbestos and environmental exposures, are excluded from core earnings.</w:t>
      </w:r>
    </w:p>
    <w:p>
      <w:pPr>
        <w:spacing w:after="0" w:line="207"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In May 2021, AFG sold its Annuity business to MassMutual. Through the effective date of the sale, the results of its annuity segment and run-off life and long-term care operations are reported as discontinued operations.</w:t>
      </w:r>
    </w:p>
    <w:p>
      <w:pPr>
        <w:spacing w:after="0" w:line="185"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 xml:space="preserve">AFG recorded $914 million in non-core net earnings from the discontinued annuity operations in 2021, which includes a $656 million after-tax gain on the sale. See </w:t>
      </w:r>
      <w:r>
        <w:rPr>
          <w:rFonts w:ascii="Arial" w:cs="Arial" w:eastAsia="Arial" w:hAnsi="Arial"/>
          <w:sz w:val="17"/>
          <w:szCs w:val="17"/>
          <w:i w:val="1"/>
          <w:iCs w:val="1"/>
          <w:color w:val="auto"/>
        </w:rPr>
        <w:t>“Discontinued Annuity Operations”</w:t>
      </w:r>
      <w:r>
        <w:rPr>
          <w:rFonts w:ascii="Arial" w:cs="Arial" w:eastAsia="Arial" w:hAnsi="Arial"/>
          <w:sz w:val="17"/>
          <w:szCs w:val="17"/>
          <w:color w:val="auto"/>
        </w:rPr>
        <w:t xml:space="preserve"> below for details of the impact of the discontinued annuity operations on AFG’s net earnings for 2021.</w:t>
      </w:r>
    </w:p>
    <w:p>
      <w:pPr>
        <w:spacing w:after="0" w:line="207"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In December 2020, AFG sold GAI Holding Bermuda and its subsidiaries, the legal entities that owned AFG’s Lloyd’s Managing Agency, Neon Underwriting Ltd., thereby exiting the Lloyd’s of London Insurance market. In 2021, AFG recognized a non-core after-tax gain of $3 million related to contingent consideration received from the sale of Neon.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80"/>
        <w:spacing w:after="0" w:line="266" w:lineRule="auto"/>
        <w:rPr>
          <w:sz w:val="20"/>
          <w:szCs w:val="20"/>
          <w:color w:val="auto"/>
        </w:rPr>
      </w:pPr>
      <w:r>
        <w:rPr>
          <w:rFonts w:ascii="Arial" w:cs="Arial" w:eastAsia="Arial" w:hAnsi="Arial"/>
          <w:sz w:val="17"/>
          <w:szCs w:val="17"/>
          <w:color w:val="auto"/>
        </w:rPr>
        <w:t>The following table (in millions, except per share amounts) identifies non-core items and reconciles net earnings to core net operating earnings, a non-GAAP financial measure. AFG believes core net operating earnings is a useful tool for investors and analysts in analyzing ongoing operating trends and for management to evaluate financial performance against historical results because it believes this provides a more comparable measure of its continuing business.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40" w:type="dxa"/>
            <w:vAlign w:val="bottom"/>
          </w:tcPr>
          <w:p>
            <w:pPr>
              <w:spacing w:after="0"/>
              <w:rPr>
                <w:sz w:val="15"/>
                <w:szCs w:val="15"/>
                <w:color w:val="auto"/>
              </w:rPr>
            </w:pPr>
          </w:p>
        </w:tc>
        <w:tc>
          <w:tcPr>
            <w:tcW w:w="2820" w:type="dxa"/>
            <w:vAlign w:val="bottom"/>
            <w:gridSpan w:val="6"/>
          </w:tcPr>
          <w:p>
            <w:pPr>
              <w:ind w:left="300"/>
              <w:spacing w:after="0"/>
              <w:rPr>
                <w:sz w:val="20"/>
                <w:szCs w:val="20"/>
                <w:color w:val="auto"/>
              </w:rPr>
            </w:pPr>
            <w:r>
              <w:rPr>
                <w:rFonts w:ascii="Arial" w:cs="Arial" w:eastAsia="Arial" w:hAnsi="Arial"/>
                <w:sz w:val="13"/>
                <w:szCs w:val="13"/>
                <w:color w:val="auto"/>
              </w:rPr>
              <w:t>Three months ended December 31,</w:t>
            </w:r>
          </w:p>
        </w:tc>
        <w:tc>
          <w:tcPr>
            <w:tcW w:w="280" w:type="dxa"/>
            <w:vAlign w:val="bottom"/>
          </w:tcPr>
          <w:p>
            <w:pPr>
              <w:spacing w:after="0"/>
              <w:rPr>
                <w:sz w:val="15"/>
                <w:szCs w:val="15"/>
                <w:color w:val="auto"/>
              </w:rPr>
            </w:pPr>
          </w:p>
        </w:tc>
        <w:tc>
          <w:tcPr>
            <w:tcW w:w="2500" w:type="dxa"/>
            <w:vAlign w:val="bottom"/>
            <w:gridSpan w:val="6"/>
          </w:tcPr>
          <w:p>
            <w:pPr>
              <w:jc w:val="right"/>
              <w:ind w:right="88"/>
              <w:spacing w:after="0"/>
              <w:rPr>
                <w:sz w:val="20"/>
                <w:szCs w:val="20"/>
                <w:color w:val="auto"/>
              </w:rPr>
            </w:pPr>
            <w:r>
              <w:rPr>
                <w:rFonts w:ascii="Arial" w:cs="Arial" w:eastAsia="Arial" w:hAnsi="Arial"/>
                <w:sz w:val="13"/>
                <w:szCs w:val="13"/>
                <w:color w:val="auto"/>
              </w:rPr>
              <w:t>Year ended December 31,</w:t>
            </w:r>
          </w:p>
        </w:tc>
        <w:tc>
          <w:tcPr>
            <w:tcW w:w="900" w:type="dxa"/>
            <w:vAlign w:val="bottom"/>
          </w:tcPr>
          <w:p>
            <w:pPr>
              <w:spacing w:after="0"/>
              <w:rPr>
                <w:sz w:val="15"/>
                <w:szCs w:val="15"/>
                <w:color w:val="auto"/>
              </w:rPr>
            </w:pPr>
          </w:p>
        </w:tc>
      </w:tr>
      <w:tr>
        <w:trPr>
          <w:trHeight w:val="183"/>
        </w:trPr>
        <w:tc>
          <w:tcPr>
            <w:tcW w:w="4740" w:type="dxa"/>
            <w:vAlign w:val="bottom"/>
            <w:tcBorders>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3"/>
                <w:szCs w:val="13"/>
                <w:color w:val="auto"/>
              </w:rPr>
              <w:t>2023</w:t>
            </w:r>
          </w:p>
        </w:tc>
        <w:tc>
          <w:tcPr>
            <w:tcW w:w="4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3"/>
                <w:szCs w:val="13"/>
                <w:color w:val="auto"/>
              </w:rPr>
              <w:t>2022</w:t>
            </w:r>
          </w:p>
        </w:tc>
        <w:tc>
          <w:tcPr>
            <w:tcW w:w="8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3"/>
                <w:szCs w:val="13"/>
                <w:color w:val="auto"/>
              </w:rPr>
              <w:t>2023</w:t>
            </w:r>
          </w:p>
        </w:tc>
        <w:tc>
          <w:tcPr>
            <w:tcW w:w="100" w:type="dxa"/>
            <w:vAlign w:val="bottom"/>
            <w:tcBorders>
              <w:top w:val="single" w:sz="8" w:color="auto"/>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3"/>
                <w:szCs w:val="13"/>
                <w:color w:val="auto"/>
              </w:rPr>
              <w:t>2022</w:t>
            </w:r>
          </w:p>
        </w:tc>
        <w:tc>
          <w:tcPr>
            <w:tcW w:w="100" w:type="dxa"/>
            <w:vAlign w:val="bottom"/>
            <w:tcBorders>
              <w:top w:val="single" w:sz="8" w:color="auto"/>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3"/>
                <w:szCs w:val="13"/>
                <w:color w:val="auto"/>
              </w:rPr>
              <w:t>2021</w:t>
            </w:r>
          </w:p>
        </w:tc>
      </w:tr>
      <w:tr>
        <w:trPr>
          <w:trHeight w:val="188"/>
        </w:trPr>
        <w:tc>
          <w:tcPr>
            <w:tcW w:w="4740" w:type="dxa"/>
            <w:vAlign w:val="bottom"/>
            <w:shd w:val="clear" w:color="auto" w:fill="CCEEFF"/>
          </w:tcPr>
          <w:p>
            <w:pPr>
              <w:spacing w:after="0"/>
              <w:rPr>
                <w:sz w:val="20"/>
                <w:szCs w:val="20"/>
                <w:color w:val="auto"/>
              </w:rPr>
            </w:pPr>
            <w:r>
              <w:rPr>
                <w:rFonts w:ascii="Arial" w:cs="Arial" w:eastAsia="Arial" w:hAnsi="Arial"/>
                <w:sz w:val="14"/>
                <w:szCs w:val="14"/>
                <w:color w:val="auto"/>
              </w:rPr>
              <w:t>Components of net earnings:</w:t>
            </w:r>
          </w:p>
        </w:tc>
        <w:tc>
          <w:tcPr>
            <w:tcW w:w="8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98"/>
        </w:trPr>
        <w:tc>
          <w:tcPr>
            <w:tcW w:w="4740" w:type="dxa"/>
            <w:vAlign w:val="bottom"/>
          </w:tcPr>
          <w:p>
            <w:pPr>
              <w:ind w:left="260"/>
              <w:spacing w:after="0"/>
              <w:rPr>
                <w:sz w:val="20"/>
                <w:szCs w:val="20"/>
                <w:color w:val="auto"/>
              </w:rPr>
            </w:pPr>
            <w:r>
              <w:rPr>
                <w:rFonts w:ascii="Arial" w:cs="Arial" w:eastAsia="Arial" w:hAnsi="Arial"/>
                <w:sz w:val="14"/>
                <w:szCs w:val="14"/>
                <w:color w:val="auto"/>
              </w:rPr>
              <w:t>Core operating earnings before income taxes</w:t>
            </w:r>
          </w:p>
        </w:tc>
        <w:tc>
          <w:tcPr>
            <w:tcW w:w="880" w:type="dxa"/>
            <w:vAlign w:val="bottom"/>
          </w:tcPr>
          <w:p>
            <w:pPr>
              <w:jc w:val="right"/>
              <w:ind w:right="709"/>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318</w:t>
            </w:r>
          </w:p>
        </w:tc>
        <w:tc>
          <w:tcPr>
            <w:tcW w:w="8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1,127</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1,248</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1,232</w:t>
            </w:r>
          </w:p>
        </w:tc>
      </w:tr>
      <w:tr>
        <w:trPr>
          <w:trHeight w:val="206"/>
        </w:trPr>
        <w:tc>
          <w:tcPr>
            <w:tcW w:w="47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Pretax non-core items:</w:t>
            </w: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9"/>
        </w:trPr>
        <w:tc>
          <w:tcPr>
            <w:tcW w:w="4740" w:type="dxa"/>
            <w:vAlign w:val="bottom"/>
          </w:tcPr>
          <w:p>
            <w:pPr>
              <w:ind w:left="440"/>
              <w:spacing w:after="0"/>
              <w:rPr>
                <w:sz w:val="20"/>
                <w:szCs w:val="20"/>
                <w:color w:val="auto"/>
              </w:rPr>
            </w:pPr>
            <w:r>
              <w:rPr>
                <w:rFonts w:ascii="Arial" w:cs="Arial" w:eastAsia="Arial" w:hAnsi="Arial"/>
                <w:sz w:val="14"/>
                <w:szCs w:val="14"/>
                <w:color w:val="auto"/>
              </w:rPr>
              <w:t>Realized gains (losses) on securities</w:t>
            </w:r>
          </w:p>
        </w:tc>
        <w:tc>
          <w:tcPr>
            <w:tcW w:w="880" w:type="dxa"/>
            <w:vAlign w:val="bottom"/>
          </w:tcPr>
          <w:p>
            <w:pPr>
              <w:spacing w:after="0"/>
              <w:rPr>
                <w:sz w:val="17"/>
                <w:szCs w:val="17"/>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110</w:t>
            </w:r>
          </w:p>
        </w:tc>
      </w:tr>
      <w:tr>
        <w:trPr>
          <w:trHeight w:val="206"/>
        </w:trPr>
        <w:tc>
          <w:tcPr>
            <w:tcW w:w="47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Realized gain (loss) on subsidiaries</w:t>
            </w:r>
          </w:p>
        </w:tc>
        <w:tc>
          <w:tcPr>
            <w:tcW w:w="8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99"/>
        </w:trPr>
        <w:tc>
          <w:tcPr>
            <w:tcW w:w="4740" w:type="dxa"/>
            <w:vAlign w:val="bottom"/>
          </w:tcPr>
          <w:p>
            <w:pPr>
              <w:ind w:left="440"/>
              <w:spacing w:after="0"/>
              <w:rPr>
                <w:sz w:val="20"/>
                <w:szCs w:val="20"/>
                <w:color w:val="auto"/>
              </w:rPr>
            </w:pPr>
            <w:r>
              <w:rPr>
                <w:rFonts w:ascii="Arial" w:cs="Arial" w:eastAsia="Arial" w:hAnsi="Arial"/>
                <w:sz w:val="14"/>
                <w:szCs w:val="14"/>
                <w:color w:val="auto"/>
              </w:rPr>
              <w:t>Special A&amp;E charges</w:t>
            </w:r>
          </w:p>
        </w:tc>
        <w:tc>
          <w:tcPr>
            <w:tcW w:w="880" w:type="dxa"/>
            <w:vAlign w:val="bottom"/>
          </w:tcPr>
          <w:p>
            <w:pPr>
              <w:spacing w:after="0"/>
              <w:rPr>
                <w:sz w:val="17"/>
                <w:szCs w:val="17"/>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6"/>
        </w:trPr>
        <w:tc>
          <w:tcPr>
            <w:tcW w:w="47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Gain (loss) on retirement of debt</w:t>
            </w:r>
          </w:p>
        </w:tc>
        <w:tc>
          <w:tcPr>
            <w:tcW w:w="8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4740" w:type="dxa"/>
            <w:vAlign w:val="bottom"/>
          </w:tcPr>
          <w:p>
            <w:pPr>
              <w:ind w:left="440"/>
              <w:spacing w:after="0"/>
              <w:rPr>
                <w:sz w:val="20"/>
                <w:szCs w:val="20"/>
                <w:color w:val="auto"/>
              </w:rPr>
            </w:pPr>
            <w:r>
              <w:rPr>
                <w:rFonts w:ascii="Arial" w:cs="Arial" w:eastAsia="Arial" w:hAnsi="Arial"/>
                <w:sz w:val="14"/>
                <w:szCs w:val="14"/>
                <w:color w:val="auto"/>
              </w:rPr>
              <w:t>Other</w:t>
            </w:r>
          </w:p>
        </w:tc>
        <w:tc>
          <w:tcPr>
            <w:tcW w:w="880" w:type="dxa"/>
            <w:vAlign w:val="bottom"/>
          </w:tcPr>
          <w:p>
            <w:pPr>
              <w:spacing w:after="0"/>
              <w:rPr>
                <w:sz w:val="17"/>
                <w:szCs w:val="17"/>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00"/>
        </w:trPr>
        <w:tc>
          <w:tcPr>
            <w:tcW w:w="474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Earnings from continuing operations before income taxes</w:t>
            </w:r>
          </w:p>
        </w:tc>
        <w:tc>
          <w:tcPr>
            <w:tcW w:w="8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335</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346</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1,073</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1,123</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1,335</w:t>
            </w:r>
          </w:p>
        </w:tc>
      </w:tr>
      <w:tr>
        <w:trPr>
          <w:trHeight w:val="198"/>
        </w:trPr>
        <w:tc>
          <w:tcPr>
            <w:tcW w:w="4740" w:type="dxa"/>
            <w:vAlign w:val="bottom"/>
          </w:tcPr>
          <w:p>
            <w:pPr>
              <w:ind w:left="260"/>
              <w:spacing w:after="0"/>
              <w:rPr>
                <w:sz w:val="20"/>
                <w:szCs w:val="20"/>
                <w:color w:val="auto"/>
              </w:rPr>
            </w:pPr>
            <w:r>
              <w:rPr>
                <w:rFonts w:ascii="Arial" w:cs="Arial" w:eastAsia="Arial" w:hAnsi="Arial"/>
                <w:sz w:val="14"/>
                <w:szCs w:val="14"/>
                <w:color w:val="auto"/>
              </w:rPr>
              <w:t>Provision for income taxes:</w:t>
            </w: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7"/>
        </w:trPr>
        <w:tc>
          <w:tcPr>
            <w:tcW w:w="47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Core operating earnings</w:t>
            </w: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r>
      <w:tr>
        <w:trPr>
          <w:trHeight w:val="198"/>
        </w:trPr>
        <w:tc>
          <w:tcPr>
            <w:tcW w:w="4740" w:type="dxa"/>
            <w:vAlign w:val="bottom"/>
          </w:tcPr>
          <w:p>
            <w:pPr>
              <w:ind w:left="440"/>
              <w:spacing w:after="0"/>
              <w:rPr>
                <w:sz w:val="20"/>
                <w:szCs w:val="20"/>
                <w:color w:val="auto"/>
              </w:rPr>
            </w:pPr>
            <w:r>
              <w:rPr>
                <w:rFonts w:ascii="Arial" w:cs="Arial" w:eastAsia="Arial" w:hAnsi="Arial"/>
                <w:sz w:val="14"/>
                <w:szCs w:val="14"/>
                <w:color w:val="auto"/>
              </w:rPr>
              <w:t>Non-core items:</w:t>
            </w: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6"/>
        </w:trPr>
        <w:tc>
          <w:tcPr>
            <w:tcW w:w="47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Realized gains (losses) on securities</w:t>
            </w: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198"/>
        </w:trPr>
        <w:tc>
          <w:tcPr>
            <w:tcW w:w="4740" w:type="dxa"/>
            <w:vAlign w:val="bottom"/>
          </w:tcPr>
          <w:p>
            <w:pPr>
              <w:ind w:left="680"/>
              <w:spacing w:after="0"/>
              <w:rPr>
                <w:sz w:val="20"/>
                <w:szCs w:val="20"/>
                <w:color w:val="auto"/>
              </w:rPr>
            </w:pPr>
            <w:r>
              <w:rPr>
                <w:rFonts w:ascii="Arial" w:cs="Arial" w:eastAsia="Arial" w:hAnsi="Arial"/>
                <w:sz w:val="14"/>
                <w:szCs w:val="14"/>
                <w:color w:val="auto"/>
              </w:rPr>
              <w:t>Realized gain (loss) on subsidiaries</w:t>
            </w:r>
          </w:p>
        </w:tc>
        <w:tc>
          <w:tcPr>
            <w:tcW w:w="880" w:type="dxa"/>
            <w:vAlign w:val="bottom"/>
          </w:tcPr>
          <w:p>
            <w:pPr>
              <w:spacing w:after="0"/>
              <w:rPr>
                <w:sz w:val="17"/>
                <w:szCs w:val="17"/>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07"/>
        </w:trPr>
        <w:tc>
          <w:tcPr>
            <w:tcW w:w="47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Special A&amp;E charges</w:t>
            </w:r>
          </w:p>
        </w:tc>
        <w:tc>
          <w:tcPr>
            <w:tcW w:w="8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4740" w:type="dxa"/>
            <w:vAlign w:val="bottom"/>
          </w:tcPr>
          <w:p>
            <w:pPr>
              <w:ind w:left="680"/>
              <w:spacing w:after="0"/>
              <w:rPr>
                <w:sz w:val="20"/>
                <w:szCs w:val="20"/>
                <w:color w:val="auto"/>
              </w:rPr>
            </w:pPr>
            <w:r>
              <w:rPr>
                <w:rFonts w:ascii="Arial" w:cs="Arial" w:eastAsia="Arial" w:hAnsi="Arial"/>
                <w:sz w:val="14"/>
                <w:szCs w:val="14"/>
                <w:color w:val="auto"/>
              </w:rPr>
              <w:t>Gain (loss) on retirement of debt</w:t>
            </w:r>
          </w:p>
        </w:tc>
        <w:tc>
          <w:tcPr>
            <w:tcW w:w="880" w:type="dxa"/>
            <w:vAlign w:val="bottom"/>
          </w:tcPr>
          <w:p>
            <w:pPr>
              <w:spacing w:after="0"/>
              <w:rPr>
                <w:sz w:val="17"/>
                <w:szCs w:val="17"/>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47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Other</w:t>
            </w:r>
          </w:p>
        </w:tc>
        <w:tc>
          <w:tcPr>
            <w:tcW w:w="8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92"/>
        </w:trPr>
        <w:tc>
          <w:tcPr>
            <w:tcW w:w="4740" w:type="dxa"/>
            <w:vAlign w:val="bottom"/>
            <w:tcBorders>
              <w:bottom w:val="single" w:sz="8" w:color="CCEEFF"/>
            </w:tcBorders>
          </w:tcPr>
          <w:p>
            <w:pPr>
              <w:ind w:left="1000"/>
              <w:spacing w:after="0"/>
              <w:rPr>
                <w:sz w:val="20"/>
                <w:szCs w:val="20"/>
                <w:color w:val="auto"/>
              </w:rPr>
            </w:pPr>
            <w:r>
              <w:rPr>
                <w:rFonts w:ascii="Arial" w:cs="Arial" w:eastAsia="Arial" w:hAnsi="Arial"/>
                <w:sz w:val="14"/>
                <w:szCs w:val="14"/>
                <w:color w:val="auto"/>
              </w:rPr>
              <w:t>Total provision for income taxes</w:t>
            </w:r>
          </w:p>
        </w:tc>
        <w:tc>
          <w:tcPr>
            <w:tcW w:w="88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72</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70</w:t>
            </w:r>
          </w:p>
        </w:tc>
        <w:tc>
          <w:tcPr>
            <w:tcW w:w="8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225</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254</w:t>
            </w:r>
          </w:p>
        </w:tc>
      </w:tr>
      <w:tr>
        <w:trPr>
          <w:trHeight w:val="200"/>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earnings from continuing operations</w:t>
            </w: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w:t>
            </w:r>
          </w:p>
        </w:tc>
      </w:tr>
      <w:tr>
        <w:trPr>
          <w:trHeight w:val="198"/>
        </w:trPr>
        <w:tc>
          <w:tcPr>
            <w:tcW w:w="4740" w:type="dxa"/>
            <w:vAlign w:val="bottom"/>
          </w:tcPr>
          <w:p>
            <w:pPr>
              <w:ind w:left="320"/>
              <w:spacing w:after="0"/>
              <w:rPr>
                <w:sz w:val="20"/>
                <w:szCs w:val="20"/>
                <w:color w:val="auto"/>
              </w:rPr>
            </w:pPr>
            <w:r>
              <w:rPr>
                <w:rFonts w:ascii="Arial" w:cs="Arial" w:eastAsia="Arial" w:hAnsi="Arial"/>
                <w:sz w:val="14"/>
                <w:szCs w:val="14"/>
                <w:color w:val="auto"/>
              </w:rPr>
              <w:t>Net earnings from discontinued operations</w:t>
            </w:r>
          </w:p>
        </w:tc>
        <w:tc>
          <w:tcPr>
            <w:tcW w:w="880" w:type="dxa"/>
            <w:vAlign w:val="bottom"/>
          </w:tcPr>
          <w:p>
            <w:pPr>
              <w:spacing w:after="0"/>
              <w:rPr>
                <w:sz w:val="17"/>
                <w:szCs w:val="17"/>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914</w:t>
            </w:r>
          </w:p>
        </w:tc>
      </w:tr>
      <w:tr>
        <w:trPr>
          <w:trHeight w:val="225"/>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earnings</w:t>
            </w:r>
          </w:p>
        </w:tc>
        <w:tc>
          <w:tcPr>
            <w:tcW w:w="880" w:type="dxa"/>
            <w:vAlign w:val="bottom"/>
            <w:tcBorders>
              <w:top w:val="single" w:sz="8" w:color="auto"/>
              <w:bottom w:val="single" w:sz="8" w:color="auto"/>
            </w:tcBorders>
            <w:shd w:val="clear" w:color="auto" w:fill="CCEEFF"/>
          </w:tcPr>
          <w:p>
            <w:pPr>
              <w:jc w:val="right"/>
              <w:ind w:right="709"/>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1,995</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3"/>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earnings:</w:t>
            </w: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8"/>
        </w:trPr>
        <w:tc>
          <w:tcPr>
            <w:tcW w:w="4740" w:type="dxa"/>
            <w:vAlign w:val="bottom"/>
          </w:tcPr>
          <w:p>
            <w:pPr>
              <w:ind w:left="260"/>
              <w:spacing w:after="0"/>
              <w:rPr>
                <w:sz w:val="20"/>
                <w:szCs w:val="20"/>
                <w:color w:val="auto"/>
              </w:rPr>
            </w:pPr>
            <w:r>
              <w:rPr>
                <w:rFonts w:ascii="Arial" w:cs="Arial" w:eastAsia="Arial" w:hAnsi="Arial"/>
                <w:sz w:val="14"/>
                <w:szCs w:val="14"/>
                <w:color w:val="auto"/>
              </w:rPr>
              <w:t>Core net operating earnings</w:t>
            </w:r>
          </w:p>
        </w:tc>
        <w:tc>
          <w:tcPr>
            <w:tcW w:w="880" w:type="dxa"/>
            <w:vAlign w:val="bottom"/>
          </w:tcPr>
          <w:p>
            <w:pPr>
              <w:jc w:val="right"/>
              <w:ind w:right="709"/>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238</w:t>
            </w:r>
          </w:p>
        </w:tc>
        <w:tc>
          <w:tcPr>
            <w:tcW w:w="10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255</w:t>
            </w:r>
          </w:p>
        </w:tc>
        <w:tc>
          <w:tcPr>
            <w:tcW w:w="8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895</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993</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993</w:t>
            </w:r>
          </w:p>
        </w:tc>
      </w:tr>
      <w:tr>
        <w:trPr>
          <w:trHeight w:val="207"/>
        </w:trPr>
        <w:tc>
          <w:tcPr>
            <w:tcW w:w="47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Realized gains (losses) on securities</w:t>
            </w: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r>
      <w:tr>
        <w:trPr>
          <w:trHeight w:val="198"/>
        </w:trPr>
        <w:tc>
          <w:tcPr>
            <w:tcW w:w="4740" w:type="dxa"/>
            <w:vAlign w:val="bottom"/>
          </w:tcPr>
          <w:p>
            <w:pPr>
              <w:ind w:left="260"/>
              <w:spacing w:after="0"/>
              <w:rPr>
                <w:sz w:val="20"/>
                <w:szCs w:val="20"/>
                <w:color w:val="auto"/>
              </w:rPr>
            </w:pPr>
            <w:r>
              <w:rPr>
                <w:rFonts w:ascii="Arial" w:cs="Arial" w:eastAsia="Arial" w:hAnsi="Arial"/>
                <w:sz w:val="14"/>
                <w:szCs w:val="14"/>
                <w:color w:val="auto"/>
              </w:rPr>
              <w:t>Realized gain (loss) on subsidiaries</w:t>
            </w:r>
          </w:p>
        </w:tc>
        <w:tc>
          <w:tcPr>
            <w:tcW w:w="880" w:type="dxa"/>
            <w:vAlign w:val="bottom"/>
          </w:tcPr>
          <w:p>
            <w:pPr>
              <w:spacing w:after="0"/>
              <w:rPr>
                <w:sz w:val="17"/>
                <w:szCs w:val="17"/>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7"/>
        </w:trPr>
        <w:tc>
          <w:tcPr>
            <w:tcW w:w="47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Special A&amp;E charges</w:t>
            </w:r>
          </w:p>
        </w:tc>
        <w:tc>
          <w:tcPr>
            <w:tcW w:w="8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4740" w:type="dxa"/>
            <w:vAlign w:val="bottom"/>
          </w:tcPr>
          <w:p>
            <w:pPr>
              <w:ind w:left="260"/>
              <w:spacing w:after="0"/>
              <w:rPr>
                <w:sz w:val="20"/>
                <w:szCs w:val="20"/>
                <w:color w:val="auto"/>
              </w:rPr>
            </w:pPr>
            <w:r>
              <w:rPr>
                <w:rFonts w:ascii="Arial" w:cs="Arial" w:eastAsia="Arial" w:hAnsi="Arial"/>
                <w:sz w:val="14"/>
                <w:szCs w:val="14"/>
                <w:color w:val="auto"/>
              </w:rPr>
              <w:t>Gain (loss) on retirement of debt</w:t>
            </w:r>
          </w:p>
        </w:tc>
        <w:tc>
          <w:tcPr>
            <w:tcW w:w="880" w:type="dxa"/>
            <w:vAlign w:val="bottom"/>
          </w:tcPr>
          <w:p>
            <w:pPr>
              <w:spacing w:after="0"/>
              <w:rPr>
                <w:sz w:val="17"/>
                <w:szCs w:val="17"/>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47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w:t>
            </w:r>
          </w:p>
        </w:tc>
        <w:tc>
          <w:tcPr>
            <w:tcW w:w="8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92"/>
        </w:trPr>
        <w:tc>
          <w:tcPr>
            <w:tcW w:w="4740" w:type="dxa"/>
            <w:vAlign w:val="bottom"/>
          </w:tcPr>
          <w:p>
            <w:pPr>
              <w:ind w:left="20"/>
              <w:spacing w:after="0"/>
              <w:rPr>
                <w:sz w:val="20"/>
                <w:szCs w:val="20"/>
                <w:color w:val="auto"/>
              </w:rPr>
            </w:pPr>
            <w:r>
              <w:rPr>
                <w:rFonts w:ascii="Arial" w:cs="Arial" w:eastAsia="Arial" w:hAnsi="Arial"/>
                <w:sz w:val="14"/>
                <w:szCs w:val="14"/>
                <w:color w:val="auto"/>
              </w:rPr>
              <w:t>Net earnings from continuing operations</w:t>
            </w:r>
          </w:p>
        </w:tc>
        <w:tc>
          <w:tcPr>
            <w:tcW w:w="8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263</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276</w:t>
            </w: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852</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898</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1,081</w:t>
            </w:r>
          </w:p>
        </w:tc>
      </w:tr>
      <w:tr>
        <w:trPr>
          <w:trHeight w:val="202"/>
        </w:trPr>
        <w:tc>
          <w:tcPr>
            <w:tcW w:w="47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Discontinued annuity operations</w:t>
            </w:r>
          </w:p>
        </w:tc>
        <w:tc>
          <w:tcPr>
            <w:tcW w:w="8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w:t>
            </w:r>
          </w:p>
        </w:tc>
      </w:tr>
      <w:tr>
        <w:trPr>
          <w:trHeight w:val="200"/>
        </w:trPr>
        <w:tc>
          <w:tcPr>
            <w:tcW w:w="4740" w:type="dxa"/>
            <w:vAlign w:val="bottom"/>
          </w:tcPr>
          <w:p>
            <w:pPr>
              <w:ind w:left="20"/>
              <w:spacing w:after="0"/>
              <w:rPr>
                <w:sz w:val="20"/>
                <w:szCs w:val="20"/>
                <w:color w:val="auto"/>
              </w:rPr>
            </w:pPr>
            <w:r>
              <w:rPr>
                <w:rFonts w:ascii="Arial" w:cs="Arial" w:eastAsia="Arial" w:hAnsi="Arial"/>
                <w:sz w:val="14"/>
                <w:szCs w:val="14"/>
                <w:b w:val="1"/>
                <w:bCs w:val="1"/>
                <w:color w:val="auto"/>
              </w:rPr>
              <w:t>Net earnings</w:t>
            </w:r>
          </w:p>
        </w:tc>
        <w:tc>
          <w:tcPr>
            <w:tcW w:w="880" w:type="dxa"/>
            <w:vAlign w:val="bottom"/>
            <w:tcBorders>
              <w:top w:val="single" w:sz="8" w:color="auto"/>
              <w:bottom w:val="single" w:sz="8" w:color="auto"/>
            </w:tcBorders>
          </w:tcPr>
          <w:p>
            <w:pPr>
              <w:jc w:val="right"/>
              <w:ind w:right="709"/>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263</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276</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852</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898</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1,995</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3"/>
        </w:trPr>
        <w:tc>
          <w:tcPr>
            <w:tcW w:w="47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98"/>
        </w:trPr>
        <w:tc>
          <w:tcPr>
            <w:tcW w:w="4740" w:type="dxa"/>
            <w:vAlign w:val="bottom"/>
          </w:tcPr>
          <w:p>
            <w:pPr>
              <w:ind w:left="20"/>
              <w:spacing w:after="0"/>
              <w:rPr>
                <w:sz w:val="20"/>
                <w:szCs w:val="20"/>
                <w:color w:val="auto"/>
              </w:rPr>
            </w:pPr>
            <w:r>
              <w:rPr>
                <w:rFonts w:ascii="Arial" w:cs="Arial" w:eastAsia="Arial" w:hAnsi="Arial"/>
                <w:sz w:val="14"/>
                <w:szCs w:val="14"/>
                <w:color w:val="auto"/>
              </w:rPr>
              <w:t>Diluted per share amounts:</w:t>
            </w: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7"/>
        </w:trPr>
        <w:tc>
          <w:tcPr>
            <w:tcW w:w="4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Core net operating earnings</w:t>
            </w:r>
          </w:p>
        </w:tc>
        <w:tc>
          <w:tcPr>
            <w:tcW w:w="880" w:type="dxa"/>
            <w:vAlign w:val="bottom"/>
            <w:shd w:val="clear" w:color="auto" w:fill="CCEEFF"/>
          </w:tcPr>
          <w:p>
            <w:pPr>
              <w:jc w:val="right"/>
              <w:ind w:right="709"/>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2.99</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11.59</w:t>
            </w:r>
          </w:p>
        </w:tc>
      </w:tr>
      <w:tr>
        <w:trPr>
          <w:trHeight w:val="198"/>
        </w:trPr>
        <w:tc>
          <w:tcPr>
            <w:tcW w:w="4740" w:type="dxa"/>
            <w:vAlign w:val="bottom"/>
          </w:tcPr>
          <w:p>
            <w:pPr>
              <w:ind w:left="220"/>
              <w:spacing w:after="0"/>
              <w:rPr>
                <w:sz w:val="20"/>
                <w:szCs w:val="20"/>
                <w:color w:val="auto"/>
              </w:rPr>
            </w:pPr>
            <w:r>
              <w:rPr>
                <w:rFonts w:ascii="Arial" w:cs="Arial" w:eastAsia="Arial" w:hAnsi="Arial"/>
                <w:sz w:val="14"/>
                <w:szCs w:val="14"/>
                <w:color w:val="auto"/>
              </w:rPr>
              <w:t>Realized gains (losses) on securities</w:t>
            </w:r>
          </w:p>
        </w:tc>
        <w:tc>
          <w:tcPr>
            <w:tcW w:w="880" w:type="dxa"/>
            <w:vAlign w:val="bottom"/>
          </w:tcPr>
          <w:p>
            <w:pPr>
              <w:spacing w:after="0"/>
              <w:rPr>
                <w:sz w:val="17"/>
                <w:szCs w:val="17"/>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0.29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0.25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(0.33)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207"/>
        </w:trPr>
        <w:tc>
          <w:tcPr>
            <w:tcW w:w="4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Realized gain (loss) on subsidiaries</w:t>
            </w:r>
          </w:p>
        </w:tc>
        <w:tc>
          <w:tcPr>
            <w:tcW w:w="8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r>
      <w:tr>
        <w:trPr>
          <w:trHeight w:val="198"/>
        </w:trPr>
        <w:tc>
          <w:tcPr>
            <w:tcW w:w="4740" w:type="dxa"/>
            <w:vAlign w:val="bottom"/>
          </w:tcPr>
          <w:p>
            <w:pPr>
              <w:ind w:left="220"/>
              <w:spacing w:after="0"/>
              <w:rPr>
                <w:sz w:val="20"/>
                <w:szCs w:val="20"/>
                <w:color w:val="auto"/>
              </w:rPr>
            </w:pPr>
            <w:r>
              <w:rPr>
                <w:rFonts w:ascii="Arial" w:cs="Arial" w:eastAsia="Arial" w:hAnsi="Arial"/>
                <w:sz w:val="14"/>
                <w:szCs w:val="14"/>
                <w:color w:val="auto"/>
              </w:rPr>
              <w:t>Special A&amp;E charges</w:t>
            </w:r>
          </w:p>
        </w:tc>
        <w:tc>
          <w:tcPr>
            <w:tcW w:w="880" w:type="dxa"/>
            <w:vAlign w:val="bottom"/>
          </w:tcPr>
          <w:p>
            <w:pPr>
              <w:spacing w:after="0"/>
              <w:rPr>
                <w:sz w:val="17"/>
                <w:szCs w:val="17"/>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(0.15)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4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Gain (loss) on retirement of debt</w:t>
            </w:r>
          </w:p>
        </w:tc>
        <w:tc>
          <w:tcPr>
            <w:tcW w:w="8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4740" w:type="dxa"/>
            <w:vAlign w:val="bottom"/>
          </w:tcPr>
          <w:p>
            <w:pPr>
              <w:ind w:left="220"/>
              <w:spacing w:after="0"/>
              <w:rPr>
                <w:sz w:val="20"/>
                <w:szCs w:val="20"/>
                <w:color w:val="auto"/>
              </w:rPr>
            </w:pPr>
            <w:r>
              <w:rPr>
                <w:rFonts w:ascii="Arial" w:cs="Arial" w:eastAsia="Arial" w:hAnsi="Arial"/>
                <w:sz w:val="14"/>
                <w:szCs w:val="14"/>
                <w:color w:val="auto"/>
              </w:rPr>
              <w:t>Other</w:t>
            </w:r>
          </w:p>
        </w:tc>
        <w:tc>
          <w:tcPr>
            <w:tcW w:w="880" w:type="dxa"/>
            <w:vAlign w:val="bottom"/>
          </w:tcPr>
          <w:p>
            <w:pPr>
              <w:spacing w:after="0"/>
              <w:rPr>
                <w:sz w:val="17"/>
                <w:szCs w:val="17"/>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0.05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(0.02)</w:t>
            </w:r>
          </w:p>
        </w:tc>
      </w:tr>
      <w:tr>
        <w:trPr>
          <w:trHeight w:val="200"/>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Diluted per share amounts, continuing operations</w:t>
            </w:r>
          </w:p>
        </w:tc>
        <w:tc>
          <w:tcPr>
            <w:tcW w:w="8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3.13</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3.24</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10.05</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10.53</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12.62</w:t>
            </w:r>
          </w:p>
        </w:tc>
      </w:tr>
      <w:tr>
        <w:trPr>
          <w:trHeight w:val="198"/>
        </w:trPr>
        <w:tc>
          <w:tcPr>
            <w:tcW w:w="4740" w:type="dxa"/>
            <w:vAlign w:val="bottom"/>
          </w:tcPr>
          <w:p>
            <w:pPr>
              <w:ind w:left="220"/>
              <w:spacing w:after="0"/>
              <w:rPr>
                <w:sz w:val="20"/>
                <w:szCs w:val="20"/>
                <w:color w:val="auto"/>
              </w:rPr>
            </w:pPr>
            <w:r>
              <w:rPr>
                <w:rFonts w:ascii="Arial" w:cs="Arial" w:eastAsia="Arial" w:hAnsi="Arial"/>
                <w:sz w:val="14"/>
                <w:szCs w:val="14"/>
                <w:color w:val="auto"/>
              </w:rPr>
              <w:t>Discontinued annuity operations</w:t>
            </w:r>
          </w:p>
        </w:tc>
        <w:tc>
          <w:tcPr>
            <w:tcW w:w="880" w:type="dxa"/>
            <w:vAlign w:val="bottom"/>
          </w:tcPr>
          <w:p>
            <w:pPr>
              <w:spacing w:after="0"/>
              <w:rPr>
                <w:sz w:val="17"/>
                <w:szCs w:val="17"/>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10.68</w:t>
            </w:r>
          </w:p>
        </w:tc>
      </w:tr>
      <w:tr>
        <w:trPr>
          <w:trHeight w:val="225"/>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earnings</w:t>
            </w:r>
          </w:p>
        </w:tc>
        <w:tc>
          <w:tcPr>
            <w:tcW w:w="880" w:type="dxa"/>
            <w:vAlign w:val="bottom"/>
            <w:tcBorders>
              <w:top w:val="single" w:sz="8" w:color="auto"/>
              <w:bottom w:val="single" w:sz="8" w:color="auto"/>
            </w:tcBorders>
            <w:shd w:val="clear" w:color="auto" w:fill="CCEEFF"/>
          </w:tcPr>
          <w:p>
            <w:pPr>
              <w:jc w:val="right"/>
              <w:ind w:right="709"/>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23.30</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Net earnings were $263 million in the fourth quarter of 2023 compared to $276 million in the fourth quarter of 2022 reflecting lower core net operating earnings partially offset by higher net realized gains on securities in the fourth quarter of 2023 compared to the fourth quarter of 2022. Core net operating earnings for the fourth quarter of 2023 decreased $17 million compared to the fourth quarter of 2022 due primarily to lower returns on AFG’s alternative investment portfolio in the fourth quarter of 2023 compared to the fourth quarter of 2022 and lower underwriting profit, partially offset by higher investment income outside of alternative investments. Net realized gains on securities of $25 million and $21 million in the fourth quarter of 2023 and 2022, respectively, resulted primarily from the change in fair value of equity securities that were still held at the balance sheet date.</w:t>
      </w:r>
    </w:p>
    <w:p>
      <w:pPr>
        <w:spacing w:after="0" w:line="209"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Net earnings were $852 million for the full-year of 2023 compared to $898 million in 2022 reflecting lower core net operating earnings and a special A&amp;E charge recorded in the third quarter of 2023, partially offset by lower net realized losses on securities in 2023 compared to 2022. Core net operating earnings for 2023 decreased $98 million compared to 2022 reflecting lower returns on AFG’s alternative investment portfolio when compared to the strong performance of this portfolio in 2022 and lower underwriting profit, partially offset by higher investment income outside of alternative investments. Net realized losses on securities of $28 million in 2023 and $92 million in 2022 include $2 million and $75 million, respectively, of after-tax losses from the change in fair value of equity securities that were still held at the balance sheet date.</w:t>
      </w:r>
    </w:p>
    <w:p>
      <w:pPr>
        <w:spacing w:after="0" w:line="206"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Net earnings were $898 million for the full-year of 2022 compared to $2.00 billion in 2021 reflecting net earnings from the discontinued annuity operations in 2021 and net realized losses on securities in 2022 compared to net realized gains on securities in 2021. The discontinued annuity operations includes an after-tax gain on the sale of the annuity subsidiaries of $656 million in 2021. Core net operating earnings were comparable in 2022 and 2021 as higher underwriting profit and higher investment income outside of alternative investments were offset by lower returns on AFG’s alternative investment portfolio compared to the very strong performance of this portfolio in 2021. Realized gains (losses) on securities in 2022 and 2021 resulted primarily from the change in fair value of equity securities that were still held at the balance sheet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6" w:right="39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700"/>
        <w:spacing w:after="0" w:line="298" w:lineRule="auto"/>
        <w:rPr>
          <w:sz w:val="20"/>
          <w:szCs w:val="20"/>
          <w:color w:val="auto"/>
        </w:rPr>
      </w:pPr>
      <w:r>
        <w:rPr>
          <w:rFonts w:ascii="Arial" w:cs="Arial" w:eastAsia="Arial" w:hAnsi="Arial"/>
          <w:sz w:val="29"/>
          <w:szCs w:val="29"/>
          <w:b w:val="1"/>
          <w:bCs w:val="1"/>
          <w:color w:val="00274E"/>
        </w:rPr>
        <w:t>RESULTS OF OPERATIONS — THREE MONTHS ENDED DECEMBER 31, 2023 AND 2022</w:t>
      </w:r>
    </w:p>
    <w:p>
      <w:pPr>
        <w:spacing w:after="0" w:line="113" w:lineRule="exact"/>
        <w:rPr>
          <w:sz w:val="20"/>
          <w:szCs w:val="20"/>
          <w:color w:val="auto"/>
        </w:rPr>
      </w:pPr>
    </w:p>
    <w:p>
      <w:pPr>
        <w:spacing w:after="0"/>
        <w:rPr>
          <w:sz w:val="20"/>
          <w:szCs w:val="20"/>
          <w:color w:val="auto"/>
        </w:rPr>
      </w:pPr>
      <w:r>
        <w:rPr>
          <w:rFonts w:ascii="Arial" w:cs="Arial" w:eastAsia="Arial" w:hAnsi="Arial"/>
          <w:sz w:val="25"/>
          <w:szCs w:val="25"/>
          <w:b w:val="1"/>
          <w:bCs w:val="1"/>
          <w:color w:val="00274E"/>
        </w:rPr>
        <w:t>Segmented Statement of Earnings</w:t>
      </w:r>
    </w:p>
    <w:p>
      <w:pPr>
        <w:spacing w:after="0" w:line="41" w:lineRule="exact"/>
        <w:rPr>
          <w:sz w:val="20"/>
          <w:szCs w:val="20"/>
          <w:color w:val="auto"/>
        </w:rPr>
      </w:pPr>
    </w:p>
    <w:p>
      <w:pPr>
        <w:ind w:right="520"/>
        <w:spacing w:after="0" w:line="264" w:lineRule="auto"/>
        <w:rPr>
          <w:sz w:val="20"/>
          <w:szCs w:val="20"/>
          <w:color w:val="auto"/>
        </w:rPr>
      </w:pPr>
      <w:r>
        <w:rPr>
          <w:rFonts w:ascii="Arial" w:cs="Arial" w:eastAsia="Arial" w:hAnsi="Arial"/>
          <w:sz w:val="17"/>
          <w:szCs w:val="17"/>
          <w:color w:val="auto"/>
        </w:rPr>
        <w:t>Subsequent to the sale of its annuity operations, AFG reports its operations as two segments: (i) Property and casualty insurance (“P&amp;C”) and (ii) Other, which includes holding company costs and income and expenses related to the managed investment entities (“MIEs”).</w:t>
      </w:r>
    </w:p>
    <w:p>
      <w:pPr>
        <w:spacing w:after="0" w:line="202" w:lineRule="exact"/>
        <w:rPr>
          <w:sz w:val="20"/>
          <w:szCs w:val="20"/>
          <w:color w:val="auto"/>
        </w:rPr>
      </w:pPr>
    </w:p>
    <w:p>
      <w:pPr>
        <w:ind w:right="360"/>
        <w:spacing w:after="0" w:line="266" w:lineRule="auto"/>
        <w:rPr>
          <w:sz w:val="20"/>
          <w:szCs w:val="20"/>
          <w:color w:val="auto"/>
        </w:rPr>
      </w:pPr>
      <w:r>
        <w:rPr>
          <w:rFonts w:ascii="Arial" w:cs="Arial" w:eastAsia="Arial" w:hAnsi="Arial"/>
          <w:sz w:val="17"/>
          <w:szCs w:val="17"/>
          <w:color w:val="auto"/>
        </w:rPr>
        <w:t>AFG’s net earnings, determined in accordance with GAAP, include certain items that may not be indicative of its ongoing core operations. The following tables for the three months ended December 31, 2023 and 2022 identify such items by segment and reconcile net earnings to core net operating earnings, a non-GAAP financial measure that AFG believes is a useful tool for investors and analysts in analyzing ongoing operating trends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728"/>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color w:val="auto"/>
              </w:rPr>
              <w:t>Consol.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20"/>
              <w:spacing w:after="0" w:line="151" w:lineRule="exact"/>
              <w:rPr>
                <w:sz w:val="20"/>
                <w:szCs w:val="20"/>
                <w:color w:val="auto"/>
              </w:rPr>
            </w:pPr>
            <w:r>
              <w:rPr>
                <w:rFonts w:ascii="Arial" w:cs="Arial" w:eastAsia="Arial" w:hAnsi="Arial"/>
                <w:sz w:val="14"/>
                <w:szCs w:val="14"/>
                <w:color w:val="auto"/>
              </w:rPr>
              <w:t>Holding Co.,</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Non-core</w:t>
            </w:r>
          </w:p>
        </w:tc>
        <w:tc>
          <w:tcPr>
            <w:tcW w:w="140" w:type="dxa"/>
            <w:vAlign w:val="bottom"/>
          </w:tcPr>
          <w:p>
            <w:pPr>
              <w:spacing w:after="0"/>
              <w:rPr>
                <w:sz w:val="13"/>
                <w:szCs w:val="13"/>
                <w:color w:val="auto"/>
              </w:rPr>
            </w:pPr>
          </w:p>
        </w:tc>
        <w:tc>
          <w:tcPr>
            <w:tcW w:w="580" w:type="dxa"/>
            <w:vAlign w:val="bottom"/>
            <w:vMerge w:val="restart"/>
          </w:tcPr>
          <w:p>
            <w:pPr>
              <w:jc w:val="right"/>
              <w:ind w:right="88"/>
              <w:spacing w:after="0"/>
              <w:rPr>
                <w:sz w:val="20"/>
                <w:szCs w:val="20"/>
                <w:color w:val="auto"/>
              </w:rPr>
            </w:pPr>
            <w:r>
              <w:rPr>
                <w:rFonts w:ascii="Arial" w:cs="Arial" w:eastAsia="Arial" w:hAnsi="Arial"/>
                <w:sz w:val="14"/>
                <w:szCs w:val="14"/>
                <w:color w:val="auto"/>
              </w:rPr>
              <w:t>GAAP</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P&amp;C</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rPr>
              <w:t>other and</w:t>
            </w: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Total</w:t>
            </w:r>
          </w:p>
        </w:tc>
        <w:tc>
          <w:tcPr>
            <w:tcW w:w="8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MIEs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rPr>
              <w:t>unallocated</w:t>
            </w: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color w:val="auto"/>
              </w:rPr>
              <w:t>reclass</w:t>
            </w:r>
          </w:p>
        </w:tc>
        <w:tc>
          <w:tcPr>
            <w:tcW w:w="140" w:type="dxa"/>
            <w:vAlign w:val="bottom"/>
          </w:tcPr>
          <w:p>
            <w:pPr>
              <w:spacing w:after="0"/>
              <w:rPr>
                <w:sz w:val="16"/>
                <w:szCs w:val="16"/>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760" w:type="dxa"/>
            <w:vAlign w:val="bottom"/>
            <w:tcBorders>
              <w:top w:val="single" w:sz="8" w:color="CCEEFF"/>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Three months ended December 31, 2023</w:t>
            </w:r>
          </w:p>
        </w:tc>
        <w:tc>
          <w:tcPr>
            <w:tcW w:w="32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6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Property and casualty insurance net earned premiums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Net investment income</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Realized gains (losses) on securities</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Income of MIEs: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Investment income</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Gain (loss) on change in fair value of assets/liabilities</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income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1,896</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102</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2,052</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2,083</w:t>
            </w: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2760" w:type="dxa"/>
            <w:vAlign w:val="bottom"/>
            <w:shd w:val="clear" w:color="auto" w:fill="CCEEFF"/>
          </w:tcPr>
          <w:p>
            <w:pPr>
              <w:spacing w:after="0"/>
              <w:rPr>
                <w:sz w:val="13"/>
                <w:szCs w:val="13"/>
                <w:color w:val="auto"/>
              </w:rPr>
            </w:pPr>
          </w:p>
        </w:tc>
        <w:tc>
          <w:tcPr>
            <w:tcW w:w="3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Costs and Expenses: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Property and casualty insurance: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Losses and loss adjustment expenses</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1,053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1,069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1,069</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Commissions and other underwriting expenses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Interest charges on borrowed money</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Expenses of MIEs</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598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Other expenses</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Total costs and expenses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80" w:type="dxa"/>
            <w:vAlign w:val="bottom"/>
            <w:gridSpan w:val="2"/>
          </w:tcPr>
          <w:p>
            <w:pPr>
              <w:spacing w:after="0"/>
              <w:rPr>
                <w:sz w:val="20"/>
                <w:szCs w:val="20"/>
                <w:color w:val="auto"/>
              </w:rPr>
            </w:pPr>
            <w:r>
              <w:rPr>
                <w:rFonts w:ascii="Arial" w:cs="Arial" w:eastAsia="Arial" w:hAnsi="Arial"/>
                <w:sz w:val="14"/>
                <w:szCs w:val="14"/>
                <w:color w:val="auto"/>
              </w:rPr>
              <w:t>Earnings before income taxes</w:t>
            </w: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357</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Core Net Operating Earnings</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283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238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Non-core earnings (loss) (*):</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598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Realized gains (losses) on securities, net of tax</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728"/>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color w:val="auto"/>
              </w:rPr>
              <w:t>Consol.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20"/>
              <w:spacing w:after="0" w:line="151" w:lineRule="exact"/>
              <w:rPr>
                <w:sz w:val="20"/>
                <w:szCs w:val="20"/>
                <w:color w:val="auto"/>
              </w:rPr>
            </w:pPr>
            <w:r>
              <w:rPr>
                <w:rFonts w:ascii="Arial" w:cs="Arial" w:eastAsia="Arial" w:hAnsi="Arial"/>
                <w:sz w:val="14"/>
                <w:szCs w:val="14"/>
                <w:color w:val="auto"/>
              </w:rPr>
              <w:t>Holding Co.,</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Non-core</w:t>
            </w:r>
          </w:p>
        </w:tc>
        <w:tc>
          <w:tcPr>
            <w:tcW w:w="140" w:type="dxa"/>
            <w:vAlign w:val="bottom"/>
          </w:tcPr>
          <w:p>
            <w:pPr>
              <w:spacing w:after="0"/>
              <w:rPr>
                <w:sz w:val="13"/>
                <w:szCs w:val="13"/>
                <w:color w:val="auto"/>
              </w:rPr>
            </w:pPr>
          </w:p>
        </w:tc>
        <w:tc>
          <w:tcPr>
            <w:tcW w:w="580" w:type="dxa"/>
            <w:vAlign w:val="bottom"/>
            <w:vMerge w:val="restart"/>
          </w:tcPr>
          <w:p>
            <w:pPr>
              <w:jc w:val="right"/>
              <w:ind w:right="88"/>
              <w:spacing w:after="0"/>
              <w:rPr>
                <w:sz w:val="20"/>
                <w:szCs w:val="20"/>
                <w:color w:val="auto"/>
              </w:rPr>
            </w:pPr>
            <w:r>
              <w:rPr>
                <w:rFonts w:ascii="Arial" w:cs="Arial" w:eastAsia="Arial" w:hAnsi="Arial"/>
                <w:sz w:val="14"/>
                <w:szCs w:val="14"/>
                <w:color w:val="auto"/>
              </w:rPr>
              <w:t>GAAP</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P&amp;C</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5" w:lineRule="exact"/>
              <w:rPr>
                <w:sz w:val="20"/>
                <w:szCs w:val="20"/>
                <w:color w:val="auto"/>
              </w:rPr>
            </w:pPr>
            <w:r>
              <w:rPr>
                <w:rFonts w:ascii="Arial" w:cs="Arial" w:eastAsia="Arial" w:hAnsi="Arial"/>
                <w:sz w:val="14"/>
                <w:szCs w:val="14"/>
                <w:color w:val="auto"/>
              </w:rPr>
              <w:t>other and</w:t>
            </w: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Total</w:t>
            </w:r>
          </w:p>
        </w:tc>
        <w:tc>
          <w:tcPr>
            <w:tcW w:w="8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MIEs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rPr>
              <w:t>unallocated</w:t>
            </w: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color w:val="auto"/>
              </w:rPr>
              <w:t>reclass</w:t>
            </w:r>
          </w:p>
        </w:tc>
        <w:tc>
          <w:tcPr>
            <w:tcW w:w="140" w:type="dxa"/>
            <w:vAlign w:val="bottom"/>
          </w:tcPr>
          <w:p>
            <w:pPr>
              <w:spacing w:after="0"/>
              <w:rPr>
                <w:sz w:val="16"/>
                <w:szCs w:val="16"/>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760" w:type="dxa"/>
            <w:vAlign w:val="bottom"/>
            <w:tcBorders>
              <w:top w:val="single" w:sz="8" w:color="CCEEFF"/>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Three months ended December 31, 2022</w:t>
            </w:r>
          </w:p>
        </w:tc>
        <w:tc>
          <w:tcPr>
            <w:tcW w:w="32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6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Property and casualty insurance net earned premiums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Net investment income</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Realized gains (losses) on securities</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Income of MIEs: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Investment income</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Gain (loss) on change in fair value of assets/liabilities</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income</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1,782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82</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1,902</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1,929</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3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Costs and Expenses: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Property and casualty insurance: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Losses and loss adjustment expenses</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986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986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986</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Commissions and other underwriting expenses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Interest charges on borrowed money</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Expenses of MIEs</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598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Other expenses</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Total costs and expenses</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82</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1,584</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80" w:type="dxa"/>
            <w:vAlign w:val="bottom"/>
            <w:gridSpan w:val="2"/>
          </w:tcPr>
          <w:p>
            <w:pPr>
              <w:spacing w:after="0"/>
              <w:rPr>
                <w:sz w:val="20"/>
                <w:szCs w:val="20"/>
                <w:color w:val="auto"/>
              </w:rPr>
            </w:pPr>
            <w:r>
              <w:rPr>
                <w:rFonts w:ascii="Arial" w:cs="Arial" w:eastAsia="Arial" w:hAnsi="Arial"/>
                <w:sz w:val="14"/>
                <w:szCs w:val="14"/>
                <w:color w:val="auto"/>
              </w:rPr>
              <w:t>Earnings before income taxes</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363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318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Core Net Operating Earnings</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Non-core earnings (loss) (*):</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598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Realized gains (losses) on securities, net of tax</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right="740" w:hanging="412"/>
        <w:spacing w:after="0" w:line="286" w:lineRule="auto"/>
        <w:tabs>
          <w:tab w:leader="none" w:pos="415" w:val="left"/>
        </w:tabs>
        <w:numPr>
          <w:ilvl w:val="0"/>
          <w:numId w:val="27"/>
        </w:numPr>
        <w:rPr>
          <w:rFonts w:ascii="Arial" w:cs="Arial" w:eastAsia="Arial" w:hAnsi="Arial"/>
          <w:sz w:val="16"/>
          <w:szCs w:val="16"/>
          <w:color w:val="auto"/>
        </w:rPr>
      </w:pPr>
      <w:r>
        <w:rPr>
          <w:rFonts w:ascii="Arial" w:cs="Arial" w:eastAsia="Arial" w:hAnsi="Arial"/>
          <w:sz w:val="16"/>
          <w:szCs w:val="16"/>
          <w:color w:val="auto"/>
        </w:rPr>
        <w:t>See the reconciliation of core earnings to GAAP net earnings under “</w:t>
      </w:r>
      <w:r>
        <w:rPr>
          <w:rFonts w:ascii="Arial" w:cs="Arial" w:eastAsia="Arial" w:hAnsi="Arial"/>
          <w:sz w:val="16"/>
          <w:szCs w:val="16"/>
          <w:i w:val="1"/>
          <w:iCs w:val="1"/>
          <w:color w:val="auto"/>
        </w:rPr>
        <w:t>Results of Operations — General</w:t>
      </w:r>
      <w:r>
        <w:rPr>
          <w:rFonts w:ascii="Arial" w:cs="Arial" w:eastAsia="Arial" w:hAnsi="Arial"/>
          <w:sz w:val="16"/>
          <w:szCs w:val="16"/>
          <w:color w:val="auto"/>
        </w:rPr>
        <w:t>” for details on the tax impacts of these reconciling items.</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00274E"/>
        </w:rPr>
        <w:t>Property and Casualty Insurance Segment — Results of Operations</w:t>
      </w:r>
    </w:p>
    <w:p>
      <w:pPr>
        <w:spacing w:after="0" w:line="28"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Performance measures such as underwriting profit or loss and related combined ratios are often used by property and casualty insurers to help users of their financial statements better understand the company’s performance. Underwriting profitability is measured by the combined ratio, which is a sum of the ratios of losses and loss adjustment expenses, and commissions and other underwriting expenses to premiums. A combined ratio under 100% indicates an underwriting profit. The combined ratio does not reflect net investment income, other income, other expenses or federal income taxes.</w:t>
      </w:r>
    </w:p>
    <w:p>
      <w:pPr>
        <w:spacing w:after="0" w:line="210" w:lineRule="exact"/>
        <w:rPr>
          <w:sz w:val="20"/>
          <w:szCs w:val="20"/>
          <w:color w:val="auto"/>
        </w:rPr>
      </w:pPr>
    </w:p>
    <w:p>
      <w:pPr>
        <w:jc w:val="both"/>
        <w:ind w:right="60"/>
        <w:spacing w:after="0" w:line="266" w:lineRule="auto"/>
        <w:rPr>
          <w:sz w:val="20"/>
          <w:szCs w:val="20"/>
          <w:color w:val="auto"/>
        </w:rPr>
      </w:pPr>
      <w:r>
        <w:rPr>
          <w:rFonts w:ascii="Arial" w:cs="Arial" w:eastAsia="Arial" w:hAnsi="Arial"/>
          <w:sz w:val="17"/>
          <w:szCs w:val="17"/>
          <w:color w:val="auto"/>
        </w:rPr>
        <w:t>AFG’s property and casualty insurance operations contributed $357 million in pretax earnings in the fourth quarter of 2023 compared to $363 million in the fourth quarter of 2022, a decrease of $6 million (2%). Lower underwriting profits in the Specialty casualty and Property and transportation sub-segments and lower investment income from alternative investments were partially offset by higher underwriting profit in the Specialty financial sub-segment and higher net investment income outside of alternative investments.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AFG’s earnings before income taxes from its property and casualty insurance operations for the three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2023 and 2022 (dollars in millions):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color w:val="auto"/>
              </w:rPr>
              <w:t>Three months ended December 31,</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8"/>
        </w:trPr>
        <w:tc>
          <w:tcPr>
            <w:tcW w:w="68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color w:val="auto"/>
              </w:rPr>
              <w:t>2023</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65"/>
              <w:spacing w:after="0"/>
              <w:rPr>
                <w:sz w:val="20"/>
                <w:szCs w:val="20"/>
                <w:color w:val="auto"/>
              </w:rPr>
            </w:pPr>
            <w:r>
              <w:rPr>
                <w:rFonts w:ascii="Arial" w:cs="Arial" w:eastAsia="Arial" w:hAnsi="Arial"/>
                <w:sz w:val="14"/>
                <w:szCs w:val="14"/>
                <w:color w:val="auto"/>
              </w:rPr>
              <w:t>% Change</w:t>
            </w:r>
          </w:p>
        </w:tc>
      </w:tr>
      <w:tr>
        <w:trPr>
          <w:trHeight w:val="214"/>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written premiums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1,992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1,845</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8 %</w:t>
            </w:r>
          </w:p>
        </w:tc>
      </w:tr>
      <w:tr>
        <w:trPr>
          <w:trHeight w:val="215"/>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Reinsurance premiums ceded</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(547)</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(507)</w:t>
            </w:r>
          </w:p>
        </w:tc>
        <w:tc>
          <w:tcPr>
            <w:tcW w:w="1260" w:type="dxa"/>
            <w:vAlign w:val="bottom"/>
            <w:tcBorders>
              <w:bottom w:val="single" w:sz="8" w:color="CCEEFF"/>
            </w:tcBorders>
            <w:gridSpan w:val="2"/>
          </w:tcPr>
          <w:p>
            <w:pPr>
              <w:jc w:val="right"/>
              <w:ind w:right="5"/>
              <w:spacing w:after="0"/>
              <w:rPr>
                <w:sz w:val="20"/>
                <w:szCs w:val="20"/>
                <w:color w:val="auto"/>
              </w:rPr>
            </w:pPr>
            <w:r>
              <w:rPr>
                <w:rFonts w:ascii="Arial" w:cs="Arial" w:eastAsia="Arial" w:hAnsi="Arial"/>
                <w:sz w:val="16"/>
                <w:szCs w:val="16"/>
                <w:color w:val="auto"/>
              </w:rPr>
              <w:t>8 %</w:t>
            </w:r>
          </w:p>
        </w:tc>
      </w:tr>
      <w:tr>
        <w:trPr>
          <w:trHeight w:val="210"/>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written premiums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1,445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1,338</w:t>
            </w:r>
          </w:p>
        </w:tc>
        <w:tc>
          <w:tcPr>
            <w:tcW w:w="1260" w:type="dxa"/>
            <w:vAlign w:val="bottom"/>
            <w:gridSpan w:val="2"/>
            <w:shd w:val="clear" w:color="auto" w:fill="CCEEFF"/>
          </w:tcPr>
          <w:p>
            <w:pPr>
              <w:jc w:val="right"/>
              <w:ind w:right="5"/>
              <w:spacing w:after="0"/>
              <w:rPr>
                <w:sz w:val="20"/>
                <w:szCs w:val="20"/>
                <w:color w:val="auto"/>
              </w:rPr>
            </w:pPr>
            <w:r>
              <w:rPr>
                <w:rFonts w:ascii="Arial" w:cs="Arial" w:eastAsia="Arial" w:hAnsi="Arial"/>
                <w:sz w:val="16"/>
                <w:szCs w:val="16"/>
                <w:color w:val="auto"/>
              </w:rPr>
              <w:t>8 %</w:t>
            </w:r>
          </w:p>
        </w:tc>
      </w:tr>
      <w:tr>
        <w:trPr>
          <w:trHeight w:val="215"/>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in unearned premiums</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287</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285</w:t>
            </w:r>
          </w:p>
        </w:tc>
        <w:tc>
          <w:tcPr>
            <w:tcW w:w="1260" w:type="dxa"/>
            <w:vAlign w:val="bottom"/>
            <w:tcBorders>
              <w:bottom w:val="single" w:sz="8" w:color="CCEEFF"/>
            </w:tcBorders>
            <w:gridSpan w:val="2"/>
          </w:tcPr>
          <w:p>
            <w:pPr>
              <w:jc w:val="right"/>
              <w:ind w:right="5"/>
              <w:spacing w:after="0"/>
              <w:rPr>
                <w:sz w:val="20"/>
                <w:szCs w:val="20"/>
                <w:color w:val="auto"/>
              </w:rPr>
            </w:pPr>
            <w:r>
              <w:rPr>
                <w:rFonts w:ascii="Arial" w:cs="Arial" w:eastAsia="Arial" w:hAnsi="Arial"/>
                <w:sz w:val="16"/>
                <w:szCs w:val="16"/>
                <w:color w:val="auto"/>
              </w:rPr>
              <w:t>1 %</w:t>
            </w:r>
          </w:p>
        </w:tc>
      </w:tr>
      <w:tr>
        <w:trPr>
          <w:trHeight w:val="210"/>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earned premiums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1,732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1,623</w:t>
            </w:r>
          </w:p>
        </w:tc>
        <w:tc>
          <w:tcPr>
            <w:tcW w:w="1260" w:type="dxa"/>
            <w:vAlign w:val="bottom"/>
            <w:gridSpan w:val="2"/>
            <w:shd w:val="clear" w:color="auto" w:fill="CCEEFF"/>
          </w:tcPr>
          <w:p>
            <w:pPr>
              <w:jc w:val="right"/>
              <w:ind w:right="5"/>
              <w:spacing w:after="0"/>
              <w:rPr>
                <w:sz w:val="20"/>
                <w:szCs w:val="20"/>
                <w:color w:val="auto"/>
              </w:rPr>
            </w:pPr>
            <w:r>
              <w:rPr>
                <w:rFonts w:ascii="Arial" w:cs="Arial" w:eastAsia="Arial" w:hAnsi="Arial"/>
                <w:sz w:val="16"/>
                <w:szCs w:val="16"/>
                <w:color w:val="auto"/>
              </w:rPr>
              <w:t>7 %</w:t>
            </w:r>
          </w:p>
        </w:tc>
      </w:tr>
      <w:tr>
        <w:trPr>
          <w:trHeight w:val="215"/>
        </w:trPr>
        <w:tc>
          <w:tcPr>
            <w:tcW w:w="6820" w:type="dxa"/>
            <w:vAlign w:val="bottom"/>
          </w:tcPr>
          <w:p>
            <w:pPr>
              <w:ind w:left="20"/>
              <w:spacing w:after="0"/>
              <w:rPr>
                <w:sz w:val="20"/>
                <w:szCs w:val="20"/>
                <w:color w:val="auto"/>
              </w:rPr>
            </w:pPr>
            <w:r>
              <w:rPr>
                <w:rFonts w:ascii="Arial" w:cs="Arial" w:eastAsia="Arial" w:hAnsi="Arial"/>
                <w:sz w:val="16"/>
                <w:szCs w:val="16"/>
                <w:color w:val="auto"/>
              </w:rPr>
              <w:t>Loss and loss adjustment expenses</w:t>
            </w:r>
          </w:p>
        </w:tc>
        <w:tc>
          <w:tcPr>
            <w:tcW w:w="280" w:type="dxa"/>
            <w:vAlign w:val="bottom"/>
          </w:tcPr>
          <w:p>
            <w:pPr>
              <w:spacing w:after="0"/>
              <w:rPr>
                <w:sz w:val="18"/>
                <w:szCs w:val="18"/>
                <w:color w:val="auto"/>
              </w:rPr>
            </w:pPr>
          </w:p>
        </w:tc>
        <w:tc>
          <w:tcPr>
            <w:tcW w:w="1260" w:type="dxa"/>
            <w:vAlign w:val="bottom"/>
          </w:tcPr>
          <w:p>
            <w:pPr>
              <w:jc w:val="right"/>
              <w:ind w:right="141"/>
              <w:spacing w:after="0"/>
              <w:rPr>
                <w:sz w:val="20"/>
                <w:szCs w:val="20"/>
                <w:color w:val="auto"/>
              </w:rPr>
            </w:pPr>
            <w:r>
              <w:rPr>
                <w:rFonts w:ascii="Arial" w:cs="Arial" w:eastAsia="Arial" w:hAnsi="Arial"/>
                <w:sz w:val="16"/>
                <w:szCs w:val="16"/>
                <w:color w:val="auto"/>
              </w:rPr>
              <w:t>1,053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986</w:t>
            </w:r>
          </w:p>
        </w:tc>
        <w:tc>
          <w:tcPr>
            <w:tcW w:w="1260" w:type="dxa"/>
            <w:vAlign w:val="bottom"/>
            <w:gridSpan w:val="2"/>
          </w:tcPr>
          <w:p>
            <w:pPr>
              <w:jc w:val="right"/>
              <w:ind w:right="5"/>
              <w:spacing w:after="0"/>
              <w:rPr>
                <w:sz w:val="20"/>
                <w:szCs w:val="20"/>
                <w:color w:val="auto"/>
              </w:rPr>
            </w:pPr>
            <w:r>
              <w:rPr>
                <w:rFonts w:ascii="Arial" w:cs="Arial" w:eastAsia="Arial" w:hAnsi="Arial"/>
                <w:sz w:val="16"/>
                <w:szCs w:val="16"/>
                <w:color w:val="auto"/>
              </w:rPr>
              <w:t>7 %</w:t>
            </w:r>
          </w:p>
        </w:tc>
      </w:tr>
      <w:tr>
        <w:trPr>
          <w:trHeight w:val="217"/>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Commissions and other underwriting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468</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419</w:t>
            </w:r>
          </w:p>
        </w:tc>
        <w:tc>
          <w:tcPr>
            <w:tcW w:w="1260" w:type="dxa"/>
            <w:vAlign w:val="bottom"/>
            <w:gridSpan w:val="2"/>
            <w:shd w:val="clear" w:color="auto" w:fill="CCEEFF"/>
          </w:tcPr>
          <w:p>
            <w:pPr>
              <w:jc w:val="right"/>
              <w:ind w:right="5"/>
              <w:spacing w:after="0"/>
              <w:rPr>
                <w:sz w:val="20"/>
                <w:szCs w:val="20"/>
                <w:color w:val="auto"/>
              </w:rPr>
            </w:pPr>
            <w:r>
              <w:rPr>
                <w:rFonts w:ascii="Arial" w:cs="Arial" w:eastAsia="Arial" w:hAnsi="Arial"/>
                <w:sz w:val="16"/>
                <w:szCs w:val="16"/>
                <w:color w:val="auto"/>
              </w:rPr>
              <w:t>12 %</w:t>
            </w:r>
          </w:p>
        </w:tc>
      </w:tr>
      <w:tr>
        <w:trPr>
          <w:trHeight w:val="209"/>
        </w:trPr>
        <w:tc>
          <w:tcPr>
            <w:tcW w:w="6820" w:type="dxa"/>
            <w:vAlign w:val="bottom"/>
          </w:tcPr>
          <w:p>
            <w:pPr>
              <w:ind w:left="20"/>
              <w:spacing w:after="0"/>
              <w:rPr>
                <w:sz w:val="20"/>
                <w:szCs w:val="20"/>
                <w:color w:val="auto"/>
              </w:rPr>
            </w:pPr>
            <w:r>
              <w:rPr>
                <w:rFonts w:ascii="Arial" w:cs="Arial" w:eastAsia="Arial" w:hAnsi="Arial"/>
                <w:sz w:val="16"/>
                <w:szCs w:val="16"/>
                <w:b w:val="1"/>
                <w:bCs w:val="1"/>
                <w:color w:val="auto"/>
              </w:rPr>
              <w:t>Underwriting gain</w:t>
            </w:r>
          </w:p>
        </w:tc>
        <w:tc>
          <w:tcPr>
            <w:tcW w:w="280" w:type="dxa"/>
            <w:vAlign w:val="bottom"/>
          </w:tcPr>
          <w:p>
            <w:pPr>
              <w:spacing w:after="0"/>
              <w:rPr>
                <w:sz w:val="18"/>
                <w:szCs w:val="18"/>
                <w:color w:val="auto"/>
              </w:rPr>
            </w:pPr>
          </w:p>
        </w:tc>
        <w:tc>
          <w:tcPr>
            <w:tcW w:w="1260" w:type="dxa"/>
            <w:vAlign w:val="bottom"/>
          </w:tcPr>
          <w:p>
            <w:pPr>
              <w:jc w:val="right"/>
              <w:ind w:right="141"/>
              <w:spacing w:after="0"/>
              <w:rPr>
                <w:sz w:val="20"/>
                <w:szCs w:val="20"/>
                <w:color w:val="auto"/>
              </w:rPr>
            </w:pPr>
            <w:r>
              <w:rPr>
                <w:rFonts w:ascii="Arial" w:cs="Arial" w:eastAsia="Arial" w:hAnsi="Arial"/>
                <w:sz w:val="16"/>
                <w:szCs w:val="16"/>
                <w:color w:val="auto"/>
              </w:rPr>
              <w:t>211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218</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(3 %)</w:t>
            </w:r>
          </w:p>
        </w:tc>
      </w:tr>
      <w:tr>
        <w:trPr>
          <w:trHeight w:val="216"/>
        </w:trPr>
        <w:tc>
          <w:tcPr>
            <w:tcW w:w="6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5"/>
        </w:trPr>
        <w:tc>
          <w:tcPr>
            <w:tcW w:w="6820" w:type="dxa"/>
            <w:vAlign w:val="bottom"/>
          </w:tcPr>
          <w:p>
            <w:pPr>
              <w:ind w:left="20"/>
              <w:spacing w:after="0"/>
              <w:rPr>
                <w:sz w:val="20"/>
                <w:szCs w:val="20"/>
                <w:color w:val="auto"/>
              </w:rPr>
            </w:pPr>
            <w:r>
              <w:rPr>
                <w:rFonts w:ascii="Arial" w:cs="Arial" w:eastAsia="Arial" w:hAnsi="Arial"/>
                <w:sz w:val="16"/>
                <w:szCs w:val="16"/>
                <w:color w:val="auto"/>
              </w:rPr>
              <w:t>Net investment income</w:t>
            </w:r>
          </w:p>
        </w:tc>
        <w:tc>
          <w:tcPr>
            <w:tcW w:w="280" w:type="dxa"/>
            <w:vAlign w:val="bottom"/>
          </w:tcPr>
          <w:p>
            <w:pPr>
              <w:spacing w:after="0"/>
              <w:rPr>
                <w:sz w:val="18"/>
                <w:szCs w:val="18"/>
                <w:color w:val="auto"/>
              </w:rPr>
            </w:pPr>
          </w:p>
        </w:tc>
        <w:tc>
          <w:tcPr>
            <w:tcW w:w="1260" w:type="dxa"/>
            <w:vAlign w:val="bottom"/>
          </w:tcPr>
          <w:p>
            <w:pPr>
              <w:jc w:val="right"/>
              <w:ind w:right="141"/>
              <w:spacing w:after="0"/>
              <w:rPr>
                <w:sz w:val="20"/>
                <w:szCs w:val="20"/>
                <w:color w:val="auto"/>
              </w:rPr>
            </w:pPr>
            <w:r>
              <w:rPr>
                <w:rFonts w:ascii="Arial" w:cs="Arial" w:eastAsia="Arial" w:hAnsi="Arial"/>
                <w:sz w:val="16"/>
                <w:szCs w:val="16"/>
                <w:color w:val="auto"/>
              </w:rPr>
              <w:t>161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20"/>
              <w:spacing w:after="0"/>
              <w:rPr>
                <w:sz w:val="20"/>
                <w:szCs w:val="20"/>
                <w:color w:val="auto"/>
              </w:rPr>
            </w:pPr>
            <w:r>
              <w:rPr>
                <w:rFonts w:ascii="Arial" w:cs="Arial" w:eastAsia="Arial" w:hAnsi="Arial"/>
                <w:sz w:val="16"/>
                <w:szCs w:val="16"/>
                <w:color w:val="auto"/>
              </w:rPr>
              <w:t>159</w:t>
            </w:r>
          </w:p>
        </w:tc>
        <w:tc>
          <w:tcPr>
            <w:tcW w:w="1260" w:type="dxa"/>
            <w:vAlign w:val="bottom"/>
            <w:gridSpan w:val="2"/>
          </w:tcPr>
          <w:p>
            <w:pPr>
              <w:jc w:val="right"/>
              <w:ind w:right="5"/>
              <w:spacing w:after="0"/>
              <w:rPr>
                <w:sz w:val="20"/>
                <w:szCs w:val="20"/>
                <w:color w:val="auto"/>
              </w:rPr>
            </w:pPr>
            <w:r>
              <w:rPr>
                <w:rFonts w:ascii="Arial" w:cs="Arial" w:eastAsia="Arial" w:hAnsi="Arial"/>
                <w:sz w:val="16"/>
                <w:szCs w:val="16"/>
                <w:color w:val="auto"/>
              </w:rPr>
              <w:t>1 %</w:t>
            </w: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and expenses, net</w:t>
            </w: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(14)</w:t>
            </w:r>
          </w:p>
        </w:tc>
        <w:tc>
          <w:tcPr>
            <w:tcW w:w="1260" w:type="dxa"/>
            <w:vAlign w:val="bottom"/>
            <w:gridSpan w:val="2"/>
            <w:shd w:val="clear" w:color="auto" w:fill="CCEEFF"/>
          </w:tcPr>
          <w:p>
            <w:pPr>
              <w:jc w:val="right"/>
              <w:ind w:right="5"/>
              <w:spacing w:after="0"/>
              <w:rPr>
                <w:sz w:val="20"/>
                <w:szCs w:val="20"/>
                <w:color w:val="auto"/>
              </w:rPr>
            </w:pPr>
            <w:r>
              <w:rPr>
                <w:rFonts w:ascii="Arial" w:cs="Arial" w:eastAsia="Arial" w:hAnsi="Arial"/>
                <w:sz w:val="16"/>
                <w:szCs w:val="16"/>
                <w:color w:val="auto"/>
              </w:rPr>
              <w:t>7 %</w:t>
            </w:r>
          </w:p>
        </w:tc>
      </w:tr>
      <w:tr>
        <w:trPr>
          <w:trHeight w:val="210"/>
        </w:trPr>
        <w:tc>
          <w:tcPr>
            <w:tcW w:w="6820" w:type="dxa"/>
            <w:vAlign w:val="bottom"/>
          </w:tcPr>
          <w:p>
            <w:pPr>
              <w:ind w:left="20"/>
              <w:spacing w:after="0"/>
              <w:rPr>
                <w:sz w:val="20"/>
                <w:szCs w:val="20"/>
                <w:color w:val="auto"/>
              </w:rPr>
            </w:pPr>
            <w:r>
              <w:rPr>
                <w:rFonts w:ascii="Arial" w:cs="Arial" w:eastAsia="Arial" w:hAnsi="Arial"/>
                <w:sz w:val="16"/>
                <w:szCs w:val="16"/>
                <w:b w:val="1"/>
                <w:bCs w:val="1"/>
                <w:color w:val="auto"/>
              </w:rPr>
              <w:t>Earnings before income taxes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357</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363</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(2 %)</w:t>
            </w:r>
          </w:p>
        </w:tc>
      </w:tr>
      <w:tr>
        <w:trPr>
          <w:trHeight w:val="21"/>
        </w:trPr>
        <w:tc>
          <w:tcPr>
            <w:tcW w:w="6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78"/>
        </w:trPr>
        <w:tc>
          <w:tcPr>
            <w:tcW w:w="68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color w:val="auto"/>
              </w:rPr>
              <w:t>Three months ended December 31,</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Combined Ratios:</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color w:val="auto"/>
              </w:rPr>
              <w:t>2023</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245"/>
              <w:spacing w:after="0"/>
              <w:rPr>
                <w:sz w:val="20"/>
                <w:szCs w:val="20"/>
                <w:color w:val="auto"/>
              </w:rPr>
            </w:pPr>
            <w:r>
              <w:rPr>
                <w:rFonts w:ascii="Arial" w:cs="Arial" w:eastAsia="Arial" w:hAnsi="Arial"/>
                <w:sz w:val="14"/>
                <w:szCs w:val="14"/>
                <w:color w:val="auto"/>
              </w:rPr>
              <w:t>Change</w:t>
            </w:r>
          </w:p>
        </w:tc>
      </w:tr>
      <w:tr>
        <w:trPr>
          <w:trHeight w:val="196"/>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lines</w:t>
            </w: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5"/>
        </w:trPr>
        <w:tc>
          <w:tcPr>
            <w:tcW w:w="6820" w:type="dxa"/>
            <w:vAlign w:val="bottom"/>
          </w:tcPr>
          <w:p>
            <w:pPr>
              <w:ind w:left="360"/>
              <w:spacing w:after="0"/>
              <w:rPr>
                <w:sz w:val="20"/>
                <w:szCs w:val="20"/>
                <w:color w:val="auto"/>
              </w:rPr>
            </w:pPr>
            <w:r>
              <w:rPr>
                <w:rFonts w:ascii="Arial" w:cs="Arial" w:eastAsia="Arial" w:hAnsi="Arial"/>
                <w:sz w:val="16"/>
                <w:szCs w:val="16"/>
                <w:color w:val="auto"/>
              </w:rPr>
              <w:t>Loss and LAE ratio</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60.7 %</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60.8 %</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(0.1 %)</w:t>
            </w: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Underwriting expense ratio</w:t>
            </w: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27.0 %</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25.8 %</w:t>
            </w:r>
          </w:p>
        </w:tc>
        <w:tc>
          <w:tcPr>
            <w:tcW w:w="1260" w:type="dxa"/>
            <w:vAlign w:val="bottom"/>
            <w:gridSpan w:val="2"/>
            <w:shd w:val="clear" w:color="auto" w:fill="CCEEFF"/>
          </w:tcPr>
          <w:p>
            <w:pPr>
              <w:jc w:val="right"/>
              <w:ind w:right="5"/>
              <w:spacing w:after="0"/>
              <w:rPr>
                <w:sz w:val="20"/>
                <w:szCs w:val="20"/>
                <w:color w:val="auto"/>
              </w:rPr>
            </w:pPr>
            <w:r>
              <w:rPr>
                <w:rFonts w:ascii="Arial" w:cs="Arial" w:eastAsia="Arial" w:hAnsi="Arial"/>
                <w:sz w:val="16"/>
                <w:szCs w:val="16"/>
                <w:color w:val="auto"/>
              </w:rPr>
              <w:t>1.2 %</w:t>
            </w:r>
          </w:p>
        </w:tc>
      </w:tr>
      <w:tr>
        <w:trPr>
          <w:trHeight w:val="210"/>
        </w:trPr>
        <w:tc>
          <w:tcPr>
            <w:tcW w:w="6820" w:type="dxa"/>
            <w:vAlign w:val="bottom"/>
          </w:tcPr>
          <w:p>
            <w:pPr>
              <w:ind w:left="680"/>
              <w:spacing w:after="0"/>
              <w:rPr>
                <w:sz w:val="20"/>
                <w:szCs w:val="20"/>
                <w:color w:val="auto"/>
              </w:rPr>
            </w:pPr>
            <w:r>
              <w:rPr>
                <w:rFonts w:ascii="Arial" w:cs="Arial" w:eastAsia="Arial" w:hAnsi="Arial"/>
                <w:sz w:val="16"/>
                <w:szCs w:val="16"/>
                <w:color w:val="auto"/>
              </w:rPr>
              <w:t>Combined ratio</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87.7 %</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86.6 %</w:t>
            </w:r>
          </w:p>
        </w:tc>
        <w:tc>
          <w:tcPr>
            <w:tcW w:w="1260" w:type="dxa"/>
            <w:vAlign w:val="bottom"/>
            <w:gridSpan w:val="2"/>
          </w:tcPr>
          <w:p>
            <w:pPr>
              <w:jc w:val="right"/>
              <w:ind w:right="5"/>
              <w:spacing w:after="0"/>
              <w:rPr>
                <w:sz w:val="20"/>
                <w:szCs w:val="20"/>
                <w:color w:val="auto"/>
              </w:rPr>
            </w:pPr>
            <w:r>
              <w:rPr>
                <w:rFonts w:ascii="Arial" w:cs="Arial" w:eastAsia="Arial" w:hAnsi="Arial"/>
                <w:sz w:val="16"/>
                <w:szCs w:val="16"/>
                <w:color w:val="auto"/>
              </w:rPr>
              <w:t>1.1 %</w:t>
            </w: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r>
      <w:tr>
        <w:trPr>
          <w:trHeight w:val="183"/>
        </w:trPr>
        <w:tc>
          <w:tcPr>
            <w:tcW w:w="6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bl>
    <w:p>
      <w:pPr>
        <w:spacing w:after="0" w:line="1" w:lineRule="exact"/>
        <w:rPr>
          <w:sz w:val="20"/>
          <w:szCs w:val="20"/>
          <w:color w:val="auto"/>
        </w:rPr>
      </w:pPr>
    </w:p>
    <w:p>
      <w:pPr>
        <w:sectPr>
          <w:pgSz w:w="11900" w:h="16838" w:orient="portrait"/>
          <w:cols w:equalWidth="0" w:num="1">
            <w:col w:w="11240"/>
          </w:cols>
          <w:pgMar w:left="320" w:top="116" w:right="339" w:bottom="1440" w:gutter="0" w:footer="0" w:header="0"/>
        </w:sectPr>
      </w:pPr>
    </w:p>
    <w:p>
      <w:pPr>
        <w:ind w:left="20"/>
        <w:spacing w:after="0"/>
        <w:rPr>
          <w:sz w:val="20"/>
          <w:szCs w:val="20"/>
          <w:color w:val="auto"/>
        </w:rPr>
      </w:pPr>
      <w:r>
        <w:rPr>
          <w:rFonts w:ascii="Arial" w:cs="Arial" w:eastAsia="Arial" w:hAnsi="Arial"/>
          <w:sz w:val="16"/>
          <w:szCs w:val="16"/>
          <w:color w:val="auto"/>
        </w:rPr>
        <w:t>Aggregate — including exited lines</w:t>
      </w:r>
    </w:p>
    <w:p>
      <w:pPr>
        <w:spacing w:after="0" w:line="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Loss and LAE ratio</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Combined ratio</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540" w:type="dxa"/>
            <w:vAlign w:val="bottom"/>
          </w:tcPr>
          <w:p>
            <w:pPr>
              <w:jc w:val="right"/>
              <w:spacing w:after="0"/>
              <w:rPr>
                <w:sz w:val="20"/>
                <w:szCs w:val="20"/>
                <w:color w:val="auto"/>
              </w:rPr>
            </w:pPr>
            <w:r>
              <w:rPr>
                <w:rFonts w:ascii="Arial" w:cs="Arial" w:eastAsia="Arial" w:hAnsi="Arial"/>
                <w:sz w:val="16"/>
                <w:szCs w:val="16"/>
                <w:color w:val="auto"/>
              </w:rPr>
              <w:t>60.8 %</w:t>
            </w: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60.7 %</w:t>
            </w:r>
          </w:p>
        </w:tc>
        <w:tc>
          <w:tcPr>
            <w:tcW w:w="1180" w:type="dxa"/>
            <w:vAlign w:val="bottom"/>
          </w:tcPr>
          <w:p>
            <w:pPr>
              <w:jc w:val="right"/>
              <w:spacing w:after="0"/>
              <w:rPr>
                <w:sz w:val="20"/>
                <w:szCs w:val="20"/>
                <w:color w:val="auto"/>
              </w:rPr>
            </w:pPr>
            <w:r>
              <w:rPr>
                <w:rFonts w:ascii="Arial" w:cs="Arial" w:eastAsia="Arial" w:hAnsi="Arial"/>
                <w:sz w:val="16"/>
                <w:szCs w:val="16"/>
                <w:color w:val="auto"/>
              </w:rPr>
              <w:t>0.1 %</w:t>
            </w:r>
          </w:p>
        </w:tc>
      </w:tr>
      <w:tr>
        <w:trPr>
          <w:trHeight w:val="217"/>
        </w:trPr>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27.0 %</w:t>
            </w:r>
          </w:p>
        </w:tc>
        <w:tc>
          <w:tcPr>
            <w:tcW w:w="8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25.8 %</w:t>
            </w:r>
          </w:p>
        </w:tc>
        <w:tc>
          <w:tcPr>
            <w:tcW w:w="1180" w:type="dxa"/>
            <w:vAlign w:val="bottom"/>
          </w:tcPr>
          <w:p>
            <w:pPr>
              <w:jc w:val="right"/>
              <w:spacing w:after="0"/>
              <w:rPr>
                <w:sz w:val="20"/>
                <w:szCs w:val="20"/>
                <w:color w:val="auto"/>
              </w:rPr>
            </w:pPr>
            <w:r>
              <w:rPr>
                <w:rFonts w:ascii="Arial" w:cs="Arial" w:eastAsia="Arial" w:hAnsi="Arial"/>
                <w:sz w:val="16"/>
                <w:szCs w:val="16"/>
                <w:color w:val="auto"/>
              </w:rPr>
              <w:t>1.2 %</w:t>
            </w:r>
          </w:p>
        </w:tc>
      </w:tr>
      <w:tr>
        <w:trPr>
          <w:trHeight w:val="210"/>
        </w:trPr>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87.8 %</w:t>
            </w:r>
          </w:p>
        </w:tc>
        <w:tc>
          <w:tcPr>
            <w:tcW w:w="8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86.5 %</w:t>
            </w:r>
          </w:p>
        </w:tc>
        <w:tc>
          <w:tcPr>
            <w:tcW w:w="1180" w:type="dxa"/>
            <w:vAlign w:val="bottom"/>
          </w:tcPr>
          <w:p>
            <w:pPr>
              <w:jc w:val="right"/>
              <w:spacing w:after="0"/>
              <w:rPr>
                <w:sz w:val="20"/>
                <w:szCs w:val="20"/>
                <w:color w:val="auto"/>
              </w:rPr>
            </w:pPr>
            <w:r>
              <w:rPr>
                <w:rFonts w:ascii="Arial" w:cs="Arial" w:eastAsia="Arial" w:hAnsi="Arial"/>
                <w:sz w:val="16"/>
                <w:szCs w:val="16"/>
                <w:color w:val="auto"/>
              </w:rPr>
              <w:t>1.3 %</w:t>
            </w: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-4324985</wp:posOffset>
            </wp:positionH>
            <wp:positionV relativeFrom="paragraph">
              <wp:posOffset>-453390</wp:posOffset>
            </wp:positionV>
            <wp:extent cx="71323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-179070</wp:posOffset>
            </wp:positionV>
            <wp:extent cx="7132320" cy="163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100" w:space="720"/>
            <w:col w:w="4420"/>
          </w:cols>
          <w:pgMar w:left="320" w:top="116" w:right="339" w:bottom="1440" w:gutter="0" w:footer="0" w:header="0"/>
          <w:type w:val="continuous"/>
        </w:sectPr>
      </w:pPr>
    </w:p>
    <w:p>
      <w:pPr>
        <w:spacing w:after="0" w:line="115"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color w:val="auto"/>
        </w:rPr>
        <w:t>Starting in 1986, AFG’s statutory combined ratio has been better than the U.S. industry average for 36 of the 38 years. Management believes that AFG’s insurance operations have performed better than the industry as a result of its specialty niche focus, product line diversification, stringent underwriting discipline and alignment of compensation incentives.</w:t>
      </w:r>
    </w:p>
    <w:p>
      <w:pPr>
        <w:spacing w:after="0" w:line="214"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AFG reports the underwriting performance of its Specialty property and casualty insurance business in the following sub-segments: (i) Property and transportation, (ii) Specialty casualty and (iii) Specialty financial.</w:t>
      </w:r>
    </w:p>
    <w:p>
      <w:pPr>
        <w:spacing w:after="0" w:line="185"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To understand the overall profitability of particular lines, the timing of claims payments and the related impact of investment income must be considered. Certain “short-tail” lines of business (primarily property coverages) generally have quick loss payouts, which reduce the time funds are held, thereby limiting investment income earned thereon. In contrast, “long-tail” lines of business (primarily liability coverages and workers’ compensation) generally have payouts that are either structured over many years or take many years to settle, thereby significantly increasing investment income earned on related premiums received.</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Gross Written Premiums</w:t>
      </w:r>
    </w:p>
    <w:p>
      <w:pPr>
        <w:spacing w:after="0" w:line="30"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auto"/>
        </w:rPr>
        <w:t>Gross written premiums (“GWP”) for AFG’s property and casualty insurance segment were $1.99 billion for the fourth quarter of 2023 compared to $1.85 billion for the fourth quarter of 2022, an increase of $147 million (8%). Detail of AFG’s property and casualty gross written premiums is shown below (dollars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8"/>
          </w:tcPr>
          <w:p>
            <w:pPr>
              <w:jc w:val="right"/>
              <w:ind w:right="400"/>
              <w:spacing w:after="0"/>
              <w:rPr>
                <w:sz w:val="20"/>
                <w:szCs w:val="20"/>
                <w:color w:val="auto"/>
              </w:rPr>
            </w:pPr>
            <w:r>
              <w:rPr>
                <w:rFonts w:ascii="Arial" w:cs="Arial" w:eastAsia="Arial" w:hAnsi="Arial"/>
                <w:sz w:val="14"/>
                <w:szCs w:val="14"/>
                <w:color w:val="auto"/>
              </w:rPr>
              <w:t>Three months ended December 31,</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4"/>
        </w:trPr>
        <w:tc>
          <w:tcPr>
            <w:tcW w:w="5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2023</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2022</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8"/>
        </w:trPr>
        <w:tc>
          <w:tcPr>
            <w:tcW w:w="5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3"/>
          </w:tcPr>
          <w:p>
            <w:pPr>
              <w:jc w:val="right"/>
              <w:ind w:right="740"/>
              <w:spacing w:after="0"/>
              <w:rPr>
                <w:sz w:val="20"/>
                <w:szCs w:val="20"/>
                <w:color w:val="auto"/>
              </w:rPr>
            </w:pPr>
            <w:r>
              <w:rPr>
                <w:rFonts w:ascii="Arial" w:cs="Arial" w:eastAsia="Arial" w:hAnsi="Arial"/>
                <w:sz w:val="14"/>
                <w:szCs w:val="14"/>
                <w:color w:val="auto"/>
              </w:rPr>
              <w:t>GWP</w:t>
            </w:r>
          </w:p>
        </w:tc>
        <w:tc>
          <w:tcPr>
            <w:tcW w:w="760" w:type="dxa"/>
            <w:vAlign w:val="bottom"/>
          </w:tcPr>
          <w:p>
            <w:pPr>
              <w:jc w:val="right"/>
              <w:ind w:right="34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3"/>
          </w:tcPr>
          <w:p>
            <w:pPr>
              <w:jc w:val="right"/>
              <w:ind w:right="760"/>
              <w:spacing w:after="0"/>
              <w:rPr>
                <w:sz w:val="20"/>
                <w:szCs w:val="20"/>
                <w:color w:val="auto"/>
              </w:rPr>
            </w:pPr>
            <w:r>
              <w:rPr>
                <w:rFonts w:ascii="Arial" w:cs="Arial" w:eastAsia="Arial" w:hAnsi="Arial"/>
                <w:sz w:val="14"/>
                <w:szCs w:val="14"/>
                <w:color w:val="auto"/>
              </w:rPr>
              <w:t>GWP</w:t>
            </w:r>
          </w:p>
        </w:tc>
        <w:tc>
          <w:tcPr>
            <w:tcW w:w="800" w:type="dxa"/>
            <w:vAlign w:val="bottom"/>
          </w:tcPr>
          <w:p>
            <w:pPr>
              <w:jc w:val="right"/>
              <w:ind w:right="38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100" w:type="dxa"/>
            <w:vAlign w:val="bottom"/>
          </w:tcPr>
          <w:p>
            <w:pPr>
              <w:jc w:val="right"/>
              <w:ind w:right="144"/>
              <w:spacing w:after="0"/>
              <w:rPr>
                <w:sz w:val="20"/>
                <w:szCs w:val="20"/>
                <w:color w:val="auto"/>
              </w:rPr>
            </w:pPr>
            <w:r>
              <w:rPr>
                <w:rFonts w:ascii="Arial" w:cs="Arial" w:eastAsia="Arial" w:hAnsi="Arial"/>
                <w:sz w:val="14"/>
                <w:szCs w:val="14"/>
                <w:color w:val="auto"/>
              </w:rPr>
              <w:t>% Change</w:t>
            </w:r>
          </w:p>
        </w:tc>
      </w:tr>
      <w:tr>
        <w:trPr>
          <w:trHeight w:val="214"/>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601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4 %</w:t>
            </w:r>
          </w:p>
        </w:tc>
      </w:tr>
      <w:tr>
        <w:trPr>
          <w:trHeight w:val="215"/>
        </w:trPr>
        <w:tc>
          <w:tcPr>
            <w:tcW w:w="540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54 %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1,007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6 %</w:t>
            </w: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237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27 %</w:t>
            </w:r>
          </w:p>
        </w:tc>
      </w:tr>
      <w:tr>
        <w:trPr>
          <w:trHeight w:val="210"/>
        </w:trPr>
        <w:tc>
          <w:tcPr>
            <w:tcW w:w="54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1,845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8 %</w:t>
            </w:r>
          </w:p>
        </w:tc>
      </w:tr>
      <w:tr>
        <w:trPr>
          <w:trHeight w:val="20"/>
        </w:trPr>
        <w:tc>
          <w:tcPr>
            <w:tcW w:w="5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Reinsurance Premiums Ceded</w:t>
      </w:r>
    </w:p>
    <w:p>
      <w:pPr>
        <w:spacing w:after="0" w:line="30"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Reinsurance premiums ceded (“Ceded”) for AFG’s property and casualty insurance segment were 27% of gross written premiums for both the fourth quarter of 2023 and the fourth quarter of 2022. Detail of AFG’s property and casualty reinsurance premiums ceded is shown below (dollars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8"/>
          </w:tcPr>
          <w:p>
            <w:pPr>
              <w:jc w:val="right"/>
              <w:ind w:right="320"/>
              <w:spacing w:after="0"/>
              <w:rPr>
                <w:sz w:val="20"/>
                <w:szCs w:val="20"/>
                <w:color w:val="auto"/>
              </w:rPr>
            </w:pPr>
            <w:r>
              <w:rPr>
                <w:rFonts w:ascii="Arial" w:cs="Arial" w:eastAsia="Arial" w:hAnsi="Arial"/>
                <w:sz w:val="14"/>
                <w:szCs w:val="14"/>
                <w:color w:val="auto"/>
              </w:rPr>
              <w:t>Three months ended December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6"/>
        </w:trPr>
        <w:tc>
          <w:tcPr>
            <w:tcW w:w="5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2023</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2022</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Change in % of</w:t>
            </w:r>
          </w:p>
        </w:tc>
      </w:tr>
      <w:tr>
        <w:trPr>
          <w:trHeight w:val="200"/>
        </w:trPr>
        <w:tc>
          <w:tcPr>
            <w:tcW w:w="5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3"/>
          </w:tcPr>
          <w:p>
            <w:pPr>
              <w:jc w:val="right"/>
              <w:ind w:right="600"/>
              <w:spacing w:after="0"/>
              <w:rPr>
                <w:sz w:val="20"/>
                <w:szCs w:val="20"/>
                <w:color w:val="auto"/>
              </w:rPr>
            </w:pPr>
            <w:r>
              <w:rPr>
                <w:rFonts w:ascii="Arial" w:cs="Arial" w:eastAsia="Arial" w:hAnsi="Arial"/>
                <w:sz w:val="14"/>
                <w:szCs w:val="14"/>
                <w:color w:val="auto"/>
              </w:rPr>
              <w:t>Ceded</w:t>
            </w:r>
          </w:p>
        </w:tc>
        <w:tc>
          <w:tcPr>
            <w:tcW w:w="1020" w:type="dxa"/>
            <w:vAlign w:val="bottom"/>
            <w:gridSpan w:val="2"/>
          </w:tcPr>
          <w:p>
            <w:pPr>
              <w:ind w:left="60"/>
              <w:spacing w:after="0"/>
              <w:rPr>
                <w:sz w:val="20"/>
                <w:szCs w:val="20"/>
                <w:color w:val="auto"/>
              </w:rPr>
            </w:pPr>
            <w:r>
              <w:rPr>
                <w:rFonts w:ascii="Arial" w:cs="Arial" w:eastAsia="Arial" w:hAnsi="Arial"/>
                <w:sz w:val="14"/>
                <w:szCs w:val="14"/>
                <w:color w:val="auto"/>
              </w:rPr>
              <w:t>% of GWP</w:t>
            </w:r>
          </w:p>
        </w:tc>
        <w:tc>
          <w:tcPr>
            <w:tcW w:w="240" w:type="dxa"/>
            <w:vAlign w:val="bottom"/>
          </w:tcPr>
          <w:p>
            <w:pPr>
              <w:spacing w:after="0"/>
              <w:rPr>
                <w:sz w:val="17"/>
                <w:szCs w:val="17"/>
                <w:color w:val="auto"/>
              </w:rPr>
            </w:pPr>
          </w:p>
        </w:tc>
        <w:tc>
          <w:tcPr>
            <w:tcW w:w="1160" w:type="dxa"/>
            <w:vAlign w:val="bottom"/>
            <w:gridSpan w:val="3"/>
          </w:tcPr>
          <w:p>
            <w:pPr>
              <w:jc w:val="right"/>
              <w:ind w:right="600"/>
              <w:spacing w:after="0"/>
              <w:rPr>
                <w:sz w:val="20"/>
                <w:szCs w:val="20"/>
                <w:color w:val="auto"/>
              </w:rPr>
            </w:pPr>
            <w:r>
              <w:rPr>
                <w:rFonts w:ascii="Arial" w:cs="Arial" w:eastAsia="Arial" w:hAnsi="Arial"/>
                <w:sz w:val="14"/>
                <w:szCs w:val="14"/>
                <w:color w:val="auto"/>
              </w:rPr>
              <w:t>Ceded</w:t>
            </w:r>
          </w:p>
        </w:tc>
        <w:tc>
          <w:tcPr>
            <w:tcW w:w="920" w:type="dxa"/>
            <w:vAlign w:val="bottom"/>
          </w:tcPr>
          <w:p>
            <w:pPr>
              <w:jc w:val="right"/>
              <w:ind w:right="121"/>
              <w:spacing w:after="0"/>
              <w:rPr>
                <w:sz w:val="20"/>
                <w:szCs w:val="20"/>
                <w:color w:val="auto"/>
              </w:rPr>
            </w:pPr>
            <w:r>
              <w:rPr>
                <w:rFonts w:ascii="Arial" w:cs="Arial" w:eastAsia="Arial" w:hAnsi="Arial"/>
                <w:sz w:val="14"/>
                <w:szCs w:val="14"/>
                <w:color w:val="auto"/>
              </w:rPr>
              <w:t>% of GWP</w:t>
            </w:r>
          </w:p>
        </w:tc>
        <w:tc>
          <w:tcPr>
            <w:tcW w:w="100" w:type="dxa"/>
            <w:vAlign w:val="bottom"/>
          </w:tcPr>
          <w:p>
            <w:pPr>
              <w:spacing w:after="0"/>
              <w:rPr>
                <w:sz w:val="17"/>
                <w:szCs w:val="17"/>
                <w:color w:val="auto"/>
              </w:rPr>
            </w:pPr>
          </w:p>
        </w:tc>
        <w:tc>
          <w:tcPr>
            <w:tcW w:w="1080" w:type="dxa"/>
            <w:vAlign w:val="bottom"/>
          </w:tcPr>
          <w:p>
            <w:pPr>
              <w:jc w:val="right"/>
              <w:ind w:right="283"/>
              <w:spacing w:after="0"/>
              <w:rPr>
                <w:sz w:val="20"/>
                <w:szCs w:val="20"/>
                <w:color w:val="auto"/>
              </w:rPr>
            </w:pPr>
            <w:r>
              <w:rPr>
                <w:rFonts w:ascii="Arial" w:cs="Arial" w:eastAsia="Arial" w:hAnsi="Arial"/>
                <w:sz w:val="14"/>
                <w:szCs w:val="14"/>
                <w:color w:val="auto"/>
              </w:rPr>
              <w:t>GWP</w:t>
            </w:r>
          </w:p>
        </w:tc>
      </w:tr>
      <w:tr>
        <w:trPr>
          <w:trHeight w:val="210"/>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2 %</w:t>
            </w: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35 %</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7"/>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1 %</w:t>
            </w:r>
          </w:p>
        </w:tc>
      </w:tr>
      <w:tr>
        <w:trPr>
          <w:trHeight w:val="215"/>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specialty</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r>
      <w:tr>
        <w:trPr>
          <w:trHeight w:val="235"/>
        </w:trPr>
        <w:tc>
          <w:tcPr>
            <w:tcW w:w="53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Net Written Premiums</w:t>
      </w:r>
    </w:p>
    <w:p>
      <w:pPr>
        <w:spacing w:after="0" w:line="30" w:lineRule="exact"/>
        <w:rPr>
          <w:sz w:val="20"/>
          <w:szCs w:val="20"/>
          <w:color w:val="auto"/>
        </w:rPr>
      </w:pPr>
    </w:p>
    <w:p>
      <w:pPr>
        <w:ind w:right="300"/>
        <w:spacing w:after="0" w:line="256" w:lineRule="auto"/>
        <w:rPr>
          <w:sz w:val="20"/>
          <w:szCs w:val="20"/>
          <w:color w:val="auto"/>
        </w:rPr>
      </w:pPr>
      <w:r>
        <w:rPr>
          <w:rFonts w:ascii="Arial" w:cs="Arial" w:eastAsia="Arial" w:hAnsi="Arial"/>
          <w:sz w:val="17"/>
          <w:szCs w:val="17"/>
          <w:color w:val="auto"/>
        </w:rPr>
        <w:t>Net written premiums (“NWP”) for AFG’s property and casualty insurance segment were $1.45 billion for the fourth quarter of 2023 compared to $1.34 billion for the fourth quarter of 2022, an increase of $107 million (8%). Detail of AFG’s property and casualty net written premiums is shown below (dollars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8"/>
          </w:tcPr>
          <w:p>
            <w:pPr>
              <w:jc w:val="right"/>
              <w:ind w:right="420"/>
              <w:spacing w:after="0"/>
              <w:rPr>
                <w:sz w:val="20"/>
                <w:szCs w:val="20"/>
                <w:color w:val="auto"/>
              </w:rPr>
            </w:pPr>
            <w:r>
              <w:rPr>
                <w:rFonts w:ascii="Arial" w:cs="Arial" w:eastAsia="Arial" w:hAnsi="Arial"/>
                <w:sz w:val="14"/>
                <w:szCs w:val="14"/>
                <w:color w:val="auto"/>
              </w:rPr>
              <w:t>Three months ended 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4"/>
        </w:trPr>
        <w:tc>
          <w:tcPr>
            <w:tcW w:w="5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2023</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2022</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8"/>
        </w:trPr>
        <w:tc>
          <w:tcPr>
            <w:tcW w:w="5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3"/>
          </w:tcPr>
          <w:p>
            <w:pPr>
              <w:jc w:val="right"/>
              <w:ind w:right="760"/>
              <w:spacing w:after="0"/>
              <w:rPr>
                <w:sz w:val="20"/>
                <w:szCs w:val="20"/>
                <w:color w:val="auto"/>
              </w:rPr>
            </w:pPr>
            <w:r>
              <w:rPr>
                <w:rFonts w:ascii="Arial" w:cs="Arial" w:eastAsia="Arial" w:hAnsi="Arial"/>
                <w:sz w:val="14"/>
                <w:szCs w:val="14"/>
                <w:color w:val="auto"/>
              </w:rPr>
              <w:t>NWP</w:t>
            </w:r>
          </w:p>
        </w:tc>
        <w:tc>
          <w:tcPr>
            <w:tcW w:w="800" w:type="dxa"/>
            <w:vAlign w:val="bottom"/>
          </w:tcPr>
          <w:p>
            <w:pPr>
              <w:jc w:val="right"/>
              <w:ind w:right="38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3"/>
          </w:tcPr>
          <w:p>
            <w:pPr>
              <w:jc w:val="right"/>
              <w:ind w:right="760"/>
              <w:spacing w:after="0"/>
              <w:rPr>
                <w:sz w:val="20"/>
                <w:szCs w:val="20"/>
                <w:color w:val="auto"/>
              </w:rPr>
            </w:pPr>
            <w:r>
              <w:rPr>
                <w:rFonts w:ascii="Arial" w:cs="Arial" w:eastAsia="Arial" w:hAnsi="Arial"/>
                <w:sz w:val="14"/>
                <w:szCs w:val="14"/>
                <w:color w:val="auto"/>
              </w:rPr>
              <w:t>NWP</w:t>
            </w:r>
          </w:p>
        </w:tc>
        <w:tc>
          <w:tcPr>
            <w:tcW w:w="780" w:type="dxa"/>
            <w:vAlign w:val="bottom"/>
          </w:tcPr>
          <w:p>
            <w:pPr>
              <w:jc w:val="right"/>
              <w:ind w:right="38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80" w:type="dxa"/>
            <w:vAlign w:val="bottom"/>
          </w:tcPr>
          <w:p>
            <w:pPr>
              <w:jc w:val="right"/>
              <w:ind w:right="124"/>
              <w:spacing w:after="0"/>
              <w:rPr>
                <w:sz w:val="20"/>
                <w:szCs w:val="20"/>
                <w:color w:val="auto"/>
              </w:rPr>
            </w:pPr>
            <w:r>
              <w:rPr>
                <w:rFonts w:ascii="Arial" w:cs="Arial" w:eastAsia="Arial" w:hAnsi="Arial"/>
                <w:sz w:val="14"/>
                <w:szCs w:val="14"/>
                <w:color w:val="auto"/>
              </w:rPr>
              <w:t>% Change</w:t>
            </w:r>
          </w:p>
        </w:tc>
      </w:tr>
      <w:tr>
        <w:trPr>
          <w:trHeight w:val="213"/>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423</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1 %</w:t>
            </w:r>
          </w:p>
        </w:tc>
      </w:tr>
      <w:tr>
        <w:trPr>
          <w:trHeight w:val="215"/>
        </w:trPr>
        <w:tc>
          <w:tcPr>
            <w:tcW w:w="536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655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7 %</w:t>
            </w:r>
          </w:p>
        </w:tc>
      </w:tr>
      <w:tr>
        <w:trPr>
          <w:trHeight w:val="217"/>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26 %</w:t>
            </w:r>
          </w:p>
        </w:tc>
      </w:tr>
      <w:tr>
        <w:trPr>
          <w:trHeight w:val="215"/>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specialty</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61</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4 %</w:t>
            </w: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13 %</w:t>
            </w:r>
          </w:p>
        </w:tc>
      </w:tr>
      <w:tr>
        <w:trPr>
          <w:trHeight w:val="235"/>
        </w:trPr>
        <w:tc>
          <w:tcPr>
            <w:tcW w:w="53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1,338</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8 %</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Net Earned Premiums</w:t>
      </w:r>
    </w:p>
    <w:p>
      <w:pPr>
        <w:spacing w:after="0" w:line="30" w:lineRule="exact"/>
        <w:rPr>
          <w:sz w:val="20"/>
          <w:szCs w:val="20"/>
          <w:color w:val="auto"/>
        </w:rPr>
      </w:pPr>
    </w:p>
    <w:p>
      <w:pPr>
        <w:ind w:right="260"/>
        <w:spacing w:after="0" w:line="256" w:lineRule="auto"/>
        <w:rPr>
          <w:sz w:val="20"/>
          <w:szCs w:val="20"/>
          <w:color w:val="auto"/>
        </w:rPr>
      </w:pPr>
      <w:r>
        <w:rPr>
          <w:rFonts w:ascii="Arial" w:cs="Arial" w:eastAsia="Arial" w:hAnsi="Arial"/>
          <w:sz w:val="17"/>
          <w:szCs w:val="17"/>
          <w:color w:val="auto"/>
        </w:rPr>
        <w:t>Net earned premiums (“NEP”) for AFG’s property and casualty insurance segment were $1.73 billion for the fourth quarter of 2023 compared to $1.62 billion for the fourth quarter of 2022, an increase of $109 million (7%). Detail of AFG’s property and casualty net earned premiums is shown below (dollars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8"/>
          </w:tcPr>
          <w:p>
            <w:pPr>
              <w:jc w:val="right"/>
              <w:ind w:right="420"/>
              <w:spacing w:after="0"/>
              <w:rPr>
                <w:sz w:val="20"/>
                <w:szCs w:val="20"/>
                <w:color w:val="auto"/>
              </w:rPr>
            </w:pPr>
            <w:r>
              <w:rPr>
                <w:rFonts w:ascii="Arial" w:cs="Arial" w:eastAsia="Arial" w:hAnsi="Arial"/>
                <w:sz w:val="14"/>
                <w:szCs w:val="14"/>
                <w:color w:val="auto"/>
              </w:rPr>
              <w:t>Three months ended December 31,</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4"/>
        </w:trPr>
        <w:tc>
          <w:tcPr>
            <w:tcW w:w="5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color w:val="auto"/>
              </w:rPr>
              <w:t>2023</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2022</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8"/>
        </w:trPr>
        <w:tc>
          <w:tcPr>
            <w:tcW w:w="5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right"/>
              <w:ind w:right="800"/>
              <w:spacing w:after="0"/>
              <w:rPr>
                <w:sz w:val="20"/>
                <w:szCs w:val="20"/>
                <w:color w:val="auto"/>
              </w:rPr>
            </w:pPr>
            <w:r>
              <w:rPr>
                <w:rFonts w:ascii="Arial" w:cs="Arial" w:eastAsia="Arial" w:hAnsi="Arial"/>
                <w:sz w:val="14"/>
                <w:szCs w:val="14"/>
                <w:color w:val="auto"/>
              </w:rPr>
              <w:t>NEP</w:t>
            </w:r>
          </w:p>
        </w:tc>
        <w:tc>
          <w:tcPr>
            <w:tcW w:w="780" w:type="dxa"/>
            <w:vAlign w:val="bottom"/>
          </w:tcPr>
          <w:p>
            <w:pPr>
              <w:jc w:val="right"/>
              <w:ind w:right="38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3"/>
          </w:tcPr>
          <w:p>
            <w:pPr>
              <w:jc w:val="right"/>
              <w:ind w:right="780"/>
              <w:spacing w:after="0"/>
              <w:rPr>
                <w:sz w:val="20"/>
                <w:szCs w:val="20"/>
                <w:color w:val="auto"/>
              </w:rPr>
            </w:pPr>
            <w:r>
              <w:rPr>
                <w:rFonts w:ascii="Arial" w:cs="Arial" w:eastAsia="Arial" w:hAnsi="Arial"/>
                <w:sz w:val="14"/>
                <w:szCs w:val="14"/>
                <w:color w:val="auto"/>
              </w:rPr>
              <w:t>NEP</w:t>
            </w:r>
          </w:p>
        </w:tc>
        <w:tc>
          <w:tcPr>
            <w:tcW w:w="800" w:type="dxa"/>
            <w:vAlign w:val="bottom"/>
          </w:tcPr>
          <w:p>
            <w:pPr>
              <w:jc w:val="right"/>
              <w:ind w:right="38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100" w:type="dxa"/>
            <w:vAlign w:val="bottom"/>
          </w:tcPr>
          <w:p>
            <w:pPr>
              <w:jc w:val="right"/>
              <w:ind w:right="144"/>
              <w:spacing w:after="0"/>
              <w:rPr>
                <w:sz w:val="20"/>
                <w:szCs w:val="20"/>
                <w:color w:val="auto"/>
              </w:rPr>
            </w:pPr>
            <w:r>
              <w:rPr>
                <w:rFonts w:ascii="Arial" w:cs="Arial" w:eastAsia="Arial" w:hAnsi="Arial"/>
                <w:sz w:val="14"/>
                <w:szCs w:val="14"/>
                <w:color w:val="auto"/>
              </w:rPr>
              <w:t>% Change</w:t>
            </w:r>
          </w:p>
        </w:tc>
      </w:tr>
      <w:tr>
        <w:trPr>
          <w:trHeight w:val="214"/>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39 %</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682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42 %</w:t>
            </w: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5"/>
        </w:trPr>
        <w:tc>
          <w:tcPr>
            <w:tcW w:w="536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686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7 %</w:t>
            </w:r>
          </w:p>
        </w:tc>
      </w:tr>
      <w:tr>
        <w:trPr>
          <w:trHeight w:val="217"/>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26 %</w:t>
            </w:r>
          </w:p>
        </w:tc>
      </w:tr>
      <w:tr>
        <w:trPr>
          <w:trHeight w:val="215"/>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specialty</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4 %</w:t>
            </w: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11 %</w:t>
            </w:r>
          </w:p>
        </w:tc>
      </w:tr>
      <w:tr>
        <w:trPr>
          <w:trHeight w:val="235"/>
        </w:trPr>
        <w:tc>
          <w:tcPr>
            <w:tcW w:w="53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1,623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7 %</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302" w:lineRule="exact"/>
        <w:rPr>
          <w:sz w:val="20"/>
          <w:szCs w:val="20"/>
          <w:color w:val="auto"/>
        </w:rPr>
      </w:pPr>
    </w:p>
    <w:p>
      <w:pPr>
        <w:jc w:val="both"/>
        <w:ind w:right="40"/>
        <w:spacing w:after="0" w:line="274" w:lineRule="auto"/>
        <w:rPr>
          <w:sz w:val="20"/>
          <w:szCs w:val="20"/>
          <w:color w:val="auto"/>
        </w:rPr>
      </w:pPr>
      <w:r>
        <w:rPr>
          <w:rFonts w:ascii="Arial" w:cs="Arial" w:eastAsia="Arial" w:hAnsi="Arial"/>
          <w:sz w:val="17"/>
          <w:szCs w:val="17"/>
          <w:color w:val="auto"/>
        </w:rPr>
        <w:t>Gross written premiums for the fourth quarter of 2023 increased $147 million (8%) compared to the fourth quarter of 2022 reflecting a combination of new business opportunities, increased exposures and a good renewal rate environment. Overall average renewal rates increased approximately 6% in the fourth quarter of 2023. Excluding overall rate decreases in the workers’ compensation businesses, renewal rates increased approximately 7%.</w:t>
      </w:r>
    </w:p>
    <w:p>
      <w:pPr>
        <w:spacing w:after="0" w:line="195" w:lineRule="exact"/>
        <w:rPr>
          <w:sz w:val="20"/>
          <w:szCs w:val="20"/>
          <w:color w:val="auto"/>
        </w:rPr>
      </w:pPr>
    </w:p>
    <w:p>
      <w:pPr>
        <w:spacing w:after="0" w:line="238" w:lineRule="auto"/>
        <w:rPr>
          <w:sz w:val="20"/>
          <w:szCs w:val="20"/>
          <w:color w:val="auto"/>
        </w:rPr>
      </w:pPr>
      <w:r>
        <w:rPr>
          <w:rFonts w:ascii="Arial" w:cs="Arial" w:eastAsia="Arial" w:hAnsi="Arial"/>
          <w:sz w:val="20"/>
          <w:szCs w:val="20"/>
          <w:b w:val="1"/>
          <w:bCs w:val="1"/>
          <w:i w:val="1"/>
          <w:iCs w:val="1"/>
          <w:color w:val="00274E"/>
        </w:rPr>
        <w:t xml:space="preserve">Property and transportation </w:t>
      </w:r>
      <w:r>
        <w:rPr>
          <w:rFonts w:ascii="Arial" w:cs="Arial" w:eastAsia="Arial" w:hAnsi="Arial"/>
          <w:sz w:val="17"/>
          <w:szCs w:val="17"/>
          <w:color w:val="000000"/>
        </w:rPr>
        <w:t>Gross written premiums increased $22 million (4%) in the fourth quarter of 2023 compared to the fourth quarter of</w:t>
      </w:r>
      <w:r>
        <w:rPr>
          <w:rFonts w:ascii="Arial" w:cs="Arial" w:eastAsia="Arial" w:hAnsi="Arial"/>
          <w:sz w:val="20"/>
          <w:szCs w:val="20"/>
          <w:b w:val="1"/>
          <w:bCs w:val="1"/>
          <w:i w:val="1"/>
          <w:iCs w:val="1"/>
          <w:color w:val="00274E"/>
        </w:rPr>
        <w:t xml:space="preserve"> </w:t>
      </w:r>
      <w:r>
        <w:rPr>
          <w:rFonts w:ascii="Arial" w:cs="Arial" w:eastAsia="Arial" w:hAnsi="Arial"/>
          <w:sz w:val="17"/>
          <w:szCs w:val="17"/>
          <w:color w:val="000000"/>
        </w:rPr>
        <w:t>2022. This increase was due primarily to slightly higher crop premium related to the CRS acquisition, which was partially offset by the timing of renewals in several of the transportation businesses. Average renewal rates increased 7% for this group in the fourth quarter of 2023. Reinsurance premiums ceded as a percentage of gross written premiums increased 2 percentage points for the fourth quarter of 2023 compared to the fourth quarter of 2022 reflecting growth in alternative risk transfer products in the transportation businesses and higher premiums in the crop operations, both of which cede a higher percentage of premiums than some of the other businesses in the Property and transportation sub-segment.</w:t>
      </w:r>
    </w:p>
    <w:p>
      <w:pPr>
        <w:spacing w:after="0" w:line="226" w:lineRule="exact"/>
        <w:rPr>
          <w:sz w:val="20"/>
          <w:szCs w:val="20"/>
          <w:color w:val="auto"/>
        </w:rPr>
      </w:pPr>
    </w:p>
    <w:p>
      <w:pPr>
        <w:ind w:right="40"/>
        <w:spacing w:after="0" w:line="229" w:lineRule="auto"/>
        <w:rPr>
          <w:sz w:val="20"/>
          <w:szCs w:val="20"/>
          <w:color w:val="auto"/>
        </w:rPr>
      </w:pPr>
      <w:r>
        <w:rPr>
          <w:rFonts w:ascii="Arial" w:cs="Arial" w:eastAsia="Arial" w:hAnsi="Arial"/>
          <w:sz w:val="20"/>
          <w:szCs w:val="20"/>
          <w:b w:val="1"/>
          <w:bCs w:val="1"/>
          <w:i w:val="1"/>
          <w:iCs w:val="1"/>
          <w:color w:val="00274E"/>
        </w:rPr>
        <w:t xml:space="preserve">Specialty casualty </w:t>
      </w:r>
      <w:r>
        <w:rPr>
          <w:rFonts w:ascii="Arial" w:cs="Arial" w:eastAsia="Arial" w:hAnsi="Arial"/>
          <w:sz w:val="17"/>
          <w:szCs w:val="17"/>
          <w:color w:val="000000"/>
        </w:rPr>
        <w:t>Gross written premiums increased $62 million (6%) in the fourth quarter of 2023 compared to the fourth quarter of 2022. New</w:t>
      </w:r>
      <w:r>
        <w:rPr>
          <w:rFonts w:ascii="Arial" w:cs="Arial" w:eastAsia="Arial" w:hAnsi="Arial"/>
          <w:sz w:val="20"/>
          <w:szCs w:val="20"/>
          <w:b w:val="1"/>
          <w:bCs w:val="1"/>
          <w:i w:val="1"/>
          <w:iCs w:val="1"/>
          <w:color w:val="00274E"/>
        </w:rPr>
        <w:t xml:space="preserve"> </w:t>
      </w:r>
      <w:r>
        <w:rPr>
          <w:rFonts w:ascii="Arial" w:cs="Arial" w:eastAsia="Arial" w:hAnsi="Arial"/>
          <w:sz w:val="17"/>
          <w:szCs w:val="17"/>
          <w:color w:val="000000"/>
        </w:rPr>
        <w:t>business opportunities and increased exposures in the excess and surplus operations and</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40"/>
        <w:spacing w:after="0" w:line="245" w:lineRule="auto"/>
        <w:rPr>
          <w:sz w:val="20"/>
          <w:szCs w:val="20"/>
          <w:color w:val="auto"/>
        </w:rPr>
      </w:pPr>
      <w:r>
        <w:rPr>
          <w:rFonts w:ascii="Arial" w:cs="Arial" w:eastAsia="Arial" w:hAnsi="Arial"/>
          <w:sz w:val="17"/>
          <w:szCs w:val="17"/>
          <w:color w:val="auto"/>
        </w:rPr>
        <w:t>increased exposures from payroll growth in the workers’ compensation businesses led to higher year-over-year premiums, with nearly all of the businesses in this group reporting growth in the quarter. This growth was partially offset by lower premiums in the executive liability business. Average renewal rates for this group increased approximately 4% in the fourth quarter of 2023. Excluding rate decreases in the workers’ compensation business, renewal rates for this group increased approximately 7%. Reinsurance premiums ceded as a percentage of gross written premiums were comparable in the fourth quarters of 2023 and 2022.</w:t>
      </w:r>
    </w:p>
    <w:p>
      <w:pPr>
        <w:spacing w:after="0" w:line="204" w:lineRule="exact"/>
        <w:rPr>
          <w:sz w:val="20"/>
          <w:szCs w:val="20"/>
          <w:color w:val="auto"/>
        </w:rPr>
      </w:pPr>
    </w:p>
    <w:p>
      <w:pPr>
        <w:ind w:right="40"/>
        <w:spacing w:after="0" w:line="234" w:lineRule="auto"/>
        <w:rPr>
          <w:sz w:val="20"/>
          <w:szCs w:val="20"/>
          <w:color w:val="auto"/>
        </w:rPr>
      </w:pPr>
      <w:r>
        <w:rPr>
          <w:rFonts w:ascii="Arial" w:cs="Arial" w:eastAsia="Arial" w:hAnsi="Arial"/>
          <w:sz w:val="20"/>
          <w:szCs w:val="20"/>
          <w:b w:val="1"/>
          <w:bCs w:val="1"/>
          <w:i w:val="1"/>
          <w:iCs w:val="1"/>
          <w:color w:val="00274E"/>
        </w:rPr>
        <w:t xml:space="preserve">Specialty financial </w:t>
      </w:r>
      <w:r>
        <w:rPr>
          <w:rFonts w:ascii="Arial" w:cs="Arial" w:eastAsia="Arial" w:hAnsi="Arial"/>
          <w:sz w:val="17"/>
          <w:szCs w:val="17"/>
          <w:color w:val="000000"/>
        </w:rPr>
        <w:t>Gross written premiums increased $63 million (27%) in the fourth quarter of 2023 compared to the fourth quarter of 2022 due</w:t>
      </w:r>
      <w:r>
        <w:rPr>
          <w:rFonts w:ascii="Arial" w:cs="Arial" w:eastAsia="Arial" w:hAnsi="Arial"/>
          <w:sz w:val="20"/>
          <w:szCs w:val="20"/>
          <w:b w:val="1"/>
          <w:bCs w:val="1"/>
          <w:i w:val="1"/>
          <w:iCs w:val="1"/>
          <w:color w:val="00274E"/>
        </w:rPr>
        <w:t xml:space="preserve"> </w:t>
      </w:r>
      <w:r>
        <w:rPr>
          <w:rFonts w:ascii="Arial" w:cs="Arial" w:eastAsia="Arial" w:hAnsi="Arial"/>
          <w:sz w:val="17"/>
          <w:szCs w:val="17"/>
          <w:color w:val="000000"/>
        </w:rPr>
        <w:t>primarily to growth in the financial institutions business. Average renewal rates for this group increased approximately 9% in the fourth quarter of 2023. Reinsurance premiums ceded as a percentage of gross written premiums increased 1 percentage point in the fourth quarter of 2023 compared to the fourth quarter of 2022 reflecting the favorable impact of lower than previously estimated reinstatement premiums related to Hurricane Ian recorded in the fourth quarter of 2022.</w:t>
      </w:r>
    </w:p>
    <w:p>
      <w:pPr>
        <w:spacing w:after="0" w:line="208" w:lineRule="exact"/>
        <w:rPr>
          <w:sz w:val="20"/>
          <w:szCs w:val="20"/>
          <w:color w:val="auto"/>
        </w:rPr>
      </w:pPr>
    </w:p>
    <w:p>
      <w:pPr>
        <w:ind w:right="140"/>
        <w:spacing w:after="0" w:line="247" w:lineRule="auto"/>
        <w:rPr>
          <w:sz w:val="20"/>
          <w:szCs w:val="20"/>
          <w:color w:val="auto"/>
        </w:rPr>
      </w:pPr>
      <w:r>
        <w:rPr>
          <w:rFonts w:ascii="Arial" w:cs="Arial" w:eastAsia="Arial" w:hAnsi="Arial"/>
          <w:sz w:val="20"/>
          <w:szCs w:val="20"/>
          <w:b w:val="1"/>
          <w:bCs w:val="1"/>
          <w:i w:val="1"/>
          <w:iCs w:val="1"/>
          <w:color w:val="00274E"/>
        </w:rPr>
        <w:t xml:space="preserve">Other specialty </w:t>
      </w:r>
      <w:r>
        <w:rPr>
          <w:rFonts w:ascii="Arial" w:cs="Arial" w:eastAsia="Arial" w:hAnsi="Arial"/>
          <w:sz w:val="17"/>
          <w:szCs w:val="17"/>
          <w:color w:val="000000"/>
        </w:rPr>
        <w:t>The amounts shown as reinsurance premiums ceded represent business assumed by AFG’s internal reinsurance program from</w:t>
      </w:r>
      <w:r>
        <w:rPr>
          <w:rFonts w:ascii="Arial" w:cs="Arial" w:eastAsia="Arial" w:hAnsi="Arial"/>
          <w:sz w:val="20"/>
          <w:szCs w:val="20"/>
          <w:b w:val="1"/>
          <w:bCs w:val="1"/>
          <w:i w:val="1"/>
          <w:iCs w:val="1"/>
          <w:color w:val="00274E"/>
        </w:rPr>
        <w:t xml:space="preserve"> </w:t>
      </w:r>
      <w:r>
        <w:rPr>
          <w:rFonts w:ascii="Arial" w:cs="Arial" w:eastAsia="Arial" w:hAnsi="Arial"/>
          <w:sz w:val="17"/>
          <w:szCs w:val="17"/>
          <w:color w:val="000000"/>
        </w:rPr>
        <w:t>the operations that make up AFG’s other Specialty property and casualty insurance sub-segments. Reinsurance premiums assumed increased $8 million (13%) in the fourth quarter of 2023 compared to the fourth quarter of 2022 reflecting an increase in premiums retained, primarily from businesses in the Specialty casualty sub-segment.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Combined Ratio</w:t>
      </w:r>
    </w:p>
    <w:p>
      <w:pPr>
        <w:spacing w:after="0" w:line="30"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Performance measures such as the combined ratio are often used by property and casualty insurers to help users of their financial statements better understand the company’s performance. The combined ratio is the sum of the loss and loss adjustment expenses (“LAE”) and underwriting expense ratios. These ratios are calculated by dividing each of the respective expenses by net earned premiums. The table below (dollars in millions) details the components of the combined ratio for AFG’s property and casualty insurance segment:</w:t>
      </w:r>
    </w:p>
    <w:p>
      <w:pPr>
        <w:spacing w:after="0" w:line="114" w:lineRule="exact"/>
        <w:rPr>
          <w:sz w:val="20"/>
          <w:szCs w:val="20"/>
          <w:color w:val="auto"/>
        </w:rPr>
      </w:pPr>
    </w:p>
    <w:tbl>
      <w:tblPr>
        <w:tblLayout w:type="fixed"/>
        <w:tblInd w:w="4000" w:type="dxa"/>
        <w:tblCellMar>
          <w:top w:w="0" w:type="dxa"/>
          <w:left w:w="0" w:type="dxa"/>
          <w:bottom w:w="0" w:type="dxa"/>
          <w:right w:w="0" w:type="dxa"/>
        </w:tblCellMar>
      </w:tblPr>
      <w:tr>
        <w:trPr>
          <w:trHeight w:val="192"/>
        </w:trPr>
        <w:tc>
          <w:tcPr>
            <w:tcW w:w="306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4"/>
                <w:szCs w:val="14"/>
                <w:color w:val="auto"/>
              </w:rPr>
              <w:t>Three months ended December 31,</w:t>
            </w:r>
          </w:p>
        </w:tc>
        <w:tc>
          <w:tcPr>
            <w:tcW w:w="1340" w:type="dxa"/>
            <w:vAlign w:val="bottom"/>
          </w:tcPr>
          <w:p>
            <w:pPr>
              <w:spacing w:after="0"/>
              <w:rPr>
                <w:sz w:val="16"/>
                <w:szCs w:val="16"/>
                <w:color w:val="auto"/>
              </w:rPr>
            </w:pPr>
          </w:p>
        </w:tc>
        <w:tc>
          <w:tcPr>
            <w:tcW w:w="2840" w:type="dxa"/>
            <w:vAlign w:val="bottom"/>
            <w:tcBorders>
              <w:bottom w:val="single" w:sz="8" w:color="auto"/>
            </w:tcBorders>
            <w:gridSpan w:val="2"/>
          </w:tcPr>
          <w:p>
            <w:pPr>
              <w:jc w:val="right"/>
              <w:ind w:right="208"/>
              <w:spacing w:after="0"/>
              <w:rPr>
                <w:sz w:val="20"/>
                <w:szCs w:val="20"/>
                <w:color w:val="auto"/>
              </w:rPr>
            </w:pPr>
            <w:r>
              <w:rPr>
                <w:rFonts w:ascii="Arial" w:cs="Arial" w:eastAsia="Arial" w:hAnsi="Arial"/>
                <w:sz w:val="14"/>
                <w:szCs w:val="14"/>
                <w:color w:val="auto"/>
              </w:rPr>
              <w:t>Three months ended December 31,</w:t>
            </w:r>
          </w:p>
        </w:tc>
      </w:tr>
      <w:tr>
        <w:trPr>
          <w:trHeight w:val="194"/>
        </w:trPr>
        <w:tc>
          <w:tcPr>
            <w:tcW w:w="1540" w:type="dxa"/>
            <w:vAlign w:val="bottom"/>
          </w:tcPr>
          <w:p>
            <w:pPr>
              <w:jc w:val="right"/>
              <w:ind w:right="568"/>
              <w:spacing w:after="0"/>
              <w:rPr>
                <w:sz w:val="20"/>
                <w:szCs w:val="20"/>
                <w:color w:val="auto"/>
              </w:rPr>
            </w:pPr>
            <w:r>
              <w:rPr>
                <w:rFonts w:ascii="Arial" w:cs="Arial" w:eastAsia="Arial" w:hAnsi="Arial"/>
                <w:sz w:val="14"/>
                <w:szCs w:val="14"/>
                <w:color w:val="auto"/>
              </w:rPr>
              <w:t>2023</w:t>
            </w:r>
          </w:p>
        </w:tc>
        <w:tc>
          <w:tcPr>
            <w:tcW w:w="1520" w:type="dxa"/>
            <w:vAlign w:val="bottom"/>
          </w:tcPr>
          <w:p>
            <w:pPr>
              <w:jc w:val="right"/>
              <w:ind w:right="508"/>
              <w:spacing w:after="0"/>
              <w:rPr>
                <w:sz w:val="20"/>
                <w:szCs w:val="20"/>
                <w:color w:val="auto"/>
              </w:rPr>
            </w:pPr>
            <w:r>
              <w:rPr>
                <w:rFonts w:ascii="Arial" w:cs="Arial" w:eastAsia="Arial" w:hAnsi="Arial"/>
                <w:sz w:val="14"/>
                <w:szCs w:val="14"/>
                <w:color w:val="auto"/>
              </w:rPr>
              <w:t>2022</w:t>
            </w:r>
          </w:p>
        </w:tc>
        <w:tc>
          <w:tcPr>
            <w:tcW w:w="1340" w:type="dxa"/>
            <w:vAlign w:val="bottom"/>
          </w:tcPr>
          <w:p>
            <w:pPr>
              <w:ind w:left="420"/>
              <w:spacing w:after="0"/>
              <w:rPr>
                <w:sz w:val="20"/>
                <w:szCs w:val="20"/>
                <w:color w:val="auto"/>
              </w:rPr>
            </w:pPr>
            <w:r>
              <w:rPr>
                <w:rFonts w:ascii="Arial" w:cs="Arial" w:eastAsia="Arial" w:hAnsi="Arial"/>
                <w:sz w:val="14"/>
                <w:szCs w:val="14"/>
                <w:color w:val="auto"/>
              </w:rPr>
              <w:t>Change</w:t>
            </w:r>
          </w:p>
        </w:tc>
        <w:tc>
          <w:tcPr>
            <w:tcW w:w="1420" w:type="dxa"/>
            <w:vAlign w:val="bottom"/>
          </w:tcPr>
          <w:p>
            <w:pPr>
              <w:jc w:val="right"/>
              <w:ind w:right="508"/>
              <w:spacing w:after="0"/>
              <w:rPr>
                <w:sz w:val="20"/>
                <w:szCs w:val="20"/>
                <w:color w:val="auto"/>
              </w:rPr>
            </w:pPr>
            <w:r>
              <w:rPr>
                <w:rFonts w:ascii="Arial" w:cs="Arial" w:eastAsia="Arial" w:hAnsi="Arial"/>
                <w:sz w:val="14"/>
                <w:szCs w:val="14"/>
                <w:color w:val="auto"/>
              </w:rPr>
              <w:t>2023</w:t>
            </w:r>
          </w:p>
        </w:tc>
        <w:tc>
          <w:tcPr>
            <w:tcW w:w="1420" w:type="dxa"/>
            <w:vAlign w:val="bottom"/>
          </w:tcPr>
          <w:p>
            <w:pPr>
              <w:jc w:val="right"/>
              <w:ind w:right="448"/>
              <w:spacing w:after="0"/>
              <w:rPr>
                <w:sz w:val="20"/>
                <w:szCs w:val="20"/>
                <w:color w:val="auto"/>
              </w:rPr>
            </w:pPr>
            <w:r>
              <w:rPr>
                <w:rFonts w:ascii="Arial" w:cs="Arial" w:eastAsia="Arial" w:hAnsi="Arial"/>
                <w:sz w:val="14"/>
                <w:szCs w:val="14"/>
                <w:color w:val="auto"/>
              </w:rPr>
              <w:t>2022</w:t>
            </w:r>
          </w:p>
        </w:tc>
      </w:tr>
    </w:tbl>
    <w:p>
      <w:pPr>
        <w:spacing w:after="0" w:line="7" w:lineRule="exact"/>
        <w:rPr>
          <w:sz w:val="20"/>
          <w:szCs w:val="20"/>
          <w:color w:val="auto"/>
        </w:rPr>
      </w:pPr>
    </w:p>
    <w:p>
      <w:pPr>
        <w:sectPr>
          <w:pgSz w:w="11900" w:h="16838" w:orient="portrait"/>
          <w:cols w:equalWidth="0" w:num="1">
            <w:col w:w="11240"/>
          </w:cols>
          <w:pgMar w:left="320" w:top="116" w:right="339" w:bottom="1440" w:gutter="0" w:footer="0" w:header="0"/>
        </w:sectPr>
      </w:pPr>
    </w:p>
    <w:p>
      <w:pPr>
        <w:ind w:left="20"/>
        <w:spacing w:after="0"/>
        <w:rPr>
          <w:sz w:val="20"/>
          <w:szCs w:val="20"/>
          <w:color w:val="auto"/>
        </w:rPr>
      </w:pPr>
      <w:r>
        <w:rPr>
          <w:rFonts w:ascii="Arial" w:cs="Arial" w:eastAsia="Arial" w:hAnsi="Arial"/>
          <w:sz w:val="16"/>
          <w:szCs w:val="16"/>
          <w:b w:val="1"/>
          <w:bCs w:val="1"/>
          <w:color w:val="auto"/>
        </w:rPr>
        <w:t>Property and transportation</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Specialty casualty</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Specialty financial</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Specialty</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Aggregate — including exited lines</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480" w:type="dxa"/>
            <w:vAlign w:val="bottom"/>
          </w:tcPr>
          <w:p>
            <w:pPr>
              <w:jc w:val="right"/>
              <w:spacing w:after="0"/>
              <w:rPr>
                <w:sz w:val="20"/>
                <w:szCs w:val="20"/>
                <w:color w:val="auto"/>
              </w:rPr>
            </w:pPr>
            <w:r>
              <w:rPr>
                <w:rFonts w:ascii="Arial" w:cs="Arial" w:eastAsia="Arial" w:hAnsi="Arial"/>
                <w:sz w:val="16"/>
                <w:szCs w:val="16"/>
                <w:color w:val="auto"/>
              </w:rPr>
              <w:t>69.0 %</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71.8 %</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(2.8 %)</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21.3 %</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18.2 %</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3.1 %</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90.3 %</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90.0 %</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0.3 %</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900" w:type="dxa"/>
            <w:vAlign w:val="bottom"/>
            <w:gridSpan w:val="2"/>
            <w:vMerge w:val="restart"/>
          </w:tcPr>
          <w:p>
            <w:pPr>
              <w:jc w:val="right"/>
              <w:ind w:right="460"/>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line="20" w:lineRule="exact"/>
              <w:rPr>
                <w:sz w:val="1"/>
                <w:szCs w:val="1"/>
                <w:color w:val="auto"/>
              </w:rPr>
            </w:pPr>
          </w:p>
        </w:tc>
        <w:tc>
          <w:tcPr>
            <w:tcW w:w="580" w:type="dxa"/>
            <w:vAlign w:val="bottom"/>
            <w:vMerge w:val="restart"/>
          </w:tcPr>
          <w:p>
            <w:pPr>
              <w:jc w:val="right"/>
              <w:ind w:right="379"/>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180"/>
        </w:trPr>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59.6 %</w:t>
            </w:r>
          </w:p>
        </w:tc>
        <w:tc>
          <w:tcPr>
            <w:tcW w:w="100" w:type="dxa"/>
            <w:vAlign w:val="bottom"/>
          </w:tcPr>
          <w:p>
            <w:pPr>
              <w:spacing w:after="0" w:line="20" w:lineRule="exact"/>
              <w:rPr>
                <w:sz w:val="1"/>
                <w:szCs w:val="1"/>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55.4 %</w:t>
            </w:r>
          </w:p>
        </w:tc>
        <w:tc>
          <w:tcPr>
            <w:tcW w:w="1340" w:type="dxa"/>
            <w:vAlign w:val="bottom"/>
            <w:vMerge w:val="restart"/>
          </w:tcPr>
          <w:p>
            <w:pPr>
              <w:jc w:val="right"/>
              <w:ind w:right="99"/>
              <w:spacing w:after="0"/>
              <w:rPr>
                <w:sz w:val="20"/>
                <w:szCs w:val="20"/>
                <w:color w:val="auto"/>
              </w:rPr>
            </w:pPr>
            <w:r>
              <w:rPr>
                <w:rFonts w:ascii="Arial" w:cs="Arial" w:eastAsia="Arial" w:hAnsi="Arial"/>
                <w:sz w:val="16"/>
                <w:szCs w:val="16"/>
                <w:color w:val="auto"/>
              </w:rPr>
              <w:t>4.2 %</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9"/>
        </w:trPr>
        <w:tc>
          <w:tcPr>
            <w:tcW w:w="1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25.0 %</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25.9 %</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(0.9 %)</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84.6 %</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81.3 %</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3.3 %</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900" w:type="dxa"/>
            <w:vAlign w:val="bottom"/>
            <w:gridSpan w:val="2"/>
            <w:vMerge w:val="restart"/>
          </w:tcPr>
          <w:p>
            <w:pPr>
              <w:jc w:val="right"/>
              <w:ind w:right="460"/>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line="20" w:lineRule="exact"/>
              <w:rPr>
                <w:sz w:val="1"/>
                <w:szCs w:val="1"/>
                <w:color w:val="auto"/>
              </w:rPr>
            </w:pPr>
          </w:p>
        </w:tc>
        <w:tc>
          <w:tcPr>
            <w:tcW w:w="580" w:type="dxa"/>
            <w:vAlign w:val="bottom"/>
            <w:vMerge w:val="restart"/>
          </w:tcPr>
          <w:p>
            <w:pPr>
              <w:jc w:val="right"/>
              <w:ind w:right="379"/>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180"/>
        </w:trPr>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34.8 %</w:t>
            </w:r>
          </w:p>
        </w:tc>
        <w:tc>
          <w:tcPr>
            <w:tcW w:w="100" w:type="dxa"/>
            <w:vAlign w:val="bottom"/>
          </w:tcPr>
          <w:p>
            <w:pPr>
              <w:spacing w:after="0" w:line="20" w:lineRule="exact"/>
              <w:rPr>
                <w:sz w:val="1"/>
                <w:szCs w:val="1"/>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33.8 %</w:t>
            </w:r>
          </w:p>
        </w:tc>
        <w:tc>
          <w:tcPr>
            <w:tcW w:w="1340" w:type="dxa"/>
            <w:vAlign w:val="bottom"/>
            <w:vMerge w:val="restart"/>
          </w:tcPr>
          <w:p>
            <w:pPr>
              <w:jc w:val="right"/>
              <w:ind w:right="99"/>
              <w:spacing w:after="0"/>
              <w:rPr>
                <w:sz w:val="20"/>
                <w:szCs w:val="20"/>
                <w:color w:val="auto"/>
              </w:rPr>
            </w:pPr>
            <w:r>
              <w:rPr>
                <w:rFonts w:ascii="Arial" w:cs="Arial" w:eastAsia="Arial" w:hAnsi="Arial"/>
                <w:sz w:val="16"/>
                <w:szCs w:val="16"/>
                <w:color w:val="auto"/>
              </w:rPr>
              <w:t>1.0 %</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8"/>
        </w:trPr>
        <w:tc>
          <w:tcPr>
            <w:tcW w:w="1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46.5 %</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49.3 %</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(2.8 %)</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81.3 %</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83.1 %</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(1.8 %)</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900" w:type="dxa"/>
            <w:vAlign w:val="bottom"/>
            <w:gridSpan w:val="2"/>
            <w:vMerge w:val="restart"/>
          </w:tcPr>
          <w:p>
            <w:pPr>
              <w:jc w:val="right"/>
              <w:ind w:right="460"/>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line="20" w:lineRule="exact"/>
              <w:rPr>
                <w:sz w:val="1"/>
                <w:szCs w:val="1"/>
                <w:color w:val="auto"/>
              </w:rPr>
            </w:pPr>
          </w:p>
        </w:tc>
        <w:tc>
          <w:tcPr>
            <w:tcW w:w="580" w:type="dxa"/>
            <w:vAlign w:val="bottom"/>
            <w:vMerge w:val="restart"/>
          </w:tcPr>
          <w:p>
            <w:pPr>
              <w:jc w:val="right"/>
              <w:ind w:right="379"/>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81"/>
        </w:trPr>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60.7 %</w:t>
            </w:r>
          </w:p>
        </w:tc>
        <w:tc>
          <w:tcPr>
            <w:tcW w:w="100" w:type="dxa"/>
            <w:vAlign w:val="bottom"/>
          </w:tcPr>
          <w:p>
            <w:pPr>
              <w:spacing w:after="0" w:line="20" w:lineRule="exact"/>
              <w:rPr>
                <w:sz w:val="1"/>
                <w:szCs w:val="1"/>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60.8 %</w:t>
            </w:r>
          </w:p>
        </w:tc>
        <w:tc>
          <w:tcPr>
            <w:tcW w:w="1340" w:type="dxa"/>
            <w:vAlign w:val="bottom"/>
            <w:vMerge w:val="restart"/>
          </w:tcPr>
          <w:p>
            <w:pPr>
              <w:jc w:val="right"/>
              <w:ind w:right="39"/>
              <w:spacing w:after="0"/>
              <w:rPr>
                <w:sz w:val="20"/>
                <w:szCs w:val="20"/>
                <w:color w:val="auto"/>
              </w:rPr>
            </w:pPr>
            <w:r>
              <w:rPr>
                <w:rFonts w:ascii="Arial" w:cs="Arial" w:eastAsia="Arial" w:hAnsi="Arial"/>
                <w:sz w:val="16"/>
                <w:szCs w:val="16"/>
                <w:color w:val="auto"/>
              </w:rPr>
              <w:t>(0.1 %)</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5"/>
        </w:trPr>
        <w:tc>
          <w:tcPr>
            <w:tcW w:w="1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27.0 %</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25.8 %</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1.2 %</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87.7 %</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86.6 %</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1.1 %</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900" w:type="dxa"/>
            <w:vAlign w:val="bottom"/>
            <w:gridSpan w:val="2"/>
            <w:vMerge w:val="restart"/>
          </w:tcPr>
          <w:p>
            <w:pPr>
              <w:jc w:val="right"/>
              <w:ind w:right="460"/>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line="20" w:lineRule="exact"/>
              <w:rPr>
                <w:sz w:val="1"/>
                <w:szCs w:val="1"/>
                <w:color w:val="auto"/>
              </w:rPr>
            </w:pPr>
          </w:p>
        </w:tc>
        <w:tc>
          <w:tcPr>
            <w:tcW w:w="580" w:type="dxa"/>
            <w:vAlign w:val="bottom"/>
            <w:vMerge w:val="restart"/>
          </w:tcPr>
          <w:p>
            <w:pPr>
              <w:jc w:val="right"/>
              <w:ind w:right="379"/>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181"/>
        </w:trPr>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60.8 %</w:t>
            </w:r>
          </w:p>
        </w:tc>
        <w:tc>
          <w:tcPr>
            <w:tcW w:w="100" w:type="dxa"/>
            <w:vAlign w:val="bottom"/>
          </w:tcPr>
          <w:p>
            <w:pPr>
              <w:spacing w:after="0" w:line="20" w:lineRule="exact"/>
              <w:rPr>
                <w:sz w:val="1"/>
                <w:szCs w:val="1"/>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60.7 %</w:t>
            </w:r>
          </w:p>
        </w:tc>
        <w:tc>
          <w:tcPr>
            <w:tcW w:w="1340" w:type="dxa"/>
            <w:vAlign w:val="bottom"/>
            <w:vMerge w:val="restart"/>
          </w:tcPr>
          <w:p>
            <w:pPr>
              <w:jc w:val="right"/>
              <w:ind w:right="99"/>
              <w:spacing w:after="0"/>
              <w:rPr>
                <w:sz w:val="20"/>
                <w:szCs w:val="20"/>
                <w:color w:val="auto"/>
              </w:rPr>
            </w:pPr>
            <w:r>
              <w:rPr>
                <w:rFonts w:ascii="Arial" w:cs="Arial" w:eastAsia="Arial" w:hAnsi="Arial"/>
                <w:sz w:val="16"/>
                <w:szCs w:val="16"/>
                <w:color w:val="auto"/>
              </w:rPr>
              <w:t>0.1 %</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5"/>
        </w:trPr>
        <w:tc>
          <w:tcPr>
            <w:tcW w:w="1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27.0 %</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25.8 %</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1.2 %</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87.8 %</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86.5 %</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1.3 %</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900" w:type="dxa"/>
            <w:vAlign w:val="bottom"/>
            <w:gridSpan w:val="2"/>
            <w:vMerge w:val="restart"/>
          </w:tcPr>
          <w:p>
            <w:pPr>
              <w:jc w:val="right"/>
              <w:ind w:right="460"/>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line="20" w:lineRule="exact"/>
              <w:rPr>
                <w:sz w:val="1"/>
                <w:szCs w:val="1"/>
                <w:color w:val="auto"/>
              </w:rPr>
            </w:pPr>
          </w:p>
        </w:tc>
        <w:tc>
          <w:tcPr>
            <w:tcW w:w="580" w:type="dxa"/>
            <w:vAlign w:val="bottom"/>
            <w:vMerge w:val="restart"/>
          </w:tcPr>
          <w:p>
            <w:pPr>
              <w:jc w:val="right"/>
              <w:ind w:right="379"/>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181"/>
        </w:trPr>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-3779520</wp:posOffset>
            </wp:positionV>
            <wp:extent cx="71323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-3479800</wp:posOffset>
            </wp:positionV>
            <wp:extent cx="713232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-3222625</wp:posOffset>
            </wp:positionV>
            <wp:extent cx="71323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-2948305</wp:posOffset>
            </wp:positionV>
            <wp:extent cx="71323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-2647950</wp:posOffset>
            </wp:positionV>
            <wp:extent cx="713232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-2390775</wp:posOffset>
            </wp:positionV>
            <wp:extent cx="71323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-2116455</wp:posOffset>
            </wp:positionV>
            <wp:extent cx="71323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-1816735</wp:posOffset>
            </wp:positionV>
            <wp:extent cx="713232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-1567815</wp:posOffset>
            </wp:positionV>
            <wp:extent cx="71323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-1293495</wp:posOffset>
            </wp:positionV>
            <wp:extent cx="71323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-993775</wp:posOffset>
            </wp:positionV>
            <wp:extent cx="7132320"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-745490</wp:posOffset>
            </wp:positionV>
            <wp:extent cx="71323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-471170</wp:posOffset>
            </wp:positionV>
            <wp:extent cx="71323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-170815</wp:posOffset>
            </wp:positionV>
            <wp:extent cx="713232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-4053840</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80" w:space="720"/>
            <w:col w:w="7240"/>
          </w:cols>
          <w:pgMar w:left="320" w:top="11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The Specialty property and casualty insurance operations generated an underwriting profit of $212 million in the fourth quarter of 2023 compared to $217 million in the fourth quarter of 2022, a decrease of $5 million (2%). Higher underwriting profit in the Specialty financial sub-segment was more than offset by lower underwriting profits in the Specialty casualty and Property and transportation sub-segments. Overall catastrophe losses were $25 million (1.4 points on the combined ratio), including $1 million in net reinstatement premiums in the fourth quarter of 2023 compared to catastrophe losses of $11 million (0.9 points), including a $13 million favorable impact in the fourth quarter of 2022 from lower than previously estimated reinstatement premiums related to Hurricane Ian.</w:t>
      </w:r>
    </w:p>
    <w:p>
      <w:pPr>
        <w:spacing w:after="0" w:line="206" w:lineRule="exact"/>
        <w:rPr>
          <w:sz w:val="20"/>
          <w:szCs w:val="20"/>
          <w:color w:val="auto"/>
        </w:rPr>
      </w:pPr>
    </w:p>
    <w:p>
      <w:pPr>
        <w:ind w:right="120"/>
        <w:spacing w:after="0" w:line="248" w:lineRule="auto"/>
        <w:rPr>
          <w:sz w:val="20"/>
          <w:szCs w:val="20"/>
          <w:color w:val="auto"/>
        </w:rPr>
      </w:pPr>
      <w:r>
        <w:rPr>
          <w:rFonts w:ascii="Arial" w:cs="Arial" w:eastAsia="Arial" w:hAnsi="Arial"/>
          <w:sz w:val="20"/>
          <w:szCs w:val="20"/>
          <w:b w:val="1"/>
          <w:bCs w:val="1"/>
          <w:i w:val="1"/>
          <w:iCs w:val="1"/>
          <w:color w:val="00274E"/>
        </w:rPr>
        <w:t xml:space="preserve">Property and transportation </w:t>
      </w:r>
      <w:r>
        <w:rPr>
          <w:rFonts w:ascii="Arial" w:cs="Arial" w:eastAsia="Arial" w:hAnsi="Arial"/>
          <w:sz w:val="17"/>
          <w:szCs w:val="17"/>
          <w:color w:val="000000"/>
        </w:rPr>
        <w:t>Underwriting profit for this group was $67 million for the fourth quarter of 2023 compared to $68 million in the</w:t>
      </w:r>
      <w:r>
        <w:rPr>
          <w:rFonts w:ascii="Arial" w:cs="Arial" w:eastAsia="Arial" w:hAnsi="Arial"/>
          <w:sz w:val="20"/>
          <w:szCs w:val="20"/>
          <w:b w:val="1"/>
          <w:bCs w:val="1"/>
          <w:i w:val="1"/>
          <w:iCs w:val="1"/>
          <w:color w:val="00274E"/>
        </w:rPr>
        <w:t xml:space="preserve"> </w:t>
      </w:r>
      <w:r>
        <w:rPr>
          <w:rFonts w:ascii="Arial" w:cs="Arial" w:eastAsia="Arial" w:hAnsi="Arial"/>
          <w:sz w:val="17"/>
          <w:szCs w:val="17"/>
          <w:color w:val="000000"/>
        </w:rPr>
        <w:t>fourth quarter of 2022, a decrease of $1 million (1%). Below average underwriting profitability in the crop insurance operations was largely offset by higher year-over-year underwriting profits in the property and inland marine and the non-crop agricultural businesses. Catastrophe losses for this group were $5 million (0.6 points on the combined ratio), including $2 million in net reinstatement premiums in the fourth quarter of 2023 compared to catastrophe losses of $7 million (1.0 points), including a $1 million favorable impact from lower than previously estimated net reinstatement premiums in the fourth quarter of 2022.</w:t>
      </w:r>
    </w:p>
    <w:p>
      <w:pPr>
        <w:spacing w:after="0" w:line="229" w:lineRule="exact"/>
        <w:rPr>
          <w:sz w:val="20"/>
          <w:szCs w:val="20"/>
          <w:color w:val="auto"/>
        </w:rPr>
      </w:pPr>
    </w:p>
    <w:p>
      <w:pPr>
        <w:spacing w:after="0" w:line="233" w:lineRule="auto"/>
        <w:rPr>
          <w:sz w:val="20"/>
          <w:szCs w:val="20"/>
          <w:color w:val="auto"/>
        </w:rPr>
      </w:pPr>
      <w:r>
        <w:rPr>
          <w:rFonts w:ascii="Arial" w:cs="Arial" w:eastAsia="Arial" w:hAnsi="Arial"/>
          <w:sz w:val="20"/>
          <w:szCs w:val="20"/>
          <w:b w:val="1"/>
          <w:bCs w:val="1"/>
          <w:i w:val="1"/>
          <w:iCs w:val="1"/>
          <w:color w:val="00274E"/>
        </w:rPr>
        <w:t xml:space="preserve">Specialty casualty </w:t>
      </w:r>
      <w:r>
        <w:rPr>
          <w:rFonts w:ascii="Arial" w:cs="Arial" w:eastAsia="Arial" w:hAnsi="Arial"/>
          <w:sz w:val="17"/>
          <w:szCs w:val="17"/>
          <w:color w:val="000000"/>
        </w:rPr>
        <w:t>Underwriting profit for this group was $114 million for the fourth quarter of 2023 compared to $128 million in the fourth quarter</w:t>
      </w:r>
      <w:r>
        <w:rPr>
          <w:rFonts w:ascii="Arial" w:cs="Arial" w:eastAsia="Arial" w:hAnsi="Arial"/>
          <w:sz w:val="20"/>
          <w:szCs w:val="20"/>
          <w:b w:val="1"/>
          <w:bCs w:val="1"/>
          <w:i w:val="1"/>
          <w:iCs w:val="1"/>
          <w:color w:val="00274E"/>
        </w:rPr>
        <w:t xml:space="preserve"> </w:t>
      </w:r>
      <w:r>
        <w:rPr>
          <w:rFonts w:ascii="Arial" w:cs="Arial" w:eastAsia="Arial" w:hAnsi="Arial"/>
          <w:sz w:val="17"/>
          <w:szCs w:val="17"/>
          <w:color w:val="000000"/>
        </w:rPr>
        <w:t>of 2022, a decrease of $14 million (11%). Higher year-over-year underwriting profits in the workers’ compensation and executive liability businesses were more than offset by lower underwriting profit in the excess and surplus business. Catastrophe losses were $8 million (1.1 points on the combined ratio), including a $1 million favorable impact from lower than previously estimated net reinstatement premiums in the fourth quarter of 2023 compared to catastrophe losses of $7 million (1.1 points), including a $1 million favorable impact from net reinstatement premiums in the fourth quarter of 2022.</w:t>
      </w:r>
    </w:p>
    <w:p>
      <w:pPr>
        <w:spacing w:after="0" w:line="212" w:lineRule="exact"/>
        <w:rPr>
          <w:sz w:val="20"/>
          <w:szCs w:val="20"/>
          <w:color w:val="auto"/>
        </w:rPr>
      </w:pPr>
    </w:p>
    <w:p>
      <w:pPr>
        <w:ind w:right="160"/>
        <w:spacing w:after="0" w:line="233" w:lineRule="auto"/>
        <w:rPr>
          <w:sz w:val="20"/>
          <w:szCs w:val="20"/>
          <w:color w:val="auto"/>
        </w:rPr>
      </w:pPr>
      <w:r>
        <w:rPr>
          <w:rFonts w:ascii="Arial" w:cs="Arial" w:eastAsia="Arial" w:hAnsi="Arial"/>
          <w:sz w:val="20"/>
          <w:szCs w:val="20"/>
          <w:b w:val="1"/>
          <w:bCs w:val="1"/>
          <w:i w:val="1"/>
          <w:iCs w:val="1"/>
          <w:color w:val="00274E"/>
        </w:rPr>
        <w:t xml:space="preserve">Specialty financial </w:t>
      </w:r>
      <w:r>
        <w:rPr>
          <w:rFonts w:ascii="Arial" w:cs="Arial" w:eastAsia="Arial" w:hAnsi="Arial"/>
          <w:sz w:val="17"/>
          <w:szCs w:val="17"/>
          <w:color w:val="000000"/>
        </w:rPr>
        <w:t>Underwriting profit for this group was $45 million for the fourth quarter of 2023 compared to $33 million in the fourth quarter</w:t>
      </w:r>
      <w:r>
        <w:rPr>
          <w:rFonts w:ascii="Arial" w:cs="Arial" w:eastAsia="Arial" w:hAnsi="Arial"/>
          <w:sz w:val="20"/>
          <w:szCs w:val="20"/>
          <w:b w:val="1"/>
          <w:bCs w:val="1"/>
          <w:i w:val="1"/>
          <w:iCs w:val="1"/>
          <w:color w:val="00274E"/>
        </w:rPr>
        <w:t xml:space="preserve"> </w:t>
      </w:r>
      <w:r>
        <w:rPr>
          <w:rFonts w:ascii="Arial" w:cs="Arial" w:eastAsia="Arial" w:hAnsi="Arial"/>
          <w:sz w:val="17"/>
          <w:szCs w:val="17"/>
          <w:color w:val="000000"/>
        </w:rPr>
        <w:t>of 2022, an increase of $12 million (36%). This increase reflects higher year-over-year underwriting profit in the financial institutions business. Catastrophe losses were $4 million (2.0 points on the combined ratio) in the fourth quarter of 2023 compared to a favorable impact of $3 million</w:t>
      </w:r>
    </w:p>
    <w:p>
      <w:pPr>
        <w:ind w:right="360"/>
        <w:spacing w:after="0" w:line="248" w:lineRule="auto"/>
        <w:rPr>
          <w:sz w:val="20"/>
          <w:szCs w:val="20"/>
          <w:color w:val="auto"/>
        </w:rPr>
      </w:pPr>
      <w:r>
        <w:rPr>
          <w:rFonts w:ascii="Arial" w:cs="Arial" w:eastAsia="Arial" w:hAnsi="Arial"/>
          <w:sz w:val="17"/>
          <w:szCs w:val="17"/>
          <w:color w:val="auto"/>
        </w:rPr>
        <w:t>(1.9 points), including a $10 million favorable impact from the change in estimated reinstatement premiums related to Hurricane Ian in the fourth quarter of 2022.</w:t>
      </w:r>
    </w:p>
    <w:p>
      <w:pPr>
        <w:spacing w:after="0" w:line="215" w:lineRule="exact"/>
        <w:rPr>
          <w:sz w:val="20"/>
          <w:szCs w:val="20"/>
          <w:color w:val="auto"/>
        </w:rPr>
      </w:pPr>
    </w:p>
    <w:p>
      <w:pPr>
        <w:spacing w:after="0" w:line="247" w:lineRule="auto"/>
        <w:rPr>
          <w:sz w:val="20"/>
          <w:szCs w:val="20"/>
          <w:color w:val="auto"/>
        </w:rPr>
      </w:pPr>
      <w:r>
        <w:rPr>
          <w:rFonts w:ascii="Arial" w:cs="Arial" w:eastAsia="Arial" w:hAnsi="Arial"/>
          <w:sz w:val="20"/>
          <w:szCs w:val="20"/>
          <w:b w:val="1"/>
          <w:bCs w:val="1"/>
          <w:i w:val="1"/>
          <w:iCs w:val="1"/>
          <w:color w:val="00274E"/>
        </w:rPr>
        <w:t xml:space="preserve">Other specialty </w:t>
      </w:r>
      <w:r>
        <w:rPr>
          <w:rFonts w:ascii="Arial" w:cs="Arial" w:eastAsia="Arial" w:hAnsi="Arial"/>
          <w:sz w:val="17"/>
          <w:szCs w:val="17"/>
          <w:color w:val="000000"/>
        </w:rPr>
        <w:t>This group reported an underwriting loss of $14 million for the fourth quarter of 2023 compared to $12 million in the fourth quarter</w:t>
      </w:r>
      <w:r>
        <w:rPr>
          <w:rFonts w:ascii="Arial" w:cs="Arial" w:eastAsia="Arial" w:hAnsi="Arial"/>
          <w:sz w:val="20"/>
          <w:szCs w:val="20"/>
          <w:b w:val="1"/>
          <w:bCs w:val="1"/>
          <w:i w:val="1"/>
          <w:iCs w:val="1"/>
          <w:color w:val="00274E"/>
        </w:rPr>
        <w:t xml:space="preserve"> </w:t>
      </w:r>
      <w:r>
        <w:rPr>
          <w:rFonts w:ascii="Arial" w:cs="Arial" w:eastAsia="Arial" w:hAnsi="Arial"/>
          <w:sz w:val="17"/>
          <w:szCs w:val="17"/>
          <w:color w:val="000000"/>
        </w:rPr>
        <w:t>of 2022, an increase of $2 million (17%), reflecting higher losses in the business assumed by AFG’s internal reinsurance program from the operations that make up AFG’s other Specialty sub-segments in the fourth quarter of 2023 compared to the fourth quarter of 2022. This group reported catastrophe losses of $8 million in the fourth quarter of 2023 compared to less than $1 million in the fourth quarter of 2022.</w:t>
      </w:r>
    </w:p>
    <w:p>
      <w:pPr>
        <w:spacing w:after="0" w:line="218" w:lineRule="exact"/>
        <w:rPr>
          <w:sz w:val="20"/>
          <w:szCs w:val="20"/>
          <w:color w:val="auto"/>
        </w:rPr>
      </w:pPr>
    </w:p>
    <w:p>
      <w:pPr>
        <w:ind w:right="80"/>
        <w:spacing w:after="0" w:line="247" w:lineRule="auto"/>
        <w:rPr>
          <w:sz w:val="20"/>
          <w:szCs w:val="20"/>
          <w:color w:val="auto"/>
        </w:rPr>
      </w:pPr>
      <w:r>
        <w:rPr>
          <w:rFonts w:ascii="Arial" w:cs="Arial" w:eastAsia="Arial" w:hAnsi="Arial"/>
          <w:sz w:val="20"/>
          <w:szCs w:val="20"/>
          <w:b w:val="1"/>
          <w:bCs w:val="1"/>
          <w:i w:val="1"/>
          <w:iCs w:val="1"/>
          <w:color w:val="00274E"/>
        </w:rPr>
        <w:t xml:space="preserve">Aggregate </w:t>
      </w:r>
      <w:r>
        <w:rPr>
          <w:rFonts w:ascii="Arial" w:cs="Arial" w:eastAsia="Arial" w:hAnsi="Arial"/>
          <w:sz w:val="17"/>
          <w:szCs w:val="17"/>
          <w:color w:val="000000"/>
        </w:rPr>
        <w:t>Aggregate underwriting results for AFG’s property and casualty insurance segment include adverse prior year reserve development of</w:t>
      </w:r>
      <w:r>
        <w:rPr>
          <w:rFonts w:ascii="Arial" w:cs="Arial" w:eastAsia="Arial" w:hAnsi="Arial"/>
          <w:sz w:val="20"/>
          <w:szCs w:val="20"/>
          <w:b w:val="1"/>
          <w:bCs w:val="1"/>
          <w:i w:val="1"/>
          <w:iCs w:val="1"/>
          <w:color w:val="00274E"/>
        </w:rPr>
        <w:t xml:space="preserve"> </w:t>
      </w:r>
      <w:r>
        <w:rPr>
          <w:rFonts w:ascii="Arial" w:cs="Arial" w:eastAsia="Arial" w:hAnsi="Arial"/>
          <w:sz w:val="17"/>
          <w:szCs w:val="17"/>
          <w:color w:val="000000"/>
        </w:rPr>
        <w:t>$1 million in the fourth quarter of 2023 and net favorable prior year reserve development of $1 million in the fourth quarter of 2022 related to business outside of the Specialty group that AFG no longer writes.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Losses and Loss Adjustment Expenses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AFG’s overall loss and LAE ratio was 60.8% for the fourth quarter of 2023 compared to 60.7% for the fourth quarter of 2022, an increase of</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0.1 percentage points. The components of AFG’s property and casualty losses and LAE amounts and ratio are detailed below (dollars in millions):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color w:val="auto"/>
              </w:rPr>
              <w:t>Three months ended December 31,</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Amount</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color w:val="auto"/>
              </w:rPr>
              <w:t>Ratio</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2023</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 in Ratio</w:t>
            </w:r>
          </w:p>
        </w:tc>
        <w:tc>
          <w:tcPr>
            <w:tcW w:w="0" w:type="dxa"/>
            <w:vAlign w:val="bottom"/>
          </w:tcPr>
          <w:p>
            <w:pPr>
              <w:spacing w:after="0"/>
              <w:rPr>
                <w:sz w:val="1"/>
                <w:szCs w:val="1"/>
                <w:color w:val="auto"/>
              </w:rPr>
            </w:pPr>
          </w:p>
        </w:tc>
      </w:tr>
      <w:tr>
        <w:trPr>
          <w:trHeight w:val="200"/>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Property and transportation</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80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479</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494</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70.2 %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72.6 %</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217"/>
        </w:trPr>
        <w:tc>
          <w:tcPr>
            <w:tcW w:w="58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62"/>
        </w:trPr>
        <w:tc>
          <w:tcPr>
            <w:tcW w:w="580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0.6 %</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1.0 %</w:t>
            </w:r>
          </w:p>
        </w:tc>
        <w:tc>
          <w:tcPr>
            <w:tcW w:w="1240" w:type="dxa"/>
            <w:vAlign w:val="bottom"/>
            <w:gridSpan w:val="2"/>
            <w:vMerge w:val="restart"/>
          </w:tcPr>
          <w:p>
            <w:pPr>
              <w:jc w:val="right"/>
              <w:spacing w:after="0"/>
              <w:rPr>
                <w:sz w:val="20"/>
                <w:szCs w:val="20"/>
                <w:color w:val="auto"/>
              </w:rPr>
            </w:pPr>
            <w:r>
              <w:rPr>
                <w:rFonts w:ascii="Arial" w:cs="Arial" w:eastAsia="Arial" w:hAnsi="Arial"/>
                <w:sz w:val="16"/>
                <w:szCs w:val="16"/>
                <w:color w:val="auto"/>
              </w:rPr>
              <w:t>(0.4 %)</w:t>
            </w:r>
          </w:p>
        </w:tc>
        <w:tc>
          <w:tcPr>
            <w:tcW w:w="0" w:type="dxa"/>
            <w:vAlign w:val="bottom"/>
          </w:tcPr>
          <w:p>
            <w:pPr>
              <w:spacing w:after="0"/>
              <w:rPr>
                <w:sz w:val="1"/>
                <w:szCs w:val="1"/>
                <w:color w:val="auto"/>
              </w:rPr>
            </w:pPr>
          </w:p>
        </w:tc>
      </w:tr>
      <w:tr>
        <w:trPr>
          <w:trHeight w:val="215"/>
        </w:trPr>
        <w:tc>
          <w:tcPr>
            <w:tcW w:w="58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8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Property and transportation losses and LAE and ratio</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71.8 %</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Specialty casualty</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466</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63.5 %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61.6 %</w:t>
            </w:r>
          </w:p>
        </w:tc>
        <w:tc>
          <w:tcPr>
            <w:tcW w:w="1240" w:type="dxa"/>
            <w:vAlign w:val="bottom"/>
            <w:gridSpan w:val="2"/>
          </w:tcPr>
          <w:p>
            <w:pPr>
              <w:jc w:val="right"/>
              <w:ind w:right="2"/>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17"/>
        </w:trPr>
        <w:tc>
          <w:tcPr>
            <w:tcW w:w="58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(7.3 %)</w:t>
            </w:r>
          </w:p>
        </w:tc>
        <w:tc>
          <w:tcPr>
            <w:tcW w:w="124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162"/>
        </w:trPr>
        <w:tc>
          <w:tcPr>
            <w:tcW w:w="580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14"/>
                <w:szCs w:val="14"/>
                <w:color w:val="auto"/>
              </w:rPr>
            </w:pPr>
          </w:p>
        </w:tc>
        <w:tc>
          <w:tcPr>
            <w:tcW w:w="1140" w:type="dxa"/>
            <w:vAlign w:val="bottom"/>
            <w:vMerge w:val="restart"/>
          </w:tcPr>
          <w:p>
            <w:pPr>
              <w:jc w:val="right"/>
              <w:ind w:right="2"/>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5"/>
        </w:trPr>
        <w:tc>
          <w:tcPr>
            <w:tcW w:w="58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8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Specialty casualty losses and LAE and ratio</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55.4 %</w:t>
            </w:r>
          </w:p>
        </w:tc>
        <w:tc>
          <w:tcPr>
            <w:tcW w:w="1240" w:type="dxa"/>
            <w:vAlign w:val="bottom"/>
            <w:tcBorders>
              <w:bottom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6"/>
                <w:szCs w:val="16"/>
                <w:color w:val="auto"/>
              </w:rPr>
              <w:t>4.2 %</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Specialty financial</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89</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36.2 %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36.0 %</w:t>
            </w:r>
          </w:p>
        </w:tc>
        <w:tc>
          <w:tcPr>
            <w:tcW w:w="1240" w:type="dxa"/>
            <w:vAlign w:val="bottom"/>
            <w:gridSpan w:val="2"/>
          </w:tcPr>
          <w:p>
            <w:pPr>
              <w:jc w:val="right"/>
              <w:ind w:right="2"/>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217"/>
        </w:trPr>
        <w:tc>
          <w:tcPr>
            <w:tcW w:w="58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124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0.7 %</w:t>
            </w:r>
          </w:p>
        </w:tc>
        <w:tc>
          <w:tcPr>
            <w:tcW w:w="0" w:type="dxa"/>
            <w:vAlign w:val="bottom"/>
          </w:tcPr>
          <w:p>
            <w:pPr>
              <w:spacing w:after="0"/>
              <w:rPr>
                <w:sz w:val="1"/>
                <w:szCs w:val="1"/>
                <w:color w:val="auto"/>
              </w:rPr>
            </w:pPr>
          </w:p>
        </w:tc>
      </w:tr>
      <w:tr>
        <w:trPr>
          <w:trHeight w:val="162"/>
        </w:trPr>
        <w:tc>
          <w:tcPr>
            <w:tcW w:w="580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1.9 %</w:t>
            </w:r>
          </w:p>
        </w:tc>
        <w:tc>
          <w:tcPr>
            <w:tcW w:w="1240" w:type="dxa"/>
            <w:vAlign w:val="bottom"/>
            <w:gridSpan w:val="2"/>
            <w:vMerge w:val="restart"/>
          </w:tcPr>
          <w:p>
            <w:pPr>
              <w:jc w:val="right"/>
              <w:ind w:right="2"/>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15"/>
        </w:trPr>
        <w:tc>
          <w:tcPr>
            <w:tcW w:w="58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8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Specialty financial losses and LAE and ratio</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33.8 %</w:t>
            </w:r>
          </w:p>
        </w:tc>
        <w:tc>
          <w:tcPr>
            <w:tcW w:w="1240" w:type="dxa"/>
            <w:vAlign w:val="bottom"/>
            <w:tcBorders>
              <w:bottom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Specialty</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1,085</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1,021</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62.6 %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63.5 %</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(0.9 %)</w:t>
            </w:r>
          </w:p>
        </w:tc>
        <w:tc>
          <w:tcPr>
            <w:tcW w:w="0" w:type="dxa"/>
            <w:vAlign w:val="bottom"/>
          </w:tcPr>
          <w:p>
            <w:pPr>
              <w:spacing w:after="0"/>
              <w:rPr>
                <w:sz w:val="1"/>
                <w:szCs w:val="1"/>
                <w:color w:val="auto"/>
              </w:rPr>
            </w:pPr>
          </w:p>
        </w:tc>
      </w:tr>
      <w:tr>
        <w:trPr>
          <w:trHeight w:val="217"/>
        </w:trPr>
        <w:tc>
          <w:tcPr>
            <w:tcW w:w="58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124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r>
        <w:trPr>
          <w:trHeight w:val="162"/>
        </w:trPr>
        <w:tc>
          <w:tcPr>
            <w:tcW w:w="580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0.9 %</w:t>
            </w:r>
          </w:p>
        </w:tc>
        <w:tc>
          <w:tcPr>
            <w:tcW w:w="1240" w:type="dxa"/>
            <w:vAlign w:val="bottom"/>
            <w:gridSpan w:val="2"/>
            <w:vMerge w:val="restart"/>
          </w:tcPr>
          <w:p>
            <w:pPr>
              <w:jc w:val="right"/>
              <w:ind w:right="2"/>
              <w:spacing w:after="0"/>
              <w:rPr>
                <w:sz w:val="20"/>
                <w:szCs w:val="20"/>
                <w:color w:val="auto"/>
              </w:rPr>
            </w:pPr>
            <w:r>
              <w:rPr>
                <w:rFonts w:ascii="Arial" w:cs="Arial" w:eastAsia="Arial" w:hAnsi="Arial"/>
                <w:sz w:val="16"/>
                <w:szCs w:val="16"/>
                <w:color w:val="auto"/>
              </w:rPr>
              <w:t>0.5 %</w:t>
            </w:r>
          </w:p>
        </w:tc>
        <w:tc>
          <w:tcPr>
            <w:tcW w:w="0" w:type="dxa"/>
            <w:vAlign w:val="bottom"/>
          </w:tcPr>
          <w:p>
            <w:pPr>
              <w:spacing w:after="0"/>
              <w:rPr>
                <w:sz w:val="1"/>
                <w:szCs w:val="1"/>
                <w:color w:val="auto"/>
              </w:rPr>
            </w:pPr>
          </w:p>
        </w:tc>
      </w:tr>
      <w:tr>
        <w:trPr>
          <w:trHeight w:val="215"/>
        </w:trPr>
        <w:tc>
          <w:tcPr>
            <w:tcW w:w="58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8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Specialty losses and LAE and ratio</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1,052</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987</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60.8 %</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Aggregate — including exited lines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1,085</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1,021</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62.6 %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63.5 %</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(0.9 %)</w:t>
            </w:r>
          </w:p>
        </w:tc>
        <w:tc>
          <w:tcPr>
            <w:tcW w:w="0" w:type="dxa"/>
            <w:vAlign w:val="bottom"/>
          </w:tcPr>
          <w:p>
            <w:pPr>
              <w:spacing w:after="0"/>
              <w:rPr>
                <w:sz w:val="1"/>
                <w:szCs w:val="1"/>
                <w:color w:val="auto"/>
              </w:rPr>
            </w:pPr>
          </w:p>
        </w:tc>
      </w:tr>
      <w:tr>
        <w:trPr>
          <w:trHeight w:val="217"/>
        </w:trPr>
        <w:tc>
          <w:tcPr>
            <w:tcW w:w="58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124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0.4 %</w:t>
            </w:r>
          </w:p>
        </w:tc>
        <w:tc>
          <w:tcPr>
            <w:tcW w:w="0" w:type="dxa"/>
            <w:vAlign w:val="bottom"/>
          </w:tcPr>
          <w:p>
            <w:pPr>
              <w:spacing w:after="0"/>
              <w:rPr>
                <w:sz w:val="1"/>
                <w:szCs w:val="1"/>
                <w:color w:val="auto"/>
              </w:rPr>
            </w:pPr>
          </w:p>
        </w:tc>
      </w:tr>
      <w:tr>
        <w:trPr>
          <w:trHeight w:val="162"/>
        </w:trPr>
        <w:tc>
          <w:tcPr>
            <w:tcW w:w="580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0.8 %</w:t>
            </w:r>
          </w:p>
        </w:tc>
        <w:tc>
          <w:tcPr>
            <w:tcW w:w="1240" w:type="dxa"/>
            <w:vAlign w:val="bottom"/>
            <w:gridSpan w:val="2"/>
            <w:vMerge w:val="restart"/>
          </w:tcPr>
          <w:p>
            <w:pPr>
              <w:jc w:val="right"/>
              <w:ind w:right="2"/>
              <w:spacing w:after="0"/>
              <w:rPr>
                <w:sz w:val="20"/>
                <w:szCs w:val="20"/>
                <w:color w:val="auto"/>
              </w:rPr>
            </w:pPr>
            <w:r>
              <w:rPr>
                <w:rFonts w:ascii="Arial" w:cs="Arial" w:eastAsia="Arial" w:hAnsi="Arial"/>
                <w:sz w:val="16"/>
                <w:szCs w:val="16"/>
                <w:color w:val="auto"/>
              </w:rPr>
              <w:t>0.6 %</w:t>
            </w:r>
          </w:p>
        </w:tc>
        <w:tc>
          <w:tcPr>
            <w:tcW w:w="0" w:type="dxa"/>
            <w:vAlign w:val="bottom"/>
          </w:tcPr>
          <w:p>
            <w:pPr>
              <w:spacing w:after="0"/>
              <w:rPr>
                <w:sz w:val="1"/>
                <w:szCs w:val="1"/>
                <w:color w:val="auto"/>
              </w:rPr>
            </w:pPr>
          </w:p>
        </w:tc>
      </w:tr>
      <w:tr>
        <w:trPr>
          <w:trHeight w:val="215"/>
        </w:trPr>
        <w:tc>
          <w:tcPr>
            <w:tcW w:w="58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8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Aggregate losses and LAE and ratio</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1,053</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986</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60.7 %</w:t>
            </w:r>
          </w:p>
        </w:tc>
        <w:tc>
          <w:tcPr>
            <w:tcW w:w="1240" w:type="dxa"/>
            <w:vAlign w:val="bottom"/>
            <w:tcBorders>
              <w:bottom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7"/>
          <w:szCs w:val="17"/>
          <w:i w:val="1"/>
          <w:iCs w:val="1"/>
          <w:color w:val="00274E"/>
        </w:rPr>
        <w:t>Current accident year losses and LAE, excluding catastrophe losses</w:t>
      </w:r>
    </w:p>
    <w:p>
      <w:pPr>
        <w:spacing w:after="0" w:line="21" w:lineRule="exact"/>
        <w:rPr>
          <w:sz w:val="20"/>
          <w:szCs w:val="20"/>
          <w:color w:val="auto"/>
        </w:rPr>
      </w:pPr>
    </w:p>
    <w:p>
      <w:pPr>
        <w:ind w:right="400"/>
        <w:spacing w:after="0" w:line="281" w:lineRule="auto"/>
        <w:rPr>
          <w:sz w:val="20"/>
          <w:szCs w:val="20"/>
          <w:color w:val="auto"/>
        </w:rPr>
      </w:pPr>
      <w:r>
        <w:rPr>
          <w:rFonts w:ascii="Arial" w:cs="Arial" w:eastAsia="Arial" w:hAnsi="Arial"/>
          <w:sz w:val="17"/>
          <w:szCs w:val="17"/>
          <w:color w:val="auto"/>
        </w:rPr>
        <w:t>The current accident year loss and LAE ratio, excluding catastrophe losses for AFG’s Specialty property and casualty insurance operations was 62.6% for the fourth quarter of 2023 compared to 63.5% in the fourth quarter of 2022, a decrease of 0.9 percentage points.</w:t>
      </w:r>
    </w:p>
    <w:p>
      <w:pPr>
        <w:spacing w:after="0" w:line="188" w:lineRule="exact"/>
        <w:rPr>
          <w:sz w:val="20"/>
          <w:szCs w:val="20"/>
          <w:color w:val="auto"/>
        </w:rPr>
      </w:pPr>
    </w:p>
    <w:p>
      <w:pPr>
        <w:jc w:val="both"/>
        <w:ind w:right="20"/>
        <w:spacing w:after="0" w:line="247" w:lineRule="auto"/>
        <w:rPr>
          <w:sz w:val="20"/>
          <w:szCs w:val="20"/>
          <w:color w:val="auto"/>
        </w:rPr>
      </w:pPr>
      <w:r>
        <w:rPr>
          <w:rFonts w:ascii="Arial" w:cs="Arial" w:eastAsia="Arial" w:hAnsi="Arial"/>
          <w:sz w:val="20"/>
          <w:szCs w:val="20"/>
          <w:b w:val="1"/>
          <w:bCs w:val="1"/>
          <w:i w:val="1"/>
          <w:iCs w:val="1"/>
          <w:color w:val="00274E"/>
        </w:rPr>
        <w:t xml:space="preserve">Property and transportation </w:t>
      </w:r>
      <w:r>
        <w:rPr>
          <w:rFonts w:ascii="Arial" w:cs="Arial" w:eastAsia="Arial" w:hAnsi="Arial"/>
          <w:sz w:val="17"/>
          <w:szCs w:val="17"/>
          <w:color w:val="000000"/>
        </w:rPr>
        <w:t>The 2.4 percentage points decrease in the loss and LAE ratio for the current year, excluding catastrophe losses,</w:t>
      </w:r>
      <w:r>
        <w:rPr>
          <w:rFonts w:ascii="Arial" w:cs="Arial" w:eastAsia="Arial" w:hAnsi="Arial"/>
          <w:sz w:val="20"/>
          <w:szCs w:val="20"/>
          <w:b w:val="1"/>
          <w:bCs w:val="1"/>
          <w:i w:val="1"/>
          <w:iCs w:val="1"/>
          <w:color w:val="00274E"/>
        </w:rPr>
        <w:t xml:space="preserve"> </w:t>
      </w:r>
      <w:r>
        <w:rPr>
          <w:rFonts w:ascii="Arial" w:cs="Arial" w:eastAsia="Arial" w:hAnsi="Arial"/>
          <w:sz w:val="17"/>
          <w:szCs w:val="17"/>
          <w:color w:val="000000"/>
        </w:rPr>
        <w:t>is due primarily to the impact of lower claim severity in the property and inland marine and certain transportation businesses, partially offset by lower profitability in the crop business.</w:t>
      </w:r>
    </w:p>
    <w:p>
      <w:pPr>
        <w:spacing w:after="0" w:line="216" w:lineRule="exact"/>
        <w:rPr>
          <w:sz w:val="20"/>
          <w:szCs w:val="20"/>
          <w:color w:val="auto"/>
        </w:rPr>
      </w:pPr>
    </w:p>
    <w:p>
      <w:pPr>
        <w:ind w:right="200"/>
        <w:spacing w:after="0" w:line="247" w:lineRule="auto"/>
        <w:rPr>
          <w:sz w:val="20"/>
          <w:szCs w:val="20"/>
          <w:color w:val="auto"/>
        </w:rPr>
      </w:pPr>
      <w:r>
        <w:rPr>
          <w:rFonts w:ascii="Arial" w:cs="Arial" w:eastAsia="Arial" w:hAnsi="Arial"/>
          <w:sz w:val="20"/>
          <w:szCs w:val="20"/>
          <w:b w:val="1"/>
          <w:bCs w:val="1"/>
          <w:i w:val="1"/>
          <w:iCs w:val="1"/>
          <w:color w:val="00274E"/>
        </w:rPr>
        <w:t xml:space="preserve">Specialty casualty </w:t>
      </w:r>
      <w:r>
        <w:rPr>
          <w:rFonts w:ascii="Arial" w:cs="Arial" w:eastAsia="Arial" w:hAnsi="Arial"/>
          <w:sz w:val="17"/>
          <w:szCs w:val="17"/>
          <w:color w:val="000000"/>
        </w:rPr>
        <w:t>The 1.9 percentage points increase in the loss and LAE ratio for the current year, excluding catastrophe losses, reflects</w:t>
      </w:r>
      <w:r>
        <w:rPr>
          <w:rFonts w:ascii="Arial" w:cs="Arial" w:eastAsia="Arial" w:hAnsi="Arial"/>
          <w:sz w:val="20"/>
          <w:szCs w:val="20"/>
          <w:b w:val="1"/>
          <w:bCs w:val="1"/>
          <w:i w:val="1"/>
          <w:iCs w:val="1"/>
          <w:color w:val="00274E"/>
        </w:rPr>
        <w:t xml:space="preserve"> </w:t>
      </w:r>
      <w:r>
        <w:rPr>
          <w:rFonts w:ascii="Arial" w:cs="Arial" w:eastAsia="Arial" w:hAnsi="Arial"/>
          <w:sz w:val="17"/>
          <w:szCs w:val="17"/>
          <w:color w:val="000000"/>
        </w:rPr>
        <w:t>anticipated medical cost inflation and the impact of pressure on rates in the workers’ compensation businesses and higher claim severity in certain liability coverages, partially offset by lower claim frequency in the executive liability business.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0" w:name="page61"/>
    <w:bookmarkEnd w:id="6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00"/>
        <w:spacing w:after="0" w:line="247" w:lineRule="auto"/>
        <w:rPr>
          <w:sz w:val="20"/>
          <w:szCs w:val="20"/>
          <w:color w:val="auto"/>
        </w:rPr>
      </w:pPr>
      <w:r>
        <w:rPr>
          <w:rFonts w:ascii="Arial" w:cs="Arial" w:eastAsia="Arial" w:hAnsi="Arial"/>
          <w:sz w:val="20"/>
          <w:szCs w:val="20"/>
          <w:b w:val="1"/>
          <w:bCs w:val="1"/>
          <w:i w:val="1"/>
          <w:iCs w:val="1"/>
          <w:color w:val="00274E"/>
        </w:rPr>
        <w:t xml:space="preserve">Specialty financial </w:t>
      </w:r>
      <w:r>
        <w:rPr>
          <w:rFonts w:ascii="Arial" w:cs="Arial" w:eastAsia="Arial" w:hAnsi="Arial"/>
          <w:sz w:val="17"/>
          <w:szCs w:val="17"/>
          <w:color w:val="000000"/>
        </w:rPr>
        <w:t>The 0.2 percentage points increase in the loss and LAE ratio for the current year, excluding catastrophe losses, reflects an</w:t>
      </w:r>
      <w:r>
        <w:rPr>
          <w:rFonts w:ascii="Arial" w:cs="Arial" w:eastAsia="Arial" w:hAnsi="Arial"/>
          <w:sz w:val="20"/>
          <w:szCs w:val="20"/>
          <w:b w:val="1"/>
          <w:bCs w:val="1"/>
          <w:i w:val="1"/>
          <w:iCs w:val="1"/>
          <w:color w:val="00274E"/>
        </w:rPr>
        <w:t xml:space="preserve"> </w:t>
      </w:r>
      <w:r>
        <w:rPr>
          <w:rFonts w:ascii="Arial" w:cs="Arial" w:eastAsia="Arial" w:hAnsi="Arial"/>
          <w:sz w:val="17"/>
          <w:szCs w:val="17"/>
          <w:color w:val="000000"/>
        </w:rPr>
        <w:t>increase in claim severity in the innovative markets business, partially offset by lower claim frequency and growth in the financial institutions business, which has a lower loss and LAE ratio than some of the other businesses in the Specialty financial sub-segment.</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00274E"/>
        </w:rPr>
        <w:t>Net prior year reserve development</w:t>
      </w:r>
    </w:p>
    <w:p>
      <w:pPr>
        <w:spacing w:after="0" w:line="21" w:lineRule="exact"/>
        <w:rPr>
          <w:sz w:val="20"/>
          <w:szCs w:val="20"/>
          <w:color w:val="auto"/>
        </w:rPr>
      </w:pPr>
    </w:p>
    <w:p>
      <w:pPr>
        <w:ind w:right="800"/>
        <w:spacing w:after="0" w:line="264" w:lineRule="auto"/>
        <w:rPr>
          <w:sz w:val="20"/>
          <w:szCs w:val="20"/>
          <w:color w:val="auto"/>
        </w:rPr>
      </w:pPr>
      <w:r>
        <w:rPr>
          <w:rFonts w:ascii="Arial" w:cs="Arial" w:eastAsia="Arial" w:hAnsi="Arial"/>
          <w:sz w:val="17"/>
          <w:szCs w:val="17"/>
          <w:color w:val="auto"/>
        </w:rPr>
        <w:t>AFG’s Specialty property and casualty insurance operations recorded net favorable reserve development related to prior accident years of $57 million in the fourth quarter of 2023 compared to $58 million in the fourth quarter of 2022, a decrease of $1 million (2%).</w:t>
      </w:r>
    </w:p>
    <w:p>
      <w:pPr>
        <w:spacing w:after="0" w:line="216"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b w:val="1"/>
          <w:bCs w:val="1"/>
          <w:i w:val="1"/>
          <w:iCs w:val="1"/>
          <w:color w:val="00274E"/>
        </w:rPr>
        <w:t xml:space="preserve">Property and transportation </w:t>
      </w:r>
      <w:r>
        <w:rPr>
          <w:rFonts w:ascii="Arial" w:cs="Arial" w:eastAsia="Arial" w:hAnsi="Arial"/>
          <w:sz w:val="17"/>
          <w:szCs w:val="17"/>
          <w:color w:val="000000"/>
        </w:rPr>
        <w:t>Net favorable reserve development of $12 million in the fourth quarter of 2023 reflects lower than anticipated</w:t>
      </w:r>
      <w:r>
        <w:rPr>
          <w:rFonts w:ascii="Arial" w:cs="Arial" w:eastAsia="Arial" w:hAnsi="Arial"/>
          <w:sz w:val="20"/>
          <w:szCs w:val="20"/>
          <w:b w:val="1"/>
          <w:bCs w:val="1"/>
          <w:i w:val="1"/>
          <w:iCs w:val="1"/>
          <w:color w:val="00274E"/>
        </w:rPr>
        <w:t xml:space="preserve"> </w:t>
      </w:r>
      <w:r>
        <w:rPr>
          <w:rFonts w:ascii="Arial" w:cs="Arial" w:eastAsia="Arial" w:hAnsi="Arial"/>
          <w:sz w:val="17"/>
          <w:szCs w:val="17"/>
          <w:color w:val="000000"/>
        </w:rPr>
        <w:t>losses in the crop business and lower than expected claim frequency in the ocean marine and property and inland marine businesses. Net favorable reserve development of $13 million in the fourth quarter of 2022 reflects lower than expected claim severity in the ocean marine, aviation and property and inland marine businesses and lower than anticipated claim frequency in the trucking business.</w:t>
      </w:r>
    </w:p>
    <w:p>
      <w:pPr>
        <w:spacing w:after="0" w:line="218" w:lineRule="exact"/>
        <w:rPr>
          <w:sz w:val="20"/>
          <w:szCs w:val="20"/>
          <w:color w:val="auto"/>
        </w:rPr>
      </w:pPr>
    </w:p>
    <w:p>
      <w:pPr>
        <w:ind w:right="100"/>
        <w:spacing w:after="0" w:line="247" w:lineRule="auto"/>
        <w:rPr>
          <w:sz w:val="20"/>
          <w:szCs w:val="20"/>
          <w:color w:val="auto"/>
        </w:rPr>
      </w:pPr>
      <w:r>
        <w:rPr>
          <w:rFonts w:ascii="Arial" w:cs="Arial" w:eastAsia="Arial" w:hAnsi="Arial"/>
          <w:sz w:val="20"/>
          <w:szCs w:val="20"/>
          <w:b w:val="1"/>
          <w:bCs w:val="1"/>
          <w:i w:val="1"/>
          <w:iCs w:val="1"/>
          <w:color w:val="00274E"/>
        </w:rPr>
        <w:t xml:space="preserve">Specialty casualty </w:t>
      </w:r>
      <w:r>
        <w:rPr>
          <w:rFonts w:ascii="Arial" w:cs="Arial" w:eastAsia="Arial" w:hAnsi="Arial"/>
          <w:sz w:val="17"/>
          <w:szCs w:val="17"/>
          <w:color w:val="000000"/>
        </w:rPr>
        <w:t>Net favorable reserve development of $37 million in the fourth quarter of 2023 reflects lower than anticipated claim severity</w:t>
      </w:r>
      <w:r>
        <w:rPr>
          <w:rFonts w:ascii="Arial" w:cs="Arial" w:eastAsia="Arial" w:hAnsi="Arial"/>
          <w:sz w:val="20"/>
          <w:szCs w:val="20"/>
          <w:b w:val="1"/>
          <w:bCs w:val="1"/>
          <w:i w:val="1"/>
          <w:iCs w:val="1"/>
          <w:color w:val="00274E"/>
        </w:rPr>
        <w:t xml:space="preserve"> </w:t>
      </w:r>
      <w:r>
        <w:rPr>
          <w:rFonts w:ascii="Arial" w:cs="Arial" w:eastAsia="Arial" w:hAnsi="Arial"/>
          <w:sz w:val="17"/>
          <w:szCs w:val="17"/>
          <w:color w:val="000000"/>
        </w:rPr>
        <w:t>in the workers’ compensation businesses, partially offset by higher than anticipated claim severity in the excess and surplus business and higher than expected claim frequency and severity in the excess liability and general liability businesses. Net favorable reserve development of $50 million in the fourth quarter of 2022 reflects lower than anticipated claim frequency and severity in the workers’ compensation and excess and surplus businesses and lower than expected claim frequency in the executive liability business.</w:t>
      </w:r>
    </w:p>
    <w:p>
      <w:pPr>
        <w:spacing w:after="0" w:line="219" w:lineRule="exact"/>
        <w:rPr>
          <w:sz w:val="20"/>
          <w:szCs w:val="20"/>
          <w:color w:val="auto"/>
        </w:rPr>
      </w:pPr>
    </w:p>
    <w:p>
      <w:pPr>
        <w:spacing w:after="0" w:line="247" w:lineRule="auto"/>
        <w:rPr>
          <w:sz w:val="20"/>
          <w:szCs w:val="20"/>
          <w:color w:val="auto"/>
        </w:rPr>
      </w:pPr>
      <w:r>
        <w:rPr>
          <w:rFonts w:ascii="Arial" w:cs="Arial" w:eastAsia="Arial" w:hAnsi="Arial"/>
          <w:sz w:val="20"/>
          <w:szCs w:val="20"/>
          <w:b w:val="1"/>
          <w:bCs w:val="1"/>
          <w:i w:val="1"/>
          <w:iCs w:val="1"/>
          <w:color w:val="00274E"/>
        </w:rPr>
        <w:t xml:space="preserve">Specialty financial </w:t>
      </w:r>
      <w:r>
        <w:rPr>
          <w:rFonts w:ascii="Arial" w:cs="Arial" w:eastAsia="Arial" w:hAnsi="Arial"/>
          <w:sz w:val="17"/>
          <w:szCs w:val="17"/>
          <w:color w:val="000000"/>
        </w:rPr>
        <w:t>Net favorable reserve development of $8 million in the fourth quarter of 2023 reflects lower than anticipated claim frequency</w:t>
      </w:r>
      <w:r>
        <w:rPr>
          <w:rFonts w:ascii="Arial" w:cs="Arial" w:eastAsia="Arial" w:hAnsi="Arial"/>
          <w:sz w:val="20"/>
          <w:szCs w:val="20"/>
          <w:b w:val="1"/>
          <w:bCs w:val="1"/>
          <w:i w:val="1"/>
          <w:iCs w:val="1"/>
          <w:color w:val="00274E"/>
        </w:rPr>
        <w:t xml:space="preserve"> </w:t>
      </w:r>
      <w:r>
        <w:rPr>
          <w:rFonts w:ascii="Arial" w:cs="Arial" w:eastAsia="Arial" w:hAnsi="Arial"/>
          <w:sz w:val="17"/>
          <w:szCs w:val="17"/>
          <w:color w:val="000000"/>
        </w:rPr>
        <w:t>and severity in the fidelity business and lower than expected claim frequency in the financial institutions and trade credit businesses. Net favorable reserve development of $8 million in the fourth quarter of 2022 reflects lower than anticipated claim frequency in the trade credit and financial institutions businesses.</w:t>
      </w:r>
    </w:p>
    <w:p>
      <w:pPr>
        <w:spacing w:after="0" w:line="218"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b w:val="1"/>
          <w:bCs w:val="1"/>
          <w:i w:val="1"/>
          <w:iCs w:val="1"/>
          <w:color w:val="00274E"/>
        </w:rPr>
        <w:t xml:space="preserve">Other specialty </w:t>
      </w:r>
      <w:r>
        <w:rPr>
          <w:rFonts w:ascii="Arial" w:cs="Arial" w:eastAsia="Arial" w:hAnsi="Arial"/>
          <w:sz w:val="17"/>
          <w:szCs w:val="17"/>
          <w:color w:val="000000"/>
        </w:rPr>
        <w:t>In addition to the development discussed above, total Specialty prior year reserve development includes net adverse reserve</w:t>
      </w:r>
      <w:r>
        <w:rPr>
          <w:rFonts w:ascii="Arial" w:cs="Arial" w:eastAsia="Arial" w:hAnsi="Arial"/>
          <w:sz w:val="20"/>
          <w:szCs w:val="20"/>
          <w:b w:val="1"/>
          <w:bCs w:val="1"/>
          <w:i w:val="1"/>
          <w:iCs w:val="1"/>
          <w:color w:val="00274E"/>
        </w:rPr>
        <w:t xml:space="preserve"> </w:t>
      </w:r>
      <w:r>
        <w:rPr>
          <w:rFonts w:ascii="Arial" w:cs="Arial" w:eastAsia="Arial" w:hAnsi="Arial"/>
          <w:sz w:val="17"/>
          <w:szCs w:val="17"/>
          <w:color w:val="000000"/>
        </w:rPr>
        <w:t>development of less than $1 million in the fourth quarter of 2023 and $13 million in the fourth quarter of 2022. The fourth quarter of 2022 reflects net adverse reserve development associated with AFG’s internal reinsurance program (primarily from social inflation exposed casualty businesses) and, to a lesser extent, both periods reflect the amortization of the deferred gain on the retroactive reinsurance transaction entered into in connection with the sale of a business in 1998.</w:t>
      </w:r>
    </w:p>
    <w:p>
      <w:pPr>
        <w:spacing w:after="0" w:line="233" w:lineRule="exact"/>
        <w:rPr>
          <w:sz w:val="20"/>
          <w:szCs w:val="20"/>
          <w:color w:val="auto"/>
        </w:rPr>
      </w:pPr>
    </w:p>
    <w:p>
      <w:pPr>
        <w:jc w:val="both"/>
        <w:ind w:right="380"/>
        <w:spacing w:after="0"/>
        <w:rPr>
          <w:sz w:val="20"/>
          <w:szCs w:val="20"/>
          <w:color w:val="auto"/>
        </w:rPr>
      </w:pPr>
      <w:r>
        <w:rPr>
          <w:rFonts w:ascii="Arial" w:cs="Arial" w:eastAsia="Arial" w:hAnsi="Arial"/>
          <w:sz w:val="20"/>
          <w:szCs w:val="20"/>
          <w:b w:val="1"/>
          <w:bCs w:val="1"/>
          <w:i w:val="1"/>
          <w:iCs w:val="1"/>
          <w:color w:val="00274E"/>
        </w:rPr>
        <w:t xml:space="preserve">Aggregate </w:t>
      </w:r>
      <w:r>
        <w:rPr>
          <w:rFonts w:ascii="Arial" w:cs="Arial" w:eastAsia="Arial" w:hAnsi="Arial"/>
          <w:sz w:val="17"/>
          <w:szCs w:val="17"/>
          <w:color w:val="000000"/>
        </w:rPr>
        <w:t>Aggregate net prior accident years reserve development for AFG’s property and casualty insurance segment includes net adverse</w:t>
      </w:r>
      <w:r>
        <w:rPr>
          <w:rFonts w:ascii="Arial" w:cs="Arial" w:eastAsia="Arial" w:hAnsi="Arial"/>
          <w:sz w:val="20"/>
          <w:szCs w:val="20"/>
          <w:b w:val="1"/>
          <w:bCs w:val="1"/>
          <w:i w:val="1"/>
          <w:iCs w:val="1"/>
          <w:color w:val="00274E"/>
        </w:rPr>
        <w:t xml:space="preserve"> </w:t>
      </w:r>
      <w:r>
        <w:rPr>
          <w:rFonts w:ascii="Arial" w:cs="Arial" w:eastAsia="Arial" w:hAnsi="Arial"/>
          <w:sz w:val="17"/>
          <w:szCs w:val="17"/>
          <w:color w:val="000000"/>
        </w:rPr>
        <w:t>reserve development of $1 million in the fourth quarter of 2023 and net favorable reserve development of $1 million in the fourth quarter of 2022 related to business outside of the Specialty group that AFG no longer writes.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i w:val="1"/>
          <w:iCs w:val="1"/>
          <w:color w:val="00274E"/>
        </w:rPr>
        <w:t>Catastrophe losses</w:t>
      </w:r>
    </w:p>
    <w:p>
      <w:pPr>
        <w:spacing w:after="0" w:line="21" w:lineRule="exact"/>
        <w:rPr>
          <w:sz w:val="20"/>
          <w:szCs w:val="20"/>
          <w:color w:val="auto"/>
        </w:rPr>
      </w:pPr>
    </w:p>
    <w:p>
      <w:pPr>
        <w:ind w:right="180"/>
        <w:spacing w:after="0" w:line="254" w:lineRule="auto"/>
        <w:rPr>
          <w:sz w:val="20"/>
          <w:szCs w:val="20"/>
          <w:color w:val="auto"/>
        </w:rPr>
      </w:pPr>
      <w:r>
        <w:rPr>
          <w:rFonts w:ascii="Arial" w:cs="Arial" w:eastAsia="Arial" w:hAnsi="Arial"/>
          <w:sz w:val="17"/>
          <w:szCs w:val="17"/>
          <w:color w:val="auto"/>
        </w:rPr>
        <w:t>AFG generally seeks to reduce its exposure to catastrophes (whether resulting from climate change or otherwise) through individual risk selection, including minimizing coastal and known fault-line exposures, and the purchase of reinsurance. Based on data available at December 31, 2023, AFG’s exposure to a catastrophic earthquake or windstorm that industry models indicate should statistically occur once in every 100, 250 or 500 years as a percentage of AFG’s Shareholders’ Equity is shown below:</w:t>
      </w:r>
    </w:p>
    <w:p>
      <w:pPr>
        <w:spacing w:after="0" w:line="102" w:lineRule="exact"/>
        <w:rPr>
          <w:sz w:val="20"/>
          <w:szCs w:val="20"/>
          <w:color w:val="auto"/>
        </w:rPr>
      </w:pPr>
    </w:p>
    <w:tbl>
      <w:tblPr>
        <w:tblLayout w:type="fixed"/>
        <w:tblInd w:w="3200" w:type="dxa"/>
        <w:tblCellMar>
          <w:top w:w="0" w:type="dxa"/>
          <w:left w:w="0" w:type="dxa"/>
          <w:bottom w:w="0" w:type="dxa"/>
          <w:right w:w="0" w:type="dxa"/>
        </w:tblCellMar>
      </w:tblPr>
      <w:tr>
        <w:trPr>
          <w:trHeight w:val="161"/>
        </w:trPr>
        <w:tc>
          <w:tcPr>
            <w:tcW w:w="166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rPr>
              <w:t>Industry Model</w:t>
            </w:r>
          </w:p>
        </w:tc>
        <w:tc>
          <w:tcPr>
            <w:tcW w:w="3160" w:type="dxa"/>
            <w:vAlign w:val="bottom"/>
          </w:tcPr>
          <w:p>
            <w:pPr>
              <w:jc w:val="center"/>
              <w:spacing w:after="0"/>
              <w:rPr>
                <w:sz w:val="20"/>
                <w:szCs w:val="20"/>
                <w:color w:val="auto"/>
              </w:rPr>
            </w:pPr>
            <w:r>
              <w:rPr>
                <w:rFonts w:ascii="Arial" w:cs="Arial" w:eastAsia="Arial" w:hAnsi="Arial"/>
                <w:sz w:val="14"/>
                <w:szCs w:val="14"/>
                <w:color w:val="auto"/>
              </w:rPr>
              <w:t>Approximate impact of modeled loss</w:t>
            </w:r>
          </w:p>
        </w:tc>
        <w:tc>
          <w:tcPr>
            <w:tcW w:w="0" w:type="dxa"/>
            <w:vAlign w:val="bottom"/>
          </w:tcPr>
          <w:p>
            <w:pPr>
              <w:spacing w:after="0"/>
              <w:rPr>
                <w:sz w:val="1"/>
                <w:szCs w:val="1"/>
                <w:color w:val="auto"/>
              </w:rPr>
            </w:pPr>
          </w:p>
        </w:tc>
      </w:tr>
      <w:tr>
        <w:trPr>
          <w:trHeight w:val="185"/>
        </w:trPr>
        <w:tc>
          <w:tcPr>
            <w:tcW w:w="1660" w:type="dxa"/>
            <w:vAlign w:val="bottom"/>
            <w:gridSpan w:val="2"/>
            <w:vMerge w:val="continue"/>
          </w:tcPr>
          <w:p>
            <w:pPr>
              <w:spacing w:after="0"/>
              <w:rPr>
                <w:sz w:val="16"/>
                <w:szCs w:val="16"/>
                <w:color w:val="auto"/>
              </w:rPr>
            </w:pPr>
          </w:p>
        </w:tc>
        <w:tc>
          <w:tcPr>
            <w:tcW w:w="3160" w:type="dxa"/>
            <w:vAlign w:val="bottom"/>
          </w:tcPr>
          <w:p>
            <w:pPr>
              <w:jc w:val="center"/>
              <w:spacing w:after="0"/>
              <w:rPr>
                <w:sz w:val="20"/>
                <w:szCs w:val="20"/>
                <w:color w:val="auto"/>
              </w:rPr>
            </w:pPr>
            <w:r>
              <w:rPr>
                <w:rFonts w:ascii="Arial" w:cs="Arial" w:eastAsia="Arial" w:hAnsi="Arial"/>
                <w:sz w:val="14"/>
                <w:szCs w:val="14"/>
                <w:color w:val="auto"/>
              </w:rPr>
              <w:t>on AFG’s Shareholders’ Equity</w:t>
            </w:r>
          </w:p>
        </w:tc>
        <w:tc>
          <w:tcPr>
            <w:tcW w:w="0" w:type="dxa"/>
            <w:vAlign w:val="bottom"/>
          </w:tcPr>
          <w:p>
            <w:pPr>
              <w:spacing w:after="0"/>
              <w:rPr>
                <w:sz w:val="1"/>
                <w:szCs w:val="1"/>
                <w:color w:val="auto"/>
              </w:rPr>
            </w:pPr>
          </w:p>
        </w:tc>
      </w:tr>
      <w:tr>
        <w:trPr>
          <w:trHeight w:val="210"/>
        </w:trPr>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100-year event</w:t>
            </w:r>
          </w:p>
        </w:tc>
        <w:tc>
          <w:tcPr>
            <w:tcW w:w="80" w:type="dxa"/>
            <w:vAlign w:val="bottom"/>
            <w:tcBorders>
              <w:top w:val="single" w:sz="8" w:color="CCEEFF"/>
            </w:tcBorders>
            <w:shd w:val="clear" w:color="auto" w:fill="CCEEFF"/>
          </w:tcPr>
          <w:p>
            <w:pPr>
              <w:spacing w:after="0"/>
              <w:rPr>
                <w:sz w:val="18"/>
                <w:szCs w:val="18"/>
                <w:color w:val="auto"/>
              </w:rPr>
            </w:pPr>
          </w:p>
        </w:tc>
        <w:tc>
          <w:tcPr>
            <w:tcW w:w="3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2%</w:t>
            </w:r>
          </w:p>
        </w:tc>
        <w:tc>
          <w:tcPr>
            <w:tcW w:w="0" w:type="dxa"/>
            <w:vAlign w:val="bottom"/>
          </w:tcPr>
          <w:p>
            <w:pPr>
              <w:spacing w:after="0"/>
              <w:rPr>
                <w:sz w:val="1"/>
                <w:szCs w:val="1"/>
                <w:color w:val="auto"/>
              </w:rPr>
            </w:pPr>
          </w:p>
        </w:tc>
      </w:tr>
      <w:tr>
        <w:trPr>
          <w:trHeight w:val="215"/>
        </w:trPr>
        <w:tc>
          <w:tcPr>
            <w:tcW w:w="1660" w:type="dxa"/>
            <w:vAlign w:val="bottom"/>
            <w:gridSpan w:val="2"/>
          </w:tcPr>
          <w:p>
            <w:pPr>
              <w:jc w:val="center"/>
              <w:ind w:right="60"/>
              <w:spacing w:after="0"/>
              <w:rPr>
                <w:sz w:val="20"/>
                <w:szCs w:val="20"/>
                <w:color w:val="auto"/>
              </w:rPr>
            </w:pPr>
            <w:r>
              <w:rPr>
                <w:rFonts w:ascii="Arial" w:cs="Arial" w:eastAsia="Arial" w:hAnsi="Arial"/>
                <w:sz w:val="16"/>
                <w:szCs w:val="16"/>
                <w:color w:val="auto"/>
              </w:rPr>
              <w:t>250-year event</w:t>
            </w:r>
          </w:p>
        </w:tc>
        <w:tc>
          <w:tcPr>
            <w:tcW w:w="3160" w:type="dxa"/>
            <w:vAlign w:val="bottom"/>
          </w:tcPr>
          <w:p>
            <w:pPr>
              <w:jc w:val="center"/>
              <w:spacing w:after="0"/>
              <w:rPr>
                <w:sz w:val="20"/>
                <w:szCs w:val="20"/>
                <w:color w:val="auto"/>
              </w:rPr>
            </w:pPr>
            <w:r>
              <w:rPr>
                <w:rFonts w:ascii="Arial" w:cs="Arial" w:eastAsia="Arial" w:hAnsi="Arial"/>
                <w:sz w:val="16"/>
                <w:szCs w:val="16"/>
                <w:color w:val="auto"/>
                <w:w w:val="94"/>
              </w:rPr>
              <w:t>2%</w:t>
            </w:r>
          </w:p>
        </w:tc>
        <w:tc>
          <w:tcPr>
            <w:tcW w:w="0" w:type="dxa"/>
            <w:vAlign w:val="bottom"/>
          </w:tcPr>
          <w:p>
            <w:pPr>
              <w:spacing w:after="0"/>
              <w:rPr>
                <w:sz w:val="1"/>
                <w:szCs w:val="1"/>
                <w:color w:val="auto"/>
              </w:rPr>
            </w:pPr>
          </w:p>
        </w:tc>
      </w:tr>
      <w:tr>
        <w:trPr>
          <w:trHeight w:val="217"/>
        </w:trPr>
        <w:tc>
          <w:tcPr>
            <w:tcW w:w="166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rPr>
              <w:t>500-year event</w:t>
            </w:r>
          </w:p>
        </w:tc>
        <w:tc>
          <w:tcPr>
            <w:tcW w:w="3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2%</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Catastrophe losses of $24 million (before net reinstatement premiums) in the fourth quarter of 2023 resulted primarily from storms in multiple regions of the United States. Catastrophe losses of $24 million (before net reinstatement premiums) in the fourth quarter of 2022 resulted primarily from Winter Storm Elliott.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1" w:name="page62"/>
    <w:bookmarkEnd w:id="6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Commissions and Other Underwriting Expenses</w:t>
      </w:r>
    </w:p>
    <w:p>
      <w:pPr>
        <w:spacing w:after="0" w:line="30"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AFG’s property and casualty commissions and other underwriting expenses (“U/W Exp”) were $468 million in the fourth quarter of 2023 compared to $419 million for the fourth quarter of 2022, an increase of $49 million (12%). AFG’s underwriting expense ratio, calculated as commissions and other underwriting expenses divided by net premiums earned, was 27.0% for the fourth quarter of 2023 compared to 25.8% for the fourth quarter of 2022, an increase of 1.2 percentage points. Detail of AFG’s property and casualty commissions and other underwriting expenses and underwriting expense ratios is shown below (dollars 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4"/>
                <w:szCs w:val="14"/>
                <w:color w:val="auto"/>
              </w:rPr>
              <w:t>Three months ended December 31,</w:t>
            </w: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
          </w:tcPr>
          <w:p>
            <w:pPr>
              <w:jc w:val="right"/>
              <w:ind w:right="904"/>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2022</w:t>
            </w:r>
          </w:p>
        </w:tc>
        <w:tc>
          <w:tcPr>
            <w:tcW w:w="9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vMerge w:val="restart"/>
          </w:tcPr>
          <w:p>
            <w:pPr>
              <w:jc w:val="right"/>
              <w:ind w:right="5"/>
              <w:spacing w:after="0"/>
              <w:rPr>
                <w:sz w:val="20"/>
                <w:szCs w:val="20"/>
                <w:color w:val="auto"/>
              </w:rPr>
            </w:pPr>
            <w:r>
              <w:rPr>
                <w:rFonts w:ascii="Arial" w:cs="Arial" w:eastAsia="Arial" w:hAnsi="Arial"/>
                <w:sz w:val="14"/>
                <w:szCs w:val="14"/>
                <w:color w:val="auto"/>
              </w:rPr>
              <w:t>Change in % of</w:t>
            </w:r>
          </w:p>
        </w:tc>
        <w:tc>
          <w:tcPr>
            <w:tcW w:w="0" w:type="dxa"/>
            <w:vAlign w:val="bottom"/>
          </w:tcPr>
          <w:p>
            <w:pPr>
              <w:spacing w:after="0"/>
              <w:rPr>
                <w:sz w:val="1"/>
                <w:szCs w:val="1"/>
                <w:color w:val="auto"/>
              </w:rPr>
            </w:pPr>
          </w:p>
        </w:tc>
      </w:tr>
      <w:tr>
        <w:trPr>
          <w:trHeight w:val="56"/>
        </w:trPr>
        <w:tc>
          <w:tcPr>
            <w:tcW w:w="5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vMerge w:val="restart"/>
          </w:tcPr>
          <w:p>
            <w:pPr>
              <w:jc w:val="right"/>
              <w:ind w:right="222"/>
              <w:spacing w:after="0"/>
              <w:rPr>
                <w:sz w:val="20"/>
                <w:szCs w:val="20"/>
                <w:color w:val="auto"/>
              </w:rPr>
            </w:pPr>
            <w:r>
              <w:rPr>
                <w:rFonts w:ascii="Arial" w:cs="Arial" w:eastAsia="Arial" w:hAnsi="Arial"/>
                <w:sz w:val="14"/>
                <w:szCs w:val="14"/>
                <w:color w:val="auto"/>
              </w:rPr>
              <w:t>U/W Exp</w:t>
            </w:r>
          </w:p>
        </w:tc>
        <w:tc>
          <w:tcPr>
            <w:tcW w:w="80" w:type="dxa"/>
            <w:vAlign w:val="bottom"/>
          </w:tcPr>
          <w:p>
            <w:pPr>
              <w:spacing w:after="0"/>
              <w:rPr>
                <w:sz w:val="4"/>
                <w:szCs w:val="4"/>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4"/>
                <w:szCs w:val="14"/>
                <w:color w:val="auto"/>
              </w:rPr>
              <w:t>% of NEP</w:t>
            </w:r>
          </w:p>
        </w:tc>
        <w:tc>
          <w:tcPr>
            <w:tcW w:w="220" w:type="dxa"/>
            <w:vAlign w:val="bottom"/>
          </w:tcPr>
          <w:p>
            <w:pPr>
              <w:spacing w:after="0"/>
              <w:rPr>
                <w:sz w:val="4"/>
                <w:szCs w:val="4"/>
                <w:color w:val="auto"/>
              </w:rPr>
            </w:pPr>
          </w:p>
        </w:tc>
        <w:tc>
          <w:tcPr>
            <w:tcW w:w="1160" w:type="dxa"/>
            <w:vAlign w:val="bottom"/>
            <w:gridSpan w:val="3"/>
            <w:vMerge w:val="restart"/>
          </w:tcPr>
          <w:p>
            <w:pPr>
              <w:jc w:val="right"/>
              <w:ind w:right="500"/>
              <w:spacing w:after="0"/>
              <w:rPr>
                <w:sz w:val="20"/>
                <w:szCs w:val="20"/>
                <w:color w:val="auto"/>
              </w:rPr>
            </w:pPr>
            <w:r>
              <w:rPr>
                <w:rFonts w:ascii="Arial" w:cs="Arial" w:eastAsia="Arial" w:hAnsi="Arial"/>
                <w:sz w:val="14"/>
                <w:szCs w:val="14"/>
                <w:color w:val="auto"/>
              </w:rPr>
              <w:t>U/W Exp</w:t>
            </w:r>
          </w:p>
        </w:tc>
        <w:tc>
          <w:tcPr>
            <w:tcW w:w="920" w:type="dxa"/>
            <w:vAlign w:val="bottom"/>
            <w:vMerge w:val="restart"/>
          </w:tcPr>
          <w:p>
            <w:pPr>
              <w:jc w:val="right"/>
              <w:ind w:right="121"/>
              <w:spacing w:after="0"/>
              <w:rPr>
                <w:sz w:val="20"/>
                <w:szCs w:val="20"/>
                <w:color w:val="auto"/>
              </w:rPr>
            </w:pPr>
            <w:r>
              <w:rPr>
                <w:rFonts w:ascii="Arial" w:cs="Arial" w:eastAsia="Arial" w:hAnsi="Arial"/>
                <w:sz w:val="14"/>
                <w:szCs w:val="14"/>
                <w:color w:val="auto"/>
              </w:rPr>
              <w:t>% of NEP</w:t>
            </w:r>
          </w:p>
        </w:tc>
        <w:tc>
          <w:tcPr>
            <w:tcW w:w="8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5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right"/>
              <w:ind w:right="345"/>
              <w:spacing w:after="0"/>
              <w:rPr>
                <w:sz w:val="20"/>
                <w:szCs w:val="20"/>
                <w:color w:val="auto"/>
              </w:rPr>
            </w:pPr>
            <w:r>
              <w:rPr>
                <w:rFonts w:ascii="Arial" w:cs="Arial" w:eastAsia="Arial" w:hAnsi="Arial"/>
                <w:sz w:val="14"/>
                <w:szCs w:val="14"/>
                <w:color w:val="auto"/>
              </w:rPr>
              <w:t>NEP</w:t>
            </w:r>
          </w:p>
        </w:tc>
        <w:tc>
          <w:tcPr>
            <w:tcW w:w="0" w:type="dxa"/>
            <w:vAlign w:val="bottom"/>
          </w:tcPr>
          <w:p>
            <w:pPr>
              <w:spacing w:after="0"/>
              <w:rPr>
                <w:sz w:val="1"/>
                <w:szCs w:val="1"/>
                <w:color w:val="auto"/>
              </w:rPr>
            </w:pPr>
          </w:p>
        </w:tc>
      </w:tr>
      <w:tr>
        <w:trPr>
          <w:trHeight w:val="209"/>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145</w:t>
            </w: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21.3 %</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18.2 %</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3.1 %</w:t>
            </w:r>
          </w:p>
        </w:tc>
        <w:tc>
          <w:tcPr>
            <w:tcW w:w="0" w:type="dxa"/>
            <w:vAlign w:val="bottom"/>
          </w:tcPr>
          <w:p>
            <w:pPr>
              <w:spacing w:after="0"/>
              <w:rPr>
                <w:sz w:val="1"/>
                <w:szCs w:val="1"/>
                <w:color w:val="auto"/>
              </w:rPr>
            </w:pPr>
          </w:p>
        </w:tc>
      </w:tr>
      <w:tr>
        <w:trPr>
          <w:trHeight w:val="215"/>
        </w:trPr>
        <w:tc>
          <w:tcPr>
            <w:tcW w:w="536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0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185</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25.0 %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177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25.9 %</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(0.9 %)</w:t>
            </w:r>
          </w:p>
        </w:tc>
        <w:tc>
          <w:tcPr>
            <w:tcW w:w="0" w:type="dxa"/>
            <w:vAlign w:val="bottom"/>
          </w:tcPr>
          <w:p>
            <w:pPr>
              <w:spacing w:after="0"/>
              <w:rPr>
                <w:sz w:val="1"/>
                <w:szCs w:val="1"/>
                <w:color w:val="auto"/>
              </w:rPr>
            </w:pPr>
          </w:p>
        </w:tc>
      </w:tr>
      <w:tr>
        <w:trPr>
          <w:trHeight w:val="217"/>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46.5 %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49.3 %</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215"/>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specialty</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36.1 %</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34.8 %</w:t>
            </w:r>
          </w:p>
        </w:tc>
        <w:tc>
          <w:tcPr>
            <w:tcW w:w="1220" w:type="dxa"/>
            <w:vAlign w:val="bottom"/>
            <w:tcBorders>
              <w:bottom w:val="single" w:sz="8" w:color="CCEEFF"/>
            </w:tcBorders>
            <w:gridSpan w:val="2"/>
          </w:tcPr>
          <w:p>
            <w:pPr>
              <w:jc w:val="right"/>
              <w:ind w:right="5"/>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35"/>
        </w:trPr>
        <w:tc>
          <w:tcPr>
            <w:tcW w:w="53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468</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27.0 %</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419</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25.8 %</w:t>
            </w:r>
          </w:p>
        </w:tc>
        <w:tc>
          <w:tcPr>
            <w:tcW w:w="1220" w:type="dxa"/>
            <w:vAlign w:val="bottom"/>
            <w:tcBorders>
              <w:bottom w:val="single" w:sz="8" w:color="CCEEFF"/>
            </w:tcBorders>
            <w:gridSpan w:val="2"/>
            <w:shd w:val="clear" w:color="auto" w:fill="CCEEFF"/>
          </w:tcPr>
          <w:p>
            <w:pPr>
              <w:jc w:val="right"/>
              <w:ind w:right="5"/>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274E"/>
        </w:rPr>
        <w:t xml:space="preserve">Property and transportation  </w:t>
      </w:r>
      <w:r>
        <w:rPr>
          <w:rFonts w:ascii="Arial" w:cs="Arial" w:eastAsia="Arial" w:hAnsi="Arial"/>
          <w:sz w:val="17"/>
          <w:szCs w:val="17"/>
          <w:color w:val="000000"/>
        </w:rPr>
        <w:t>Commissions and other underwriting expenses as a percentage of net earned premiums increased</w:t>
      </w:r>
    </w:p>
    <w:p>
      <w:pPr>
        <w:spacing w:after="0" w:line="15" w:lineRule="exact"/>
        <w:rPr>
          <w:sz w:val="20"/>
          <w:szCs w:val="20"/>
          <w:color w:val="auto"/>
        </w:rPr>
      </w:pPr>
    </w:p>
    <w:p>
      <w:pPr>
        <w:ind w:right="280"/>
        <w:spacing w:after="0" w:line="259" w:lineRule="auto"/>
        <w:rPr>
          <w:sz w:val="20"/>
          <w:szCs w:val="20"/>
          <w:color w:val="auto"/>
        </w:rPr>
      </w:pPr>
      <w:r>
        <w:rPr>
          <w:rFonts w:ascii="Arial" w:cs="Arial" w:eastAsia="Arial" w:hAnsi="Arial"/>
          <w:sz w:val="17"/>
          <w:szCs w:val="17"/>
          <w:color w:val="auto"/>
        </w:rPr>
        <w:t>3.1 percentage points in the fourth quarter of 2023 compared to the fourth quarter of 2022 reflecting the impact of lower profit-based ceding commissions related to below average profitability in the crop operations, the impact on the ratio of lower earned premiums in the crop operations (which has a lower commissions and other underwriting expense ratio than some of the other businesses in the Property and transportation sub-segment) and higher expenses related to certain technology initiatives.</w:t>
      </w:r>
    </w:p>
    <w:p>
      <w:pPr>
        <w:spacing w:after="0" w:line="207" w:lineRule="exact"/>
        <w:rPr>
          <w:sz w:val="20"/>
          <w:szCs w:val="20"/>
          <w:color w:val="auto"/>
        </w:rPr>
      </w:pPr>
    </w:p>
    <w:p>
      <w:pPr>
        <w:jc w:val="both"/>
        <w:ind w:right="160"/>
        <w:spacing w:after="0" w:line="247" w:lineRule="auto"/>
        <w:rPr>
          <w:sz w:val="20"/>
          <w:szCs w:val="20"/>
          <w:color w:val="auto"/>
        </w:rPr>
      </w:pPr>
      <w:r>
        <w:rPr>
          <w:rFonts w:ascii="Arial" w:cs="Arial" w:eastAsia="Arial" w:hAnsi="Arial"/>
          <w:sz w:val="20"/>
          <w:szCs w:val="20"/>
          <w:b w:val="1"/>
          <w:bCs w:val="1"/>
          <w:i w:val="1"/>
          <w:iCs w:val="1"/>
          <w:color w:val="00274E"/>
        </w:rPr>
        <w:t xml:space="preserve">Specialty casualty </w:t>
      </w:r>
      <w:r>
        <w:rPr>
          <w:rFonts w:ascii="Arial" w:cs="Arial" w:eastAsia="Arial" w:hAnsi="Arial"/>
          <w:sz w:val="17"/>
          <w:szCs w:val="17"/>
          <w:color w:val="000000"/>
        </w:rPr>
        <w:t>Commissions and other underwriting expenses as a percentage of net earned premiums decreased 0.9 percentage points</w:t>
      </w:r>
      <w:r>
        <w:rPr>
          <w:rFonts w:ascii="Arial" w:cs="Arial" w:eastAsia="Arial" w:hAnsi="Arial"/>
          <w:sz w:val="20"/>
          <w:szCs w:val="20"/>
          <w:b w:val="1"/>
          <w:bCs w:val="1"/>
          <w:i w:val="1"/>
          <w:iCs w:val="1"/>
          <w:color w:val="00274E"/>
        </w:rPr>
        <w:t xml:space="preserve"> </w:t>
      </w:r>
      <w:r>
        <w:rPr>
          <w:rFonts w:ascii="Arial" w:cs="Arial" w:eastAsia="Arial" w:hAnsi="Arial"/>
          <w:sz w:val="17"/>
          <w:szCs w:val="17"/>
          <w:color w:val="000000"/>
        </w:rPr>
        <w:t>in the fourth quarter of 2023 compared to the fourth quarter of 2022 reflecting the impact on the ratio of growth in earned premiums in the workers’ compensation businesses, partially offset by higher expenses related to certain technology initiatives.</w:t>
      </w:r>
    </w:p>
    <w:p>
      <w:pPr>
        <w:spacing w:after="0" w:line="216" w:lineRule="exact"/>
        <w:rPr>
          <w:sz w:val="20"/>
          <w:szCs w:val="20"/>
          <w:color w:val="auto"/>
        </w:rPr>
      </w:pPr>
    </w:p>
    <w:p>
      <w:pPr>
        <w:ind w:right="40"/>
        <w:spacing w:after="0" w:line="258" w:lineRule="auto"/>
        <w:rPr>
          <w:sz w:val="20"/>
          <w:szCs w:val="20"/>
          <w:color w:val="auto"/>
        </w:rPr>
      </w:pPr>
      <w:r>
        <w:rPr>
          <w:rFonts w:ascii="Arial" w:cs="Arial" w:eastAsia="Arial" w:hAnsi="Arial"/>
          <w:sz w:val="20"/>
          <w:szCs w:val="20"/>
          <w:b w:val="1"/>
          <w:bCs w:val="1"/>
          <w:i w:val="1"/>
          <w:iCs w:val="1"/>
          <w:color w:val="00274E"/>
        </w:rPr>
        <w:t xml:space="preserve">Specialty financial </w:t>
      </w:r>
      <w:r>
        <w:rPr>
          <w:rFonts w:ascii="Arial" w:cs="Arial" w:eastAsia="Arial" w:hAnsi="Arial"/>
          <w:sz w:val="17"/>
          <w:szCs w:val="17"/>
          <w:color w:val="000000"/>
        </w:rPr>
        <w:t>Commissions and other underwriting expenses as a percentage of net earned premiums decreased 2.8 percentage points</w:t>
      </w:r>
      <w:r>
        <w:rPr>
          <w:rFonts w:ascii="Arial" w:cs="Arial" w:eastAsia="Arial" w:hAnsi="Arial"/>
          <w:sz w:val="20"/>
          <w:szCs w:val="20"/>
          <w:b w:val="1"/>
          <w:bCs w:val="1"/>
          <w:i w:val="1"/>
          <w:iCs w:val="1"/>
          <w:color w:val="00274E"/>
        </w:rPr>
        <w:t xml:space="preserve"> </w:t>
      </w:r>
      <w:r>
        <w:rPr>
          <w:rFonts w:ascii="Arial" w:cs="Arial" w:eastAsia="Arial" w:hAnsi="Arial"/>
          <w:sz w:val="17"/>
          <w:szCs w:val="17"/>
          <w:color w:val="000000"/>
        </w:rPr>
        <w:t>in the fourth quarter of 2023 compared to the fourth quarter of 2022 reflecting the impact on the ratio of growth in earned premiums in the financial institutions, surety and innovative markets businesses and lower contingent commissions paid to agents in the innovative markets business, partially offset by the impact of an increase in net earned premiums in the fourth quarter of 2022 due to lower than previously estimated reinstatement premiums related to Hurricane Ian and higher expenses related to certain technology initiatives.</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Property and Casualty Net Investment Income</w:t>
      </w:r>
    </w:p>
    <w:p>
      <w:pPr>
        <w:spacing w:after="0" w:line="17"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Net investment income in AFG’s property and casualty insurance operations was $161 million in the fourth quarter of 2023 compared to $159 million in the fourth quarter of 2022, an increase of $2 million (1%). The average invested assets and overall yield earned on investments held by AFG’s property and casualty insurance operations are provided below (dollars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20" w:type="dxa"/>
            <w:vAlign w:val="bottom"/>
            <w:gridSpan w:val="5"/>
          </w:tcPr>
          <w:p>
            <w:pPr>
              <w:ind w:left="140"/>
              <w:spacing w:after="0"/>
              <w:rPr>
                <w:sz w:val="20"/>
                <w:szCs w:val="20"/>
                <w:color w:val="auto"/>
              </w:rPr>
            </w:pPr>
            <w:r>
              <w:rPr>
                <w:rFonts w:ascii="Arial" w:cs="Arial" w:eastAsia="Arial" w:hAnsi="Arial"/>
                <w:sz w:val="14"/>
                <w:szCs w:val="14"/>
                <w:color w:val="auto"/>
              </w:rPr>
              <w:t>Three months ended December 31,</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gridSpan w:val="2"/>
          </w:tcPr>
          <w:p>
            <w:pPr>
              <w:jc w:val="right"/>
              <w:ind w:right="388"/>
              <w:spacing w:after="0"/>
              <w:rPr>
                <w:sz w:val="20"/>
                <w:szCs w:val="20"/>
                <w:color w:val="auto"/>
              </w:rPr>
            </w:pPr>
            <w:r>
              <w:rPr>
                <w:rFonts w:ascii="Arial" w:cs="Arial" w:eastAsia="Arial" w:hAnsi="Arial"/>
                <w:sz w:val="14"/>
                <w:szCs w:val="14"/>
                <w:color w:val="auto"/>
              </w:rPr>
              <w:t>%</w:t>
            </w:r>
          </w:p>
        </w:tc>
      </w:tr>
      <w:tr>
        <w:trPr>
          <w:trHeight w:val="198"/>
        </w:trPr>
        <w:tc>
          <w:tcPr>
            <w:tcW w:w="56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4"/>
                <w:szCs w:val="14"/>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Change</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Change</w:t>
            </w:r>
          </w:p>
        </w:tc>
      </w:tr>
      <w:tr>
        <w:trPr>
          <w:trHeight w:val="200"/>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investment income:</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5"/>
        </w:trPr>
        <w:tc>
          <w:tcPr>
            <w:tcW w:w="5660" w:type="dxa"/>
            <w:vAlign w:val="bottom"/>
          </w:tcPr>
          <w:p>
            <w:pPr>
              <w:ind w:left="240"/>
              <w:spacing w:after="0"/>
              <w:rPr>
                <w:sz w:val="20"/>
                <w:szCs w:val="20"/>
                <w:color w:val="auto"/>
              </w:rPr>
            </w:pPr>
            <w:r>
              <w:rPr>
                <w:rFonts w:ascii="Arial" w:cs="Arial" w:eastAsia="Arial" w:hAnsi="Arial"/>
                <w:sz w:val="16"/>
                <w:szCs w:val="16"/>
                <w:color w:val="auto"/>
              </w:rPr>
              <w:t>Net investment income, excluding alternative investments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20"/>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25</w:t>
            </w:r>
          </w:p>
        </w:tc>
        <w:tc>
          <w:tcPr>
            <w:tcW w:w="1140" w:type="dxa"/>
            <w:vAlign w:val="bottom"/>
            <w:gridSpan w:val="2"/>
          </w:tcPr>
          <w:p>
            <w:pPr>
              <w:jc w:val="right"/>
              <w:ind w:right="8"/>
              <w:spacing w:after="0"/>
              <w:rPr>
                <w:sz w:val="20"/>
                <w:szCs w:val="20"/>
                <w:color w:val="auto"/>
              </w:rPr>
            </w:pPr>
            <w:r>
              <w:rPr>
                <w:rFonts w:ascii="Arial" w:cs="Arial" w:eastAsia="Arial" w:hAnsi="Arial"/>
                <w:sz w:val="16"/>
                <w:szCs w:val="16"/>
                <w:color w:val="auto"/>
              </w:rPr>
              <w:t>19 %</w:t>
            </w:r>
          </w:p>
        </w:tc>
      </w:tr>
      <w:tr>
        <w:trPr>
          <w:trHeight w:val="216"/>
        </w:trPr>
        <w:tc>
          <w:tcPr>
            <w:tcW w:w="56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Alternative investments</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(82 %)</w:t>
            </w:r>
          </w:p>
        </w:tc>
      </w:tr>
      <w:tr>
        <w:trPr>
          <w:trHeight w:val="210"/>
        </w:trPr>
        <w:tc>
          <w:tcPr>
            <w:tcW w:w="5660" w:type="dxa"/>
            <w:vAlign w:val="bottom"/>
          </w:tcPr>
          <w:p>
            <w:pPr>
              <w:ind w:left="460"/>
              <w:spacing w:after="0"/>
              <w:rPr>
                <w:sz w:val="20"/>
                <w:szCs w:val="20"/>
                <w:color w:val="auto"/>
              </w:rPr>
            </w:pPr>
            <w:r>
              <w:rPr>
                <w:rFonts w:ascii="Arial" w:cs="Arial" w:eastAsia="Arial" w:hAnsi="Arial"/>
                <w:sz w:val="16"/>
                <w:szCs w:val="16"/>
                <w:color w:val="auto"/>
              </w:rPr>
              <w:t>Total net investment income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2</w:t>
            </w:r>
          </w:p>
        </w:tc>
        <w:tc>
          <w:tcPr>
            <w:tcW w:w="1140" w:type="dxa"/>
            <w:vAlign w:val="bottom"/>
            <w:gridSpan w:val="2"/>
          </w:tcPr>
          <w:p>
            <w:pPr>
              <w:jc w:val="right"/>
              <w:ind w:right="8"/>
              <w:spacing w:after="0"/>
              <w:rPr>
                <w:sz w:val="20"/>
                <w:szCs w:val="20"/>
                <w:color w:val="auto"/>
              </w:rPr>
            </w:pPr>
            <w:r>
              <w:rPr>
                <w:rFonts w:ascii="Arial" w:cs="Arial" w:eastAsia="Arial" w:hAnsi="Arial"/>
                <w:sz w:val="16"/>
                <w:szCs w:val="16"/>
                <w:color w:val="auto"/>
              </w:rPr>
              <w:t>1 %</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r>
      <w:tr>
        <w:trPr>
          <w:trHeight w:val="129"/>
        </w:trPr>
        <w:tc>
          <w:tcPr>
            <w:tcW w:w="5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216"/>
        </w:trPr>
        <w:tc>
          <w:tcPr>
            <w:tcW w:w="5660" w:type="dxa"/>
            <w:vAlign w:val="bottom"/>
          </w:tcPr>
          <w:p>
            <w:pPr>
              <w:ind w:left="20"/>
              <w:spacing w:after="0"/>
              <w:rPr>
                <w:sz w:val="20"/>
                <w:szCs w:val="20"/>
                <w:color w:val="auto"/>
              </w:rPr>
            </w:pPr>
            <w:r>
              <w:rPr>
                <w:rFonts w:ascii="Arial" w:cs="Arial" w:eastAsia="Arial" w:hAnsi="Arial"/>
                <w:sz w:val="16"/>
                <w:szCs w:val="16"/>
                <w:color w:val="auto"/>
              </w:rPr>
              <w:t>Average invested assets (at amortized cost)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15,227</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14,304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923</w:t>
            </w:r>
          </w:p>
        </w:tc>
        <w:tc>
          <w:tcPr>
            <w:tcW w:w="1140" w:type="dxa"/>
            <w:vAlign w:val="bottom"/>
            <w:gridSpan w:val="2"/>
          </w:tcPr>
          <w:p>
            <w:pPr>
              <w:jc w:val="right"/>
              <w:ind w:right="8"/>
              <w:spacing w:after="0"/>
              <w:rPr>
                <w:sz w:val="20"/>
                <w:szCs w:val="20"/>
                <w:color w:val="auto"/>
              </w:rPr>
            </w:pPr>
            <w:r>
              <w:rPr>
                <w:rFonts w:ascii="Arial" w:cs="Arial" w:eastAsia="Arial" w:hAnsi="Arial"/>
                <w:sz w:val="16"/>
                <w:szCs w:val="16"/>
                <w:color w:val="auto"/>
              </w:rPr>
              <w:t>6 %</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r>
      <w:tr>
        <w:trPr>
          <w:trHeight w:val="129"/>
        </w:trPr>
        <w:tc>
          <w:tcPr>
            <w:tcW w:w="5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216"/>
        </w:trPr>
        <w:tc>
          <w:tcPr>
            <w:tcW w:w="5660" w:type="dxa"/>
            <w:vAlign w:val="bottom"/>
          </w:tcPr>
          <w:p>
            <w:pPr>
              <w:ind w:left="20"/>
              <w:spacing w:after="0"/>
              <w:rPr>
                <w:sz w:val="20"/>
                <w:szCs w:val="20"/>
                <w:color w:val="auto"/>
              </w:rPr>
            </w:pPr>
            <w:r>
              <w:rPr>
                <w:rFonts w:ascii="Arial" w:cs="Arial" w:eastAsia="Arial" w:hAnsi="Arial"/>
                <w:sz w:val="16"/>
                <w:szCs w:val="16"/>
                <w:color w:val="auto"/>
              </w:rPr>
              <w:t>Yield (net investment income as a % of average invested assets)</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4.23 %</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4.45 %</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(0.22 %)</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r>
      <w:tr>
        <w:trPr>
          <w:trHeight w:val="129"/>
        </w:trPr>
        <w:tc>
          <w:tcPr>
            <w:tcW w:w="5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216"/>
        </w:trPr>
        <w:tc>
          <w:tcPr>
            <w:tcW w:w="5660" w:type="dxa"/>
            <w:vAlign w:val="bottom"/>
          </w:tcPr>
          <w:p>
            <w:pPr>
              <w:ind w:left="20"/>
              <w:spacing w:after="0"/>
              <w:rPr>
                <w:sz w:val="20"/>
                <w:szCs w:val="20"/>
                <w:color w:val="auto"/>
              </w:rPr>
            </w:pPr>
            <w:r>
              <w:rPr>
                <w:rFonts w:ascii="Arial" w:cs="Arial" w:eastAsia="Arial" w:hAnsi="Arial"/>
                <w:sz w:val="16"/>
                <w:szCs w:val="16"/>
                <w:color w:val="auto"/>
              </w:rPr>
              <w:t>Tax equivalent yield (*)</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4.31 %</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4.53 %</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(0.22 %)</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140" w:lineRule="exact"/>
        <w:rPr>
          <w:sz w:val="20"/>
          <w:szCs w:val="20"/>
          <w:color w:val="auto"/>
        </w:rPr>
      </w:pPr>
    </w:p>
    <w:p>
      <w:pPr>
        <w:ind w:left="400" w:hanging="392"/>
        <w:spacing w:after="0"/>
        <w:tabs>
          <w:tab w:leader="none" w:pos="4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Adjusts the yield on equity securities and tax-exempt bonds to the fully taxable equivalent yield.</w:t>
      </w:r>
    </w:p>
    <w:p>
      <w:pPr>
        <w:spacing w:after="0" w:line="250" w:lineRule="exact"/>
        <w:rPr>
          <w:sz w:val="20"/>
          <w:szCs w:val="20"/>
          <w:color w:val="auto"/>
        </w:rPr>
      </w:pPr>
    </w:p>
    <w:p>
      <w:pPr>
        <w:jc w:val="both"/>
        <w:ind w:right="120"/>
        <w:spacing w:after="0" w:line="274" w:lineRule="auto"/>
        <w:rPr>
          <w:sz w:val="20"/>
          <w:szCs w:val="20"/>
          <w:color w:val="auto"/>
        </w:rPr>
      </w:pPr>
      <w:r>
        <w:rPr>
          <w:rFonts w:ascii="Arial" w:cs="Arial" w:eastAsia="Arial" w:hAnsi="Arial"/>
          <w:sz w:val="17"/>
          <w:szCs w:val="17"/>
          <w:color w:val="auto"/>
        </w:rPr>
        <w:t>The increase in the property and casualty insurance segment’s net investment income for the fourth quarter of 2023 compared to the fourth quarter of 2022 reflects the impact of higher yields on fixed maturity investments and higher balances of invested assets, partially offset by lower returns on AFG’s alternative investment portfolio (partnerships and</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similar investments and AFG-managed CLOs). The property and casualty insurance segment’s overall yield on investments (net investment income as a percentage of average invested assets) was 4.23% for the fourth quarter of 2023 compared to 4.45% for the fourth quarter of 2022, a decrease of 0.22 percentage points reflecting lower returns on alternative investments, partially offset by higher yields on fixed maturity investments. The annualized return earned on alternative investments was 0.8% in the fourth quarter of 2023 compared to 5.3% in the prior year period.</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Property and Casualty Other Income and Expenses, Net</w:t>
      </w:r>
    </w:p>
    <w:p>
      <w:pPr>
        <w:spacing w:after="0" w:line="17" w:lineRule="exact"/>
        <w:rPr>
          <w:sz w:val="20"/>
          <w:szCs w:val="20"/>
          <w:color w:val="auto"/>
        </w:rPr>
      </w:pPr>
    </w:p>
    <w:p>
      <w:pPr>
        <w:ind w:right="360"/>
        <w:spacing w:after="0" w:line="265" w:lineRule="auto"/>
        <w:rPr>
          <w:sz w:val="20"/>
          <w:szCs w:val="20"/>
          <w:color w:val="auto"/>
        </w:rPr>
      </w:pPr>
      <w:r>
        <w:rPr>
          <w:rFonts w:ascii="Arial" w:cs="Arial" w:eastAsia="Arial" w:hAnsi="Arial"/>
          <w:sz w:val="17"/>
          <w:szCs w:val="17"/>
          <w:color w:val="auto"/>
        </w:rPr>
        <w:t>Other income and expenses, net for AFG’s property and casualty insurance operations was a net expense of $15 million for the fourth quarter of 2023 compared to $14 million for the fourth quarter of 2022, an increase of $1 million (7%). The table below details the items included in other income and expenses, net for AFG’s property and casualty insurance operations (in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260" w:type="dxa"/>
            <w:vAlign w:val="bottom"/>
          </w:tcPr>
          <w:p>
            <w:pPr>
              <w:spacing w:after="0"/>
              <w:rPr>
                <w:sz w:val="16"/>
                <w:szCs w:val="16"/>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Three months ended December 31,</w:t>
            </w:r>
          </w:p>
        </w:tc>
        <w:tc>
          <w:tcPr>
            <w:tcW w:w="340" w:type="dxa"/>
            <w:vAlign w:val="bottom"/>
            <w:tcBorders>
              <w:bottom w:val="single" w:sz="8" w:color="auto"/>
            </w:tcBorders>
          </w:tcPr>
          <w:p>
            <w:pPr>
              <w:spacing w:after="0"/>
              <w:rPr>
                <w:sz w:val="16"/>
                <w:szCs w:val="16"/>
                <w:color w:val="auto"/>
              </w:rPr>
            </w:pPr>
          </w:p>
        </w:tc>
      </w:tr>
      <w:tr>
        <w:trPr>
          <w:trHeight w:val="196"/>
        </w:trPr>
        <w:tc>
          <w:tcPr>
            <w:tcW w:w="826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color w:val="auto"/>
              </w:rPr>
              <w:t>2023</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2022</w:t>
            </w:r>
          </w:p>
        </w:tc>
        <w:tc>
          <w:tcPr>
            <w:tcW w:w="340" w:type="dxa"/>
            <w:vAlign w:val="bottom"/>
            <w:tcBorders>
              <w:bottom w:val="single" w:sz="8" w:color="auto"/>
            </w:tcBorders>
          </w:tcPr>
          <w:p>
            <w:pPr>
              <w:spacing w:after="0"/>
              <w:rPr>
                <w:sz w:val="17"/>
                <w:szCs w:val="17"/>
                <w:color w:val="auto"/>
              </w:rPr>
            </w:pPr>
          </w:p>
        </w:tc>
      </w:tr>
      <w:tr>
        <w:trPr>
          <w:trHeight w:val="20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w:t>
            </w: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215"/>
        </w:trPr>
        <w:tc>
          <w:tcPr>
            <w:tcW w:w="8260" w:type="dxa"/>
            <w:vAlign w:val="bottom"/>
          </w:tcPr>
          <w:p>
            <w:pPr>
              <w:ind w:left="260"/>
              <w:spacing w:after="0"/>
              <w:rPr>
                <w:sz w:val="20"/>
                <w:szCs w:val="20"/>
                <w:color w:val="auto"/>
              </w:rPr>
            </w:pPr>
            <w:r>
              <w:rPr>
                <w:rFonts w:ascii="Arial" w:cs="Arial" w:eastAsia="Arial" w:hAnsi="Arial"/>
                <w:sz w:val="16"/>
                <w:szCs w:val="16"/>
                <w:color w:val="auto"/>
              </w:rPr>
              <w:t>Income related to the sale of real estate</w:t>
            </w:r>
          </w:p>
        </w:tc>
        <w:tc>
          <w:tcPr>
            <w:tcW w:w="1000" w:type="dxa"/>
            <w:vAlign w:val="bottom"/>
          </w:tcPr>
          <w:p>
            <w:pPr>
              <w:jc w:val="right"/>
              <w:ind w:right="824"/>
              <w:spacing w:after="0"/>
              <w:rPr>
                <w:sz w:val="20"/>
                <w:szCs w:val="20"/>
                <w:color w:val="auto"/>
              </w:rPr>
            </w:pPr>
            <w:r>
              <w:rPr>
                <w:rFonts w:ascii="Arial" w:cs="Arial" w:eastAsia="Arial" w:hAnsi="Arial"/>
                <w:sz w:val="16"/>
                <w:szCs w:val="16"/>
                <w:color w:val="auto"/>
                <w:w w:val="89"/>
              </w:rPr>
              <w:t>$</w:t>
            </w: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22"/>
              <w:spacing w:after="0"/>
              <w:rPr>
                <w:sz w:val="20"/>
                <w:szCs w:val="20"/>
                <w:color w:val="auto"/>
              </w:rPr>
            </w:pPr>
            <w:r>
              <w:rPr>
                <w:rFonts w:ascii="Arial" w:cs="Arial" w:eastAsia="Arial" w:hAnsi="Arial"/>
                <w:sz w:val="16"/>
                <w:szCs w:val="16"/>
                <w:color w:val="auto"/>
                <w:w w:val="89"/>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w:t>
            </w:r>
          </w:p>
        </w:tc>
        <w:tc>
          <w:tcPr>
            <w:tcW w:w="10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26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other income</w:t>
            </w: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97"/>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expenses:</w:t>
            </w: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215"/>
        </w:trPr>
        <w:tc>
          <w:tcPr>
            <w:tcW w:w="8260" w:type="dxa"/>
            <w:vAlign w:val="bottom"/>
          </w:tcPr>
          <w:p>
            <w:pPr>
              <w:ind w:left="260"/>
              <w:spacing w:after="0"/>
              <w:rPr>
                <w:sz w:val="20"/>
                <w:szCs w:val="20"/>
                <w:color w:val="auto"/>
              </w:rPr>
            </w:pPr>
            <w:r>
              <w:rPr>
                <w:rFonts w:ascii="Arial" w:cs="Arial" w:eastAsia="Arial" w:hAnsi="Arial"/>
                <w:sz w:val="16"/>
                <w:szCs w:val="16"/>
                <w:color w:val="auto"/>
              </w:rPr>
              <w:t>Amortization of intangibles</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7"/>
        </w:trPr>
        <w:tc>
          <w:tcPr>
            <w:tcW w:w="8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Interest expense on funds withheld</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5"/>
        </w:trPr>
        <w:tc>
          <w:tcPr>
            <w:tcW w:w="82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Other</w:t>
            </w: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09"/>
        </w:trPr>
        <w:tc>
          <w:tcPr>
            <w:tcW w:w="82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other expenses</w:t>
            </w:r>
          </w:p>
        </w:tc>
        <w:tc>
          <w:tcPr>
            <w:tcW w:w="10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0"/>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Other income and expenses, net</w:t>
            </w:r>
          </w:p>
        </w:tc>
        <w:tc>
          <w:tcPr>
            <w:tcW w:w="1000" w:type="dxa"/>
            <w:vAlign w:val="bottom"/>
            <w:tcBorders>
              <w:bottom w:val="single" w:sz="8" w:color="auto"/>
            </w:tcBorders>
          </w:tcPr>
          <w:p>
            <w:pPr>
              <w:jc w:val="right"/>
              <w:ind w:right="824"/>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922"/>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1"/>
        </w:trPr>
        <w:tc>
          <w:tcPr>
            <w:tcW w:w="8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The $4 million (50%) increase in interest expense on funds withheld in 2023 compared to 2022 reflects the impact of higher interest rates.</w:t>
      </w:r>
    </w:p>
    <w:p>
      <w:pPr>
        <w:spacing w:after="0" w:line="248" w:lineRule="exact"/>
        <w:rPr>
          <w:sz w:val="20"/>
          <w:szCs w:val="20"/>
          <w:color w:val="auto"/>
        </w:rPr>
      </w:pPr>
    </w:p>
    <w:p>
      <w:pPr>
        <w:spacing w:after="0"/>
        <w:rPr>
          <w:sz w:val="20"/>
          <w:szCs w:val="20"/>
          <w:color w:val="auto"/>
        </w:rPr>
      </w:pPr>
      <w:r>
        <w:rPr>
          <w:rFonts w:ascii="Arial" w:cs="Arial" w:eastAsia="Arial" w:hAnsi="Arial"/>
          <w:sz w:val="25"/>
          <w:szCs w:val="25"/>
          <w:b w:val="1"/>
          <w:bCs w:val="1"/>
          <w:color w:val="00274E"/>
        </w:rPr>
        <w:t>Holding Company, Other and Unallocated — Results of Operations</w:t>
      </w:r>
    </w:p>
    <w:p>
      <w:pPr>
        <w:spacing w:after="0" w:line="28"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AFG’s net GAAP pretax loss outside of its property and casualty insurance segment (excluding realized gains and losses) totaled $53 million in the fourth quarter of 2023 compared to $44 million in the fourth quarter of 2022, an increase of $9 million (20%). AFG’s net core pretax loss outside of its property and casualty insurance segment (excluding realized gains and losses) totaled $53 million for the fourth quarter of 2023 compared to $45 million for the fourth quarter of 2022, an increase of $8 million (18%).</w:t>
      </w:r>
    </w:p>
    <w:p>
      <w:pPr>
        <w:spacing w:after="0" w:line="207"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The following table details AFG’s GAAP and core loss before income taxes from operations outside of its property and casualty insurance segment for the three months ended December 31, 2023 and 2022 (dollars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60" w:type="dxa"/>
            <w:vAlign w:val="bottom"/>
          </w:tcPr>
          <w:p>
            <w:pPr>
              <w:spacing w:after="0"/>
              <w:rPr>
                <w:sz w:val="16"/>
                <w:szCs w:val="16"/>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Three months ended December 31,</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06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color w:val="auto"/>
              </w:rPr>
              <w:t>2023</w:t>
            </w:r>
          </w:p>
        </w:tc>
        <w:tc>
          <w:tcPr>
            <w:tcW w:w="4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2022</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00"/>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060" w:type="dxa"/>
            <w:vAlign w:val="bottom"/>
          </w:tcPr>
          <w:p>
            <w:pPr>
              <w:ind w:left="180"/>
              <w:spacing w:after="0"/>
              <w:rPr>
                <w:sz w:val="20"/>
                <w:szCs w:val="20"/>
                <w:color w:val="auto"/>
              </w:rPr>
            </w:pPr>
            <w:r>
              <w:rPr>
                <w:rFonts w:ascii="Arial" w:cs="Arial" w:eastAsia="Arial" w:hAnsi="Arial"/>
                <w:sz w:val="16"/>
                <w:szCs w:val="16"/>
                <w:color w:val="auto"/>
              </w:rPr>
              <w:t>Net investment income</w:t>
            </w:r>
          </w:p>
        </w:tc>
        <w:tc>
          <w:tcPr>
            <w:tcW w:w="980" w:type="dxa"/>
            <w:vAlign w:val="bottom"/>
          </w:tcPr>
          <w:p>
            <w:pPr>
              <w:jc w:val="right"/>
              <w:ind w:right="804"/>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1100" w:type="dxa"/>
            <w:vAlign w:val="bottom"/>
          </w:tcPr>
          <w:p>
            <w:pPr>
              <w:jc w:val="right"/>
              <w:ind w:right="902"/>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9</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17"/>
        </w:trPr>
        <w:tc>
          <w:tcPr>
            <w:tcW w:w="7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income — P&amp;C fees</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6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91 %</w:t>
            </w:r>
          </w:p>
        </w:tc>
        <w:tc>
          <w:tcPr>
            <w:tcW w:w="0" w:type="dxa"/>
            <w:vAlign w:val="bottom"/>
          </w:tcPr>
          <w:p>
            <w:pPr>
              <w:spacing w:after="0"/>
              <w:rPr>
                <w:sz w:val="1"/>
                <w:szCs w:val="1"/>
                <w:color w:val="auto"/>
              </w:rPr>
            </w:pPr>
          </w:p>
        </w:tc>
      </w:tr>
      <w:tr>
        <w:trPr>
          <w:trHeight w:val="215"/>
        </w:trPr>
        <w:tc>
          <w:tcPr>
            <w:tcW w:w="70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income</w:t>
            </w: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210"/>
        </w:trPr>
        <w:tc>
          <w:tcPr>
            <w:tcW w:w="70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revenues</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6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42 %</w:t>
            </w:r>
          </w:p>
        </w:tc>
        <w:tc>
          <w:tcPr>
            <w:tcW w:w="0" w:type="dxa"/>
            <w:vAlign w:val="bottom"/>
          </w:tcPr>
          <w:p>
            <w:pPr>
              <w:spacing w:after="0"/>
              <w:rPr>
                <w:sz w:val="1"/>
                <w:szCs w:val="1"/>
                <w:color w:val="auto"/>
              </w:rPr>
            </w:pPr>
          </w:p>
        </w:tc>
      </w:tr>
      <w:tr>
        <w:trPr>
          <w:trHeight w:val="162"/>
        </w:trPr>
        <w:tc>
          <w:tcPr>
            <w:tcW w:w="7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60" w:type="dxa"/>
            <w:vAlign w:val="bottom"/>
          </w:tcPr>
          <w:p>
            <w:pPr>
              <w:ind w:left="180"/>
              <w:spacing w:after="0"/>
              <w:rPr>
                <w:sz w:val="20"/>
                <w:szCs w:val="20"/>
                <w:color w:val="auto"/>
              </w:rPr>
            </w:pPr>
            <w:r>
              <w:rPr>
                <w:rFonts w:ascii="Arial" w:cs="Arial" w:eastAsia="Arial" w:hAnsi="Arial"/>
                <w:sz w:val="16"/>
                <w:szCs w:val="16"/>
                <w:color w:val="auto"/>
              </w:rPr>
              <w:t>Property and casualty insurance — loss adjustment and underwriting expenses</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8</w:t>
            </w:r>
          </w:p>
        </w:tc>
        <w:tc>
          <w:tcPr>
            <w:tcW w:w="1260" w:type="dxa"/>
            <w:vAlign w:val="bottom"/>
            <w:gridSpan w:val="2"/>
          </w:tcPr>
          <w:p>
            <w:pPr>
              <w:jc w:val="right"/>
              <w:ind w:right="4"/>
              <w:spacing w:after="0"/>
              <w:rPr>
                <w:sz w:val="20"/>
                <w:szCs w:val="20"/>
                <w:color w:val="auto"/>
              </w:rPr>
            </w:pPr>
            <w:r>
              <w:rPr>
                <w:rFonts w:ascii="Arial" w:cs="Arial" w:eastAsia="Arial" w:hAnsi="Arial"/>
                <w:sz w:val="16"/>
                <w:szCs w:val="16"/>
                <w:color w:val="auto"/>
              </w:rPr>
              <w:t>250 %</w:t>
            </w:r>
          </w:p>
        </w:tc>
        <w:tc>
          <w:tcPr>
            <w:tcW w:w="0" w:type="dxa"/>
            <w:vAlign w:val="bottom"/>
          </w:tcPr>
          <w:p>
            <w:pPr>
              <w:spacing w:after="0"/>
              <w:rPr>
                <w:sz w:val="1"/>
                <w:szCs w:val="1"/>
                <w:color w:val="auto"/>
              </w:rPr>
            </w:pPr>
          </w:p>
        </w:tc>
      </w:tr>
      <w:tr>
        <w:trPr>
          <w:trHeight w:val="217"/>
        </w:trPr>
        <w:tc>
          <w:tcPr>
            <w:tcW w:w="7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expense — expenses associated with P&amp;C fees</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5"/>
        </w:trPr>
        <w:tc>
          <w:tcPr>
            <w:tcW w:w="70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expenses (*)</w:t>
            </w: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260" w:type="dxa"/>
            <w:vAlign w:val="bottom"/>
            <w:tcBorders>
              <w:bottom w:val="single" w:sz="8" w:color="CCEEFF"/>
            </w:tcBorders>
            <w:gridSpan w:val="2"/>
          </w:tcPr>
          <w:p>
            <w:pPr>
              <w:jc w:val="right"/>
              <w:ind w:right="4"/>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10"/>
        </w:trPr>
        <w:tc>
          <w:tcPr>
            <w:tcW w:w="7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Costs and expenses, excluding interest charges on borrowed money</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6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40 %</w:t>
            </w:r>
          </w:p>
        </w:tc>
        <w:tc>
          <w:tcPr>
            <w:tcW w:w="0" w:type="dxa"/>
            <w:vAlign w:val="bottom"/>
          </w:tcPr>
          <w:p>
            <w:pPr>
              <w:spacing w:after="0"/>
              <w:rPr>
                <w:sz w:val="1"/>
                <w:szCs w:val="1"/>
                <w:color w:val="auto"/>
              </w:rPr>
            </w:pPr>
          </w:p>
        </w:tc>
      </w:tr>
      <w:tr>
        <w:trPr>
          <w:trHeight w:val="162"/>
        </w:trPr>
        <w:tc>
          <w:tcPr>
            <w:tcW w:w="7060" w:type="dxa"/>
            <w:vAlign w:val="bottom"/>
          </w:tcPr>
          <w:p>
            <w:pPr>
              <w:ind w:left="20"/>
              <w:spacing w:after="0" w:line="162" w:lineRule="exact"/>
              <w:rPr>
                <w:sz w:val="20"/>
                <w:szCs w:val="20"/>
                <w:color w:val="auto"/>
              </w:rPr>
            </w:pPr>
            <w:r>
              <w:rPr>
                <w:rFonts w:ascii="Arial" w:cs="Arial" w:eastAsia="Arial" w:hAnsi="Arial"/>
                <w:sz w:val="16"/>
                <w:szCs w:val="16"/>
                <w:color w:val="auto"/>
              </w:rPr>
              <w:t>Loss before income taxes, excluding realized gains and losses and interest charges on borrowed</w:t>
            </w:r>
          </w:p>
        </w:tc>
        <w:tc>
          <w:tcPr>
            <w:tcW w:w="98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w w:val="98"/>
              </w:rPr>
              <w:t>(25)</w:t>
            </w:r>
          </w:p>
        </w:tc>
        <w:tc>
          <w:tcPr>
            <w:tcW w:w="1260" w:type="dxa"/>
            <w:vAlign w:val="bottom"/>
            <w:gridSpan w:val="2"/>
            <w:vMerge w:val="restart"/>
          </w:tcPr>
          <w:p>
            <w:pPr>
              <w:jc w:val="right"/>
              <w:ind w:right="4"/>
              <w:spacing w:after="0"/>
              <w:rPr>
                <w:sz w:val="20"/>
                <w:szCs w:val="20"/>
                <w:color w:val="auto"/>
              </w:rPr>
            </w:pPr>
            <w:r>
              <w:rPr>
                <w:rFonts w:ascii="Arial" w:cs="Arial" w:eastAsia="Arial" w:hAnsi="Arial"/>
                <w:sz w:val="16"/>
                <w:szCs w:val="16"/>
                <w:color w:val="auto"/>
              </w:rPr>
              <w:t>36 %</w:t>
            </w:r>
          </w:p>
        </w:tc>
        <w:tc>
          <w:tcPr>
            <w:tcW w:w="0" w:type="dxa"/>
            <w:vAlign w:val="bottom"/>
          </w:tcPr>
          <w:p>
            <w:pPr>
              <w:spacing w:after="0"/>
              <w:rPr>
                <w:sz w:val="1"/>
                <w:szCs w:val="1"/>
                <w:color w:val="auto"/>
              </w:rPr>
            </w:pPr>
          </w:p>
        </w:tc>
      </w:tr>
      <w:tr>
        <w:trPr>
          <w:trHeight w:val="215"/>
        </w:trPr>
        <w:tc>
          <w:tcPr>
            <w:tcW w:w="7060" w:type="dxa"/>
            <w:vAlign w:val="bottom"/>
          </w:tcPr>
          <w:p>
            <w:pPr>
              <w:ind w:left="180"/>
              <w:spacing w:after="0"/>
              <w:rPr>
                <w:sz w:val="20"/>
                <w:szCs w:val="20"/>
                <w:color w:val="auto"/>
              </w:rPr>
            </w:pPr>
            <w:r>
              <w:rPr>
                <w:rFonts w:ascii="Arial" w:cs="Arial" w:eastAsia="Arial" w:hAnsi="Arial"/>
                <w:sz w:val="16"/>
                <w:szCs w:val="16"/>
                <w:color w:val="auto"/>
              </w:rPr>
              <w:t>money</w:t>
            </w:r>
          </w:p>
        </w:tc>
        <w:tc>
          <w:tcPr>
            <w:tcW w:w="98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charges on borrowed money</w:t>
            </w:r>
          </w:p>
        </w:tc>
        <w:tc>
          <w:tcPr>
            <w:tcW w:w="9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209"/>
        </w:trPr>
        <w:tc>
          <w:tcPr>
            <w:tcW w:w="7060" w:type="dxa"/>
            <w:vAlign w:val="bottom"/>
          </w:tcPr>
          <w:p>
            <w:pPr>
              <w:ind w:left="20"/>
              <w:spacing w:after="0"/>
              <w:rPr>
                <w:sz w:val="20"/>
                <w:szCs w:val="20"/>
                <w:color w:val="auto"/>
              </w:rPr>
            </w:pPr>
            <w:r>
              <w:rPr>
                <w:rFonts w:ascii="Arial" w:cs="Arial" w:eastAsia="Arial" w:hAnsi="Arial"/>
                <w:sz w:val="16"/>
                <w:szCs w:val="16"/>
                <w:b w:val="1"/>
                <w:bCs w:val="1"/>
                <w:color w:val="auto"/>
              </w:rPr>
              <w:t>Core loss before income taxes, excluding realized gains and losses</w:t>
            </w:r>
          </w:p>
        </w:tc>
        <w:tc>
          <w:tcPr>
            <w:tcW w:w="9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(53)</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98"/>
              </w:rPr>
              <w:t>(45)</w:t>
            </w:r>
          </w:p>
        </w:tc>
        <w:tc>
          <w:tcPr>
            <w:tcW w:w="1260" w:type="dxa"/>
            <w:vAlign w:val="bottom"/>
            <w:gridSpan w:val="2"/>
          </w:tcPr>
          <w:p>
            <w:pPr>
              <w:jc w:val="right"/>
              <w:ind w:right="4"/>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15"/>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non-core gain on retirement of debt</w:t>
            </w:r>
          </w:p>
        </w:tc>
        <w:tc>
          <w:tcPr>
            <w:tcW w:w="9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0"/>
        </w:trPr>
        <w:tc>
          <w:tcPr>
            <w:tcW w:w="7060" w:type="dxa"/>
            <w:vAlign w:val="bottom"/>
          </w:tcPr>
          <w:p>
            <w:pPr>
              <w:ind w:left="20"/>
              <w:spacing w:after="0"/>
              <w:rPr>
                <w:sz w:val="20"/>
                <w:szCs w:val="20"/>
                <w:color w:val="auto"/>
              </w:rPr>
            </w:pPr>
            <w:r>
              <w:rPr>
                <w:rFonts w:ascii="Arial" w:cs="Arial" w:eastAsia="Arial" w:hAnsi="Arial"/>
                <w:sz w:val="16"/>
                <w:szCs w:val="16"/>
                <w:b w:val="1"/>
                <w:bCs w:val="1"/>
                <w:color w:val="auto"/>
              </w:rPr>
              <w:t>GAAP loss before income taxes, excluding realized gains and losses</w:t>
            </w:r>
          </w:p>
        </w:tc>
        <w:tc>
          <w:tcPr>
            <w:tcW w:w="980" w:type="dxa"/>
            <w:vAlign w:val="bottom"/>
            <w:tcBorders>
              <w:top w:val="single" w:sz="8" w:color="auto"/>
              <w:bottom w:val="single" w:sz="8" w:color="auto"/>
            </w:tcBorders>
          </w:tcPr>
          <w:p>
            <w:pPr>
              <w:jc w:val="right"/>
              <w:ind w:right="804"/>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8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902"/>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(44)</w:t>
            </w:r>
          </w:p>
        </w:tc>
        <w:tc>
          <w:tcPr>
            <w:tcW w:w="1260" w:type="dxa"/>
            <w:vAlign w:val="bottom"/>
            <w:gridSpan w:val="2"/>
          </w:tcPr>
          <w:p>
            <w:pPr>
              <w:jc w:val="right"/>
              <w:ind w:right="4"/>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00" w:hanging="392"/>
        <w:spacing w:after="0"/>
        <w:tabs>
          <w:tab w:leader="none" w:pos="4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Excludes a pretax non-core gain on retirement of debt of $1 million in the fourth quarter of 2022.</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Holding Company and Other — Net Investment Income</w:t>
      </w:r>
    </w:p>
    <w:p>
      <w:pPr>
        <w:spacing w:after="0" w:line="30"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color w:val="auto"/>
        </w:rPr>
        <w:t>AFG recorded net investment income on investments held outside of its property and casualty insurance segment of $7 million in the fourth quarter of 2023 compared to $9 million in the fourth quarter of 2022, a decrease of $2 million (22%), reflecting the impact of lower average investment balances, partially offset by the impact of higher interest rates on cash and fixed maturity investments.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Holding Company and Other — P&amp;C Fees and Related Expenses</w:t>
      </w:r>
    </w:p>
    <w:p>
      <w:pPr>
        <w:spacing w:after="0" w:line="30"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Summit, a workers’ compensation insurance subsidiary, collects fees from a small group of unaffiliated insurers for providing underwriting, policy administration and claims services. In addition, certain of AFG’s property and casualty insurance businesses collect fees from customers for ancillary services such as workplace safety programs and premium financing. In the fourth quarter of 2023, AFG collected $23 million in fees for these services compared to $22 million in the fourth quarter of 2022. Management views this fee income, net of the $14 million in both the fourth quarter of 2023 and the fourth quarter of 2022 in expenses incurred to generate such fees, as a reduction in the cost of underwriting its property and casualty insurance policies. In addition, AFG’s property and casualty insurance businesses earned $19 million in fees as compensation for providing services during the fourth quarter of 2023 related to the administration of crop insurance business generated by CRS for its former owner prior to the acquisition date and collected less than $1 million in fees from AFG’s disposed annuity operations during the fourth quarter of 2022 as compensation for certain services provided under a transition services agreement. The expenses related to providing such services are embedded in property and casualty underwriting expenses. Consistent with internal management reporting, these fees and the related expenses are netted and recorded as a reduction of loss adjustment and other underwriting expenses in AFG’s segmented results.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Holding Company and Other — Other Income</w:t>
      </w:r>
    </w:p>
    <w:p>
      <w:pPr>
        <w:spacing w:after="0" w:line="17"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 xml:space="preserve">Other income in the table above includes $4 million in the fourth quarter of 2023 and $5 million in the fourth quarter of 2022, in management fees paid to AFG by the AFG-managed CLOs (AFG’s consolidated managed investment entities). The management fees are eliminated in consolidation — see the other income line in the Consolidate MIEs column under </w:t>
      </w:r>
      <w:r>
        <w:rPr>
          <w:rFonts w:ascii="Arial" w:cs="Arial" w:eastAsia="Arial" w:hAnsi="Arial"/>
          <w:sz w:val="17"/>
          <w:szCs w:val="17"/>
          <w:i w:val="1"/>
          <w:iCs w:val="1"/>
          <w:color w:val="auto"/>
        </w:rPr>
        <w:t>“Results of Operations — Segmented Statement of Earnings.”</w:t>
      </w:r>
      <w:r>
        <w:rPr>
          <w:rFonts w:ascii="Arial" w:cs="Arial" w:eastAsia="Arial" w:hAnsi="Arial"/>
          <w:sz w:val="17"/>
          <w:szCs w:val="17"/>
          <w:color w:val="auto"/>
        </w:rPr>
        <w:t xml:space="preserve"> Excluding amounts eliminated in consolidation, AFG recorded other income outside of its property and casualty insurance segment of $1 million and $2 million in the fourth quarter of 2023 and the fourth quarter of 2022,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Holding Company and Other — Other Expenses</w:t>
      </w:r>
    </w:p>
    <w:p>
      <w:pPr>
        <w:spacing w:after="0" w:line="30"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auto"/>
        </w:rPr>
        <w:t>Excluding the non-core gain on retirement of debt discussed below, AFG’s holding companies and other operations outside of its property and casualty insurance segment recorded other expenses of $46 million in the fourth quarter of 2023 compared to $41 million in the fourth quarter of 2022, an increase of $5 million (12%). This increase is due primarily to the impact of higher holding company expenses related to deferred compensation obligations to employees that are tied to stock market performance and higher aircraft related expenses in the fourth quarter of 2023 compared to the fourth quarter of 2022.</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Holding Company and Other — Interest Charges on Borrowed Money</w:t>
      </w:r>
    </w:p>
    <w:p>
      <w:pPr>
        <w:spacing w:after="0" w:line="17" w:lineRule="exact"/>
        <w:rPr>
          <w:sz w:val="20"/>
          <w:szCs w:val="20"/>
          <w:color w:val="auto"/>
        </w:rPr>
      </w:pPr>
    </w:p>
    <w:p>
      <w:pPr>
        <w:ind w:right="220"/>
        <w:spacing w:after="0" w:line="281" w:lineRule="auto"/>
        <w:rPr>
          <w:sz w:val="20"/>
          <w:szCs w:val="20"/>
          <w:color w:val="auto"/>
        </w:rPr>
      </w:pPr>
      <w:r>
        <w:rPr>
          <w:rFonts w:ascii="Arial" w:cs="Arial" w:eastAsia="Arial" w:hAnsi="Arial"/>
          <w:sz w:val="17"/>
          <w:szCs w:val="17"/>
          <w:color w:val="auto"/>
        </w:rPr>
        <w:t>AFG’s holding companies and other operations outside of its property and casualty insurance segment recorded interest expense of $19 million in the fourth quarter of 2023 compared to $20 million in the fourth quarter of 2022, a decrease of $1 million (5%).</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Holding Company and Other — Gain on Retirement of Debt</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During the fourth quarter of 2022, AFG retired $38 million principal amount of its senior notes, which resulted in a $1 million pretax gain.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4" w:name="page65"/>
    <w:bookmarkEnd w:id="6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5"/>
          <w:szCs w:val="25"/>
          <w:b w:val="1"/>
          <w:bCs w:val="1"/>
          <w:color w:val="00274E"/>
        </w:rPr>
        <w:t>Realized Gains (Losses) on Securities</w:t>
      </w:r>
    </w:p>
    <w:p>
      <w:pPr>
        <w:spacing w:after="0" w:line="28"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color w:val="auto"/>
        </w:rPr>
        <w:t>AFG’s realized gains (losses) on securities were net gains of $31 million in the fourth quarter of 2023 compared to $27 million in the fourth quarter of 2022, an increase of $4 million (15%). Realized gains (losses) on securities consisted of the following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color w:val="auto"/>
              </w:rPr>
              <w:t>Three months ended December 31,</w:t>
            </w:r>
          </w:p>
        </w:tc>
      </w:tr>
      <w:tr>
        <w:trPr>
          <w:trHeight w:val="196"/>
        </w:trPr>
        <w:tc>
          <w:tcPr>
            <w:tcW w:w="82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2022</w:t>
            </w:r>
          </w:p>
        </w:tc>
      </w:tr>
      <w:tr>
        <w:trPr>
          <w:trHeight w:val="20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Realized gains (losses) before impairment allowances:</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5"/>
        </w:trPr>
        <w:tc>
          <w:tcPr>
            <w:tcW w:w="8260" w:type="dxa"/>
            <w:vAlign w:val="bottom"/>
          </w:tcPr>
          <w:p>
            <w:pPr>
              <w:ind w:left="360"/>
              <w:spacing w:after="0"/>
              <w:rPr>
                <w:sz w:val="20"/>
                <w:szCs w:val="20"/>
                <w:color w:val="auto"/>
              </w:rPr>
            </w:pPr>
            <w:r>
              <w:rPr>
                <w:rFonts w:ascii="Arial" w:cs="Arial" w:eastAsia="Arial" w:hAnsi="Arial"/>
                <w:sz w:val="16"/>
                <w:szCs w:val="16"/>
                <w:color w:val="auto"/>
              </w:rPr>
              <w:t>Disposals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7"/>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the fair value of equity securities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15"/>
        </w:trPr>
        <w:tc>
          <w:tcPr>
            <w:tcW w:w="8260" w:type="dxa"/>
            <w:vAlign w:val="bottom"/>
          </w:tcPr>
          <w:p>
            <w:pPr>
              <w:ind w:left="360"/>
              <w:spacing w:after="0"/>
              <w:rPr>
                <w:sz w:val="20"/>
                <w:szCs w:val="20"/>
                <w:color w:val="auto"/>
              </w:rPr>
            </w:pPr>
            <w:r>
              <w:rPr>
                <w:rFonts w:ascii="Arial" w:cs="Arial" w:eastAsia="Arial" w:hAnsi="Arial"/>
                <w:sz w:val="16"/>
                <w:szCs w:val="16"/>
                <w:color w:val="auto"/>
              </w:rPr>
              <w:t>Change in the fair value of derivatives</w:t>
            </w: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09"/>
        </w:trPr>
        <w:tc>
          <w:tcPr>
            <w:tcW w:w="82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w:t>
            </w:r>
          </w:p>
        </w:tc>
      </w:tr>
      <w:tr>
        <w:trPr>
          <w:trHeight w:val="197"/>
        </w:trPr>
        <w:tc>
          <w:tcPr>
            <w:tcW w:w="8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5"/>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Change in allowance for impairments on securities</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35"/>
        </w:trPr>
        <w:tc>
          <w:tcPr>
            <w:tcW w:w="82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Realized gains (losses) on securities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The $33 million net realized gain from the change in the fair value of equity securities in the fourth quarter of 2023 includes gains of $15 million on investments in banks and financing companies, $6 million on investments in retail companies, $5 million on investments in healthcare companies and $5 million on investments in media companies. The $26 million net realized gain from the change in the fair value of equity securities in the fourth quarter of 2022 includes gains of $7 million on investments in banks and financing companies, $7 million on investments in energy and natural gas companies and $7 million on investments in retail companies, partially offset by losses of $7 million on investments in media companies.</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b w:val="1"/>
          <w:bCs w:val="1"/>
          <w:color w:val="00274E"/>
        </w:rPr>
        <w:t>Consolidated Income Taxes</w:t>
      </w:r>
    </w:p>
    <w:p>
      <w:pPr>
        <w:spacing w:after="0" w:line="28"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AFG’s consolidated provision for income taxes was $72 million for the fourth quarter of 2023 compared to $70 million in the fourth quarter of 2022, an increase of $2 million (3%). The following is a reconciliation of income taxes at the statutory rate to the provision for income taxes as shown in the segmented statement of earnings (dollars 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4"/>
                <w:szCs w:val="14"/>
                <w:color w:val="auto"/>
              </w:rPr>
              <w:t>Three months ended December 31,</w:t>
            </w:r>
          </w:p>
        </w:tc>
        <w:tc>
          <w:tcPr>
            <w:tcW w:w="1060" w:type="dxa"/>
            <w:vAlign w:val="bottom"/>
            <w:tcBorders>
              <w:bottom w:val="single" w:sz="8" w:color="auto"/>
            </w:tcBorders>
          </w:tcPr>
          <w:p>
            <w:pPr>
              <w:spacing w:after="0"/>
              <w:rPr>
                <w:sz w:val="16"/>
                <w:szCs w:val="16"/>
                <w:color w:val="auto"/>
              </w:rPr>
            </w:pPr>
          </w:p>
        </w:tc>
      </w:tr>
      <w:tr>
        <w:trPr>
          <w:trHeight w:val="196"/>
        </w:trPr>
        <w:tc>
          <w:tcPr>
            <w:tcW w:w="59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2023</w:t>
            </w: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2022</w:t>
            </w:r>
          </w:p>
        </w:tc>
        <w:tc>
          <w:tcPr>
            <w:tcW w:w="1060" w:type="dxa"/>
            <w:vAlign w:val="bottom"/>
            <w:tcBorders>
              <w:bottom w:val="single" w:sz="8" w:color="auto"/>
            </w:tcBorders>
          </w:tcPr>
          <w:p>
            <w:pPr>
              <w:spacing w:after="0"/>
              <w:rPr>
                <w:sz w:val="17"/>
                <w:szCs w:val="17"/>
                <w:color w:val="auto"/>
              </w:rPr>
            </w:pPr>
          </w:p>
        </w:tc>
      </w:tr>
      <w:tr>
        <w:trPr>
          <w:trHeight w:val="196"/>
        </w:trPr>
        <w:tc>
          <w:tcPr>
            <w:tcW w:w="5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3"/>
          </w:tcPr>
          <w:p>
            <w:pPr>
              <w:jc w:val="right"/>
              <w:ind w:right="640"/>
              <w:spacing w:after="0"/>
              <w:rPr>
                <w:sz w:val="20"/>
                <w:szCs w:val="20"/>
                <w:color w:val="auto"/>
              </w:rPr>
            </w:pPr>
            <w:r>
              <w:rPr>
                <w:rFonts w:ascii="Arial" w:cs="Arial" w:eastAsia="Arial" w:hAnsi="Arial"/>
                <w:sz w:val="14"/>
                <w:szCs w:val="14"/>
                <w:color w:val="auto"/>
              </w:rPr>
              <w:t>Amount</w:t>
            </w:r>
          </w:p>
        </w:tc>
        <w:tc>
          <w:tcPr>
            <w:tcW w:w="1200" w:type="dxa"/>
            <w:vAlign w:val="bottom"/>
            <w:gridSpan w:val="2"/>
          </w:tcPr>
          <w:p>
            <w:pPr>
              <w:ind w:left="140"/>
              <w:spacing w:after="0"/>
              <w:rPr>
                <w:sz w:val="20"/>
                <w:szCs w:val="20"/>
                <w:color w:val="auto"/>
              </w:rPr>
            </w:pPr>
            <w:r>
              <w:rPr>
                <w:rFonts w:ascii="Arial" w:cs="Arial" w:eastAsia="Arial" w:hAnsi="Arial"/>
                <w:sz w:val="14"/>
                <w:szCs w:val="14"/>
                <w:color w:val="auto"/>
              </w:rPr>
              <w:t>% of EBT</w:t>
            </w:r>
          </w:p>
        </w:tc>
        <w:tc>
          <w:tcPr>
            <w:tcW w:w="220" w:type="dxa"/>
            <w:vAlign w:val="bottom"/>
          </w:tcPr>
          <w:p>
            <w:pPr>
              <w:spacing w:after="0"/>
              <w:rPr>
                <w:sz w:val="17"/>
                <w:szCs w:val="17"/>
                <w:color w:val="auto"/>
              </w:rPr>
            </w:pPr>
          </w:p>
        </w:tc>
        <w:tc>
          <w:tcPr>
            <w:tcW w:w="1320" w:type="dxa"/>
            <w:vAlign w:val="bottom"/>
            <w:gridSpan w:val="3"/>
          </w:tcPr>
          <w:p>
            <w:pPr>
              <w:jc w:val="right"/>
              <w:ind w:right="720"/>
              <w:spacing w:after="0"/>
              <w:rPr>
                <w:sz w:val="20"/>
                <w:szCs w:val="20"/>
                <w:color w:val="auto"/>
              </w:rPr>
            </w:pPr>
            <w:r>
              <w:rPr>
                <w:rFonts w:ascii="Arial" w:cs="Arial" w:eastAsia="Arial" w:hAnsi="Arial"/>
                <w:sz w:val="14"/>
                <w:szCs w:val="14"/>
                <w:color w:val="auto"/>
              </w:rPr>
              <w:t>Amount</w:t>
            </w:r>
          </w:p>
        </w:tc>
        <w:tc>
          <w:tcPr>
            <w:tcW w:w="1060" w:type="dxa"/>
            <w:vAlign w:val="bottom"/>
          </w:tcPr>
          <w:p>
            <w:pPr>
              <w:jc w:val="right"/>
              <w:ind w:right="280"/>
              <w:spacing w:after="0"/>
              <w:rPr>
                <w:sz w:val="20"/>
                <w:szCs w:val="20"/>
                <w:color w:val="auto"/>
              </w:rPr>
            </w:pPr>
            <w:r>
              <w:rPr>
                <w:rFonts w:ascii="Arial" w:cs="Arial" w:eastAsia="Arial" w:hAnsi="Arial"/>
                <w:sz w:val="14"/>
                <w:szCs w:val="14"/>
                <w:color w:val="auto"/>
              </w:rPr>
              <w:t>% of EBT</w:t>
            </w:r>
          </w:p>
        </w:tc>
      </w:tr>
      <w:tr>
        <w:trPr>
          <w:trHeight w:val="238"/>
        </w:trPr>
        <w:tc>
          <w:tcPr>
            <w:tcW w:w="5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before income taxes (“EBT”)</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r>
        <w:trPr>
          <w:trHeight w:val="163"/>
        </w:trPr>
        <w:tc>
          <w:tcPr>
            <w:tcW w:w="5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16"/>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at statutory rate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r>
      <w:tr>
        <w:trPr>
          <w:trHeight w:val="215"/>
        </w:trPr>
        <w:tc>
          <w:tcPr>
            <w:tcW w:w="5960" w:type="dxa"/>
            <w:vAlign w:val="bottom"/>
          </w:tcPr>
          <w:p>
            <w:pPr>
              <w:ind w:left="20"/>
              <w:spacing w:after="0"/>
              <w:rPr>
                <w:sz w:val="20"/>
                <w:szCs w:val="20"/>
                <w:color w:val="auto"/>
              </w:rPr>
            </w:pPr>
            <w:r>
              <w:rPr>
                <w:rFonts w:ascii="Arial" w:cs="Arial" w:eastAsia="Arial" w:hAnsi="Arial"/>
                <w:sz w:val="16"/>
                <w:szCs w:val="16"/>
                <w:color w:val="auto"/>
              </w:rPr>
              <w:t>Effect of:</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7"/>
        </w:trPr>
        <w:tc>
          <w:tcPr>
            <w:tcW w:w="5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valuation allowance</w:t>
            </w:r>
          </w:p>
        </w:tc>
        <w:tc>
          <w:tcPr>
            <w:tcW w:w="2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w:t>
            </w:r>
          </w:p>
        </w:tc>
      </w:tr>
      <w:tr>
        <w:trPr>
          <w:trHeight w:val="215"/>
        </w:trPr>
        <w:tc>
          <w:tcPr>
            <w:tcW w:w="5960" w:type="dxa"/>
            <w:vAlign w:val="bottom"/>
          </w:tcPr>
          <w:p>
            <w:pPr>
              <w:ind w:left="360"/>
              <w:spacing w:after="0"/>
              <w:rPr>
                <w:sz w:val="20"/>
                <w:szCs w:val="20"/>
                <w:color w:val="auto"/>
              </w:rPr>
            </w:pPr>
            <w:r>
              <w:rPr>
                <w:rFonts w:ascii="Arial" w:cs="Arial" w:eastAsia="Arial" w:hAnsi="Arial"/>
                <w:sz w:val="16"/>
                <w:szCs w:val="16"/>
                <w:color w:val="auto"/>
              </w:rPr>
              <w:t>Employee stock ownership plan dividend paid deduction</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7"/>
        </w:trPr>
        <w:tc>
          <w:tcPr>
            <w:tcW w:w="5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Stock-based compensation</w:t>
            </w:r>
          </w:p>
        </w:tc>
        <w:tc>
          <w:tcPr>
            <w:tcW w:w="2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5"/>
        </w:trPr>
        <w:tc>
          <w:tcPr>
            <w:tcW w:w="5960" w:type="dxa"/>
            <w:vAlign w:val="bottom"/>
          </w:tcPr>
          <w:p>
            <w:pPr>
              <w:ind w:left="360"/>
              <w:spacing w:after="0"/>
              <w:rPr>
                <w:sz w:val="20"/>
                <w:szCs w:val="20"/>
                <w:color w:val="auto"/>
              </w:rPr>
            </w:pPr>
            <w:r>
              <w:rPr>
                <w:rFonts w:ascii="Arial" w:cs="Arial" w:eastAsia="Arial" w:hAnsi="Arial"/>
                <w:sz w:val="16"/>
                <w:szCs w:val="16"/>
                <w:color w:val="auto"/>
              </w:rPr>
              <w:t>Tax exempt interest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 %</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7"/>
        </w:trPr>
        <w:tc>
          <w:tcPr>
            <w:tcW w:w="5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 received deduction</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5"/>
        </w:trPr>
        <w:tc>
          <w:tcPr>
            <w:tcW w:w="5960" w:type="dxa"/>
            <w:vAlign w:val="bottom"/>
          </w:tcPr>
          <w:p>
            <w:pPr>
              <w:ind w:left="360"/>
              <w:spacing w:after="0"/>
              <w:rPr>
                <w:sz w:val="20"/>
                <w:szCs w:val="20"/>
                <w:color w:val="auto"/>
              </w:rPr>
            </w:pPr>
            <w:r>
              <w:rPr>
                <w:rFonts w:ascii="Arial" w:cs="Arial" w:eastAsia="Arial" w:hAnsi="Arial"/>
                <w:sz w:val="16"/>
                <w:szCs w:val="16"/>
                <w:color w:val="auto"/>
              </w:rPr>
              <w:t>Nondeductible expenses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1 %</w:t>
            </w:r>
          </w:p>
        </w:tc>
      </w:tr>
      <w:tr>
        <w:trPr>
          <w:trHeight w:val="217"/>
        </w:trPr>
        <w:tc>
          <w:tcPr>
            <w:tcW w:w="5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 operations</w:t>
            </w:r>
          </w:p>
        </w:tc>
        <w:tc>
          <w:tcPr>
            <w:tcW w:w="2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5"/>
        </w:trPr>
        <w:tc>
          <w:tcPr>
            <w:tcW w:w="5960" w:type="dxa"/>
            <w:vAlign w:val="bottom"/>
          </w:tcPr>
          <w:p>
            <w:pPr>
              <w:ind w:left="36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 %</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1 %</w:t>
            </w:r>
          </w:p>
        </w:tc>
      </w:tr>
      <w:tr>
        <w:trPr>
          <w:trHeight w:val="235"/>
        </w:trPr>
        <w:tc>
          <w:tcPr>
            <w:tcW w:w="5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20 %</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i w:val="1"/>
          <w:iCs w:val="1"/>
          <w:color w:val="auto"/>
        </w:rPr>
        <w:t>Note M — “Income Taxes”</w:t>
      </w:r>
      <w:r>
        <w:rPr>
          <w:rFonts w:ascii="Arial" w:cs="Arial" w:eastAsia="Arial" w:hAnsi="Arial"/>
          <w:sz w:val="17"/>
          <w:szCs w:val="17"/>
          <w:color w:val="auto"/>
        </w:rPr>
        <w:t xml:space="preserve"> to the financial statements for an analysis of items affecting AFG’s 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5" w:name="page66"/>
    <w:bookmarkEnd w:id="6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480"/>
        <w:spacing w:after="0" w:line="298" w:lineRule="auto"/>
        <w:rPr>
          <w:sz w:val="20"/>
          <w:szCs w:val="20"/>
          <w:color w:val="auto"/>
        </w:rPr>
      </w:pPr>
      <w:r>
        <w:rPr>
          <w:rFonts w:ascii="Arial" w:cs="Arial" w:eastAsia="Arial" w:hAnsi="Arial"/>
          <w:sz w:val="29"/>
          <w:szCs w:val="29"/>
          <w:b w:val="1"/>
          <w:bCs w:val="1"/>
          <w:color w:val="00274E"/>
        </w:rPr>
        <w:t>RESULTS OF OPERATIONS — YEARS ENDED DECEMBER 31, 2023, 2022 AND 2021</w:t>
      </w:r>
    </w:p>
    <w:p>
      <w:pPr>
        <w:spacing w:after="0" w:line="113" w:lineRule="exact"/>
        <w:rPr>
          <w:sz w:val="20"/>
          <w:szCs w:val="20"/>
          <w:color w:val="auto"/>
        </w:rPr>
      </w:pPr>
    </w:p>
    <w:p>
      <w:pPr>
        <w:spacing w:after="0"/>
        <w:rPr>
          <w:sz w:val="20"/>
          <w:szCs w:val="20"/>
          <w:color w:val="auto"/>
        </w:rPr>
      </w:pPr>
      <w:r>
        <w:rPr>
          <w:rFonts w:ascii="Arial" w:cs="Arial" w:eastAsia="Arial" w:hAnsi="Arial"/>
          <w:sz w:val="25"/>
          <w:szCs w:val="25"/>
          <w:b w:val="1"/>
          <w:bCs w:val="1"/>
          <w:color w:val="00274E"/>
        </w:rPr>
        <w:t>Segmented Statement of Earnings</w:t>
      </w:r>
    </w:p>
    <w:p>
      <w:pPr>
        <w:spacing w:after="0" w:line="41"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Subsequent to the sale of its annuity operations, AFG reports its continuing operations as two segments: (i) Property and casualty insurance (“P&amp;C”) and (ii) Other, which includes holding company costs and income and expenses related to the managed investment entities (“MIEs”).</w:t>
      </w:r>
    </w:p>
    <w:p>
      <w:pPr>
        <w:spacing w:after="0" w:line="121" w:lineRule="exact"/>
        <w:rPr>
          <w:sz w:val="20"/>
          <w:szCs w:val="20"/>
          <w:color w:val="auto"/>
        </w:rPr>
      </w:pPr>
    </w:p>
    <w:p>
      <w:pPr>
        <w:jc w:val="both"/>
        <w:ind w:right="460"/>
        <w:spacing w:after="0" w:line="266" w:lineRule="auto"/>
        <w:rPr>
          <w:sz w:val="20"/>
          <w:szCs w:val="20"/>
          <w:color w:val="auto"/>
        </w:rPr>
      </w:pPr>
      <w:r>
        <w:rPr>
          <w:rFonts w:ascii="Arial" w:cs="Arial" w:eastAsia="Arial" w:hAnsi="Arial"/>
          <w:sz w:val="17"/>
          <w:szCs w:val="17"/>
          <w:color w:val="auto"/>
        </w:rPr>
        <w:t>AFG’s net earnings, determined in accordance with GAAP, include certain items that may not be indicative of its ongoing core operations. The following tables for the years ended December 31, 2023, 2022 and 2021 identify such items by segment and reconcile net earnings to core net operating earnings, a non-GAAP financial measure that AFG believes is a useful tool for investors and analysts in analyzing ongoing operating trends (in millions):</w:t>
      </w:r>
    </w:p>
    <w:p>
      <w:pPr>
        <w:spacing w:after="0" w:line="91" w:lineRule="exact"/>
        <w:rPr>
          <w:sz w:val="20"/>
          <w:szCs w:val="20"/>
          <w:color w:val="auto"/>
        </w:rPr>
      </w:pPr>
    </w:p>
    <w:tbl>
      <w:tblPr>
        <w:tblLayout w:type="fixed"/>
        <w:tblInd w:w="10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748"/>
              <w:spacing w:after="0"/>
              <w:rPr>
                <w:sz w:val="20"/>
                <w:szCs w:val="20"/>
                <w:color w:val="auto"/>
              </w:rPr>
            </w:pPr>
            <w:r>
              <w:rPr>
                <w:rFonts w:ascii="Arial" w:cs="Arial" w:eastAsia="Arial" w:hAnsi="Arial"/>
                <w:sz w:val="14"/>
                <w:szCs w:val="14"/>
                <w:color w:val="auto"/>
              </w:rPr>
              <w:t>Other</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68"/>
              <w:spacing w:after="0"/>
              <w:rPr>
                <w:sz w:val="20"/>
                <w:szCs w:val="20"/>
                <w:color w:val="auto"/>
              </w:rPr>
            </w:pPr>
            <w:r>
              <w:rPr>
                <w:rFonts w:ascii="Arial" w:cs="Arial" w:eastAsia="Arial" w:hAnsi="Arial"/>
                <w:sz w:val="14"/>
                <w:szCs w:val="14"/>
                <w:color w:val="auto"/>
              </w:rPr>
              <w:t>Consol.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00"/>
              <w:spacing w:after="0" w:line="151" w:lineRule="exact"/>
              <w:rPr>
                <w:sz w:val="20"/>
                <w:szCs w:val="20"/>
                <w:color w:val="auto"/>
              </w:rPr>
            </w:pPr>
            <w:r>
              <w:rPr>
                <w:rFonts w:ascii="Arial" w:cs="Arial" w:eastAsia="Arial" w:hAnsi="Arial"/>
                <w:sz w:val="14"/>
                <w:szCs w:val="14"/>
                <w:color w:val="auto"/>
              </w:rPr>
              <w:t>Holding Co.,</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vMerge w:val="restart"/>
          </w:tcPr>
          <w:p>
            <w:pPr>
              <w:jc w:val="center"/>
              <w:ind w:right="80"/>
              <w:spacing w:after="0"/>
              <w:rPr>
                <w:sz w:val="20"/>
                <w:szCs w:val="20"/>
                <w:color w:val="auto"/>
              </w:rPr>
            </w:pPr>
            <w:r>
              <w:rPr>
                <w:rFonts w:ascii="Arial" w:cs="Arial" w:eastAsia="Arial" w:hAnsi="Arial"/>
                <w:sz w:val="14"/>
                <w:szCs w:val="14"/>
                <w:color w:val="auto"/>
              </w:rPr>
              <w:t>Non-core</w:t>
            </w:r>
          </w:p>
        </w:tc>
        <w:tc>
          <w:tcPr>
            <w:tcW w:w="140" w:type="dxa"/>
            <w:vAlign w:val="bottom"/>
          </w:tcPr>
          <w:p>
            <w:pPr>
              <w:spacing w:after="0"/>
              <w:rPr>
                <w:sz w:val="13"/>
                <w:szCs w:val="13"/>
                <w:color w:val="auto"/>
              </w:rPr>
            </w:pPr>
          </w:p>
        </w:tc>
        <w:tc>
          <w:tcPr>
            <w:tcW w:w="580" w:type="dxa"/>
            <w:vAlign w:val="bottom"/>
            <w:vMerge w:val="restart"/>
          </w:tcPr>
          <w:p>
            <w:pPr>
              <w:jc w:val="right"/>
              <w:ind w:right="88"/>
              <w:spacing w:after="0"/>
              <w:rPr>
                <w:sz w:val="20"/>
                <w:szCs w:val="20"/>
                <w:color w:val="auto"/>
              </w:rPr>
            </w:pPr>
            <w:r>
              <w:rPr>
                <w:rFonts w:ascii="Arial" w:cs="Arial" w:eastAsia="Arial" w:hAnsi="Arial"/>
                <w:sz w:val="14"/>
                <w:szCs w:val="14"/>
                <w:color w:val="auto"/>
              </w:rPr>
              <w:t>GAAP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P&amp;C</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other and</w:t>
            </w: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Total</w:t>
            </w:r>
          </w:p>
        </w:tc>
        <w:tc>
          <w:tcPr>
            <w:tcW w:w="8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148"/>
              <w:spacing w:after="0"/>
              <w:rPr>
                <w:sz w:val="20"/>
                <w:szCs w:val="20"/>
                <w:color w:val="auto"/>
              </w:rPr>
            </w:pPr>
            <w:r>
              <w:rPr>
                <w:rFonts w:ascii="Arial" w:cs="Arial" w:eastAsia="Arial" w:hAnsi="Arial"/>
                <w:sz w:val="14"/>
                <w:szCs w:val="14"/>
                <w:color w:val="auto"/>
              </w:rPr>
              <w:t>MIEs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rPr>
              <w:t>unallocated</w:t>
            </w: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reclass</w:t>
            </w:r>
          </w:p>
        </w:tc>
        <w:tc>
          <w:tcPr>
            <w:tcW w:w="140" w:type="dxa"/>
            <w:vAlign w:val="bottom"/>
          </w:tcPr>
          <w:p>
            <w:pPr>
              <w:spacing w:after="0"/>
              <w:rPr>
                <w:sz w:val="16"/>
                <w:szCs w:val="16"/>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57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Year ended December 31, 2023</w:t>
            </w: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Borders>
              <w:top w:val="single" w:sz="8" w:color="CCEEFF"/>
            </w:tcBorders>
          </w:tcPr>
          <w:p>
            <w:pPr>
              <w:spacing w:after="0"/>
              <w:rPr>
                <w:sz w:val="17"/>
                <w:szCs w:val="17"/>
                <w:color w:val="auto"/>
              </w:rPr>
            </w:pPr>
          </w:p>
        </w:tc>
        <w:tc>
          <w:tcPr>
            <w:tcW w:w="21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Revenues:</w:t>
            </w:r>
          </w:p>
        </w:tc>
        <w:tc>
          <w:tcPr>
            <w:tcW w:w="36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7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Property and casualty insurance net earned premiums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gridSpan w:val="2"/>
          </w:tcPr>
          <w:p>
            <w:pPr>
              <w:ind w:left="120"/>
              <w:spacing w:after="0"/>
              <w:rPr>
                <w:sz w:val="20"/>
                <w:szCs w:val="20"/>
                <w:color w:val="auto"/>
              </w:rPr>
            </w:pPr>
            <w:r>
              <w:rPr>
                <w:rFonts w:ascii="Arial" w:cs="Arial" w:eastAsia="Arial" w:hAnsi="Arial"/>
                <w:sz w:val="14"/>
                <w:szCs w:val="14"/>
                <w:color w:val="auto"/>
              </w:rPr>
              <w:t>Net investment income</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742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742</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7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Realized gains (losses) on:</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gridSpan w:val="2"/>
          </w:tcPr>
          <w:p>
            <w:pPr>
              <w:ind w:left="200"/>
              <w:spacing w:after="0"/>
              <w:rPr>
                <w:sz w:val="20"/>
                <w:szCs w:val="20"/>
                <w:color w:val="auto"/>
              </w:rPr>
            </w:pPr>
            <w:r>
              <w:rPr>
                <w:rFonts w:ascii="Arial" w:cs="Arial" w:eastAsia="Arial" w:hAnsi="Arial"/>
                <w:sz w:val="14"/>
                <w:szCs w:val="14"/>
                <w:color w:val="auto"/>
              </w:rPr>
              <w:t>Securities</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7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Subsidiary</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gridSpan w:val="2"/>
          </w:tcPr>
          <w:p>
            <w:pPr>
              <w:ind w:left="120"/>
              <w:spacing w:after="0"/>
              <w:rPr>
                <w:sz w:val="20"/>
                <w:szCs w:val="20"/>
                <w:color w:val="auto"/>
              </w:rPr>
            </w:pPr>
            <w:r>
              <w:rPr>
                <w:rFonts w:ascii="Arial" w:cs="Arial" w:eastAsia="Arial" w:hAnsi="Arial"/>
                <w:sz w:val="14"/>
                <w:szCs w:val="14"/>
                <w:color w:val="auto"/>
              </w:rPr>
              <w:t>Income of MIEs: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7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Investment income</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gridSpan w:val="2"/>
          </w:tcPr>
          <w:p>
            <w:pPr>
              <w:ind w:left="200"/>
              <w:spacing w:after="0"/>
              <w:rPr>
                <w:sz w:val="20"/>
                <w:szCs w:val="20"/>
                <w:color w:val="auto"/>
              </w:rPr>
            </w:pPr>
            <w:r>
              <w:rPr>
                <w:rFonts w:ascii="Arial" w:cs="Arial" w:eastAsia="Arial" w:hAnsi="Arial"/>
                <w:sz w:val="14"/>
                <w:szCs w:val="14"/>
                <w:color w:val="auto"/>
              </w:rPr>
              <w:t>Gain (loss) on change in fair value of assets/liabilities</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7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income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780" w:type="dxa"/>
            <w:vAlign w:val="bottom"/>
            <w:gridSpan w:val="2"/>
          </w:tcPr>
          <w:p>
            <w:pPr>
              <w:ind w:left="20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7,276</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405</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186</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7,867</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7,827</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800" w:type="dxa"/>
            <w:vAlign w:val="bottom"/>
            <w:gridSpan w:val="3"/>
          </w:tcPr>
          <w:p>
            <w:pPr>
              <w:ind w:left="20"/>
              <w:spacing w:after="0"/>
              <w:rPr>
                <w:sz w:val="20"/>
                <w:szCs w:val="20"/>
                <w:color w:val="auto"/>
              </w:rPr>
            </w:pPr>
            <w:r>
              <w:rPr>
                <w:rFonts w:ascii="Arial" w:cs="Arial" w:eastAsia="Arial" w:hAnsi="Arial"/>
                <w:sz w:val="14"/>
                <w:szCs w:val="14"/>
                <w:b w:val="1"/>
                <w:bCs w:val="1"/>
                <w:color w:val="auto"/>
              </w:rPr>
              <w:t>Costs and Expenses: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7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Property and casualty insurance: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80" w:type="dxa"/>
            <w:vAlign w:val="bottom"/>
            <w:gridSpan w:val="2"/>
          </w:tcPr>
          <w:p>
            <w:pPr>
              <w:ind w:left="200"/>
              <w:spacing w:after="0"/>
              <w:rPr>
                <w:sz w:val="20"/>
                <w:szCs w:val="20"/>
                <w:color w:val="auto"/>
              </w:rPr>
            </w:pPr>
            <w:r>
              <w:rPr>
                <w:rFonts w:ascii="Arial" w:cs="Arial" w:eastAsia="Arial" w:hAnsi="Arial"/>
                <w:sz w:val="14"/>
                <w:szCs w:val="14"/>
                <w:color w:val="auto"/>
              </w:rPr>
              <w:t>Losses and loss adjustment expenses</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4,017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4,033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4,033</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7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Commissions and other underwriting expenses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80" w:type="dxa"/>
            <w:vAlign w:val="bottom"/>
            <w:gridSpan w:val="2"/>
          </w:tcPr>
          <w:p>
            <w:pPr>
              <w:ind w:left="120"/>
              <w:spacing w:after="0"/>
              <w:rPr>
                <w:sz w:val="20"/>
                <w:szCs w:val="20"/>
                <w:color w:val="auto"/>
              </w:rPr>
            </w:pPr>
            <w:r>
              <w:rPr>
                <w:rFonts w:ascii="Arial" w:cs="Arial" w:eastAsia="Arial" w:hAnsi="Arial"/>
                <w:sz w:val="14"/>
                <w:szCs w:val="14"/>
                <w:color w:val="auto"/>
              </w:rPr>
              <w:t>Interest charges on borrowed money</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76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7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Expenses of MIEs</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tcPr>
          <w:p>
            <w:pPr>
              <w:spacing w:after="0"/>
              <w:rPr>
                <w:sz w:val="17"/>
                <w:szCs w:val="17"/>
                <w:color w:val="auto"/>
              </w:rPr>
            </w:pPr>
          </w:p>
        </w:tc>
        <w:tc>
          <w:tcPr>
            <w:tcW w:w="578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Other expenses</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219</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57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Total costs and expenses</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5,972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363</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6,740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6,754</w:t>
            </w:r>
          </w:p>
        </w:tc>
        <w:tc>
          <w:tcPr>
            <w:tcW w:w="0" w:type="dxa"/>
            <w:vAlign w:val="bottom"/>
          </w:tcPr>
          <w:p>
            <w:pPr>
              <w:spacing w:after="0"/>
              <w:rPr>
                <w:sz w:val="1"/>
                <w:szCs w:val="1"/>
                <w:color w:val="auto"/>
              </w:rPr>
            </w:pPr>
          </w:p>
        </w:tc>
      </w:tr>
      <w:tr>
        <w:trPr>
          <w:trHeight w:val="192"/>
        </w:trPr>
        <w:tc>
          <w:tcPr>
            <w:tcW w:w="5800" w:type="dxa"/>
            <w:vAlign w:val="bottom"/>
            <w:gridSpan w:val="3"/>
          </w:tcPr>
          <w:p>
            <w:pPr>
              <w:ind w:left="20"/>
              <w:spacing w:after="0"/>
              <w:rPr>
                <w:sz w:val="20"/>
                <w:szCs w:val="20"/>
                <w:color w:val="auto"/>
              </w:rPr>
            </w:pPr>
            <w:r>
              <w:rPr>
                <w:rFonts w:ascii="Arial" w:cs="Arial" w:eastAsia="Arial" w:hAnsi="Arial"/>
                <w:sz w:val="14"/>
                <w:szCs w:val="14"/>
                <w:color w:val="auto"/>
              </w:rPr>
              <w:t>Earnings from continuing operations before income taxes</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1,073</w:t>
            </w:r>
          </w:p>
        </w:tc>
        <w:tc>
          <w:tcPr>
            <w:tcW w:w="0" w:type="dxa"/>
            <w:vAlign w:val="bottom"/>
          </w:tcPr>
          <w:p>
            <w:pPr>
              <w:spacing w:after="0"/>
              <w:rPr>
                <w:sz w:val="1"/>
                <w:szCs w:val="1"/>
                <w:color w:val="auto"/>
              </w:rPr>
            </w:pPr>
          </w:p>
        </w:tc>
      </w:tr>
      <w:tr>
        <w:trPr>
          <w:trHeight w:val="207"/>
        </w:trPr>
        <w:tc>
          <w:tcPr>
            <w:tcW w:w="58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95"/>
        </w:trPr>
        <w:tc>
          <w:tcPr>
            <w:tcW w:w="5800" w:type="dxa"/>
            <w:vAlign w:val="bottom"/>
            <w:gridSpan w:val="3"/>
          </w:tcPr>
          <w:p>
            <w:pPr>
              <w:ind w:left="20"/>
              <w:spacing w:after="0"/>
              <w:rPr>
                <w:sz w:val="20"/>
                <w:szCs w:val="20"/>
                <w:color w:val="auto"/>
              </w:rPr>
            </w:pPr>
            <w:r>
              <w:rPr>
                <w:rFonts w:ascii="Arial" w:cs="Arial" w:eastAsia="Arial" w:hAnsi="Arial"/>
                <w:sz w:val="14"/>
                <w:szCs w:val="14"/>
                <w:b w:val="1"/>
                <w:bCs w:val="1"/>
                <w:color w:val="auto"/>
              </w:rPr>
              <w:t>Core Net Operating Earnings</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Non-core earnings (loss) (*):</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gridSpan w:val="2"/>
          </w:tcPr>
          <w:p>
            <w:pPr>
              <w:ind w:left="120"/>
              <w:spacing w:after="0"/>
              <w:rPr>
                <w:sz w:val="20"/>
                <w:szCs w:val="20"/>
                <w:color w:val="auto"/>
              </w:rPr>
            </w:pPr>
            <w:r>
              <w:rPr>
                <w:rFonts w:ascii="Arial" w:cs="Arial" w:eastAsia="Arial" w:hAnsi="Arial"/>
                <w:sz w:val="14"/>
                <w:szCs w:val="14"/>
                <w:color w:val="auto"/>
              </w:rPr>
              <w:t>Realized gains (losses) on securities, net of tax</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7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Realized loss on subsidiary</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80" w:type="dxa"/>
            <w:vAlign w:val="bottom"/>
            <w:gridSpan w:val="2"/>
          </w:tcPr>
          <w:p>
            <w:pPr>
              <w:ind w:left="120"/>
              <w:spacing w:after="0"/>
              <w:rPr>
                <w:sz w:val="20"/>
                <w:szCs w:val="20"/>
                <w:color w:val="auto"/>
              </w:rPr>
            </w:pPr>
            <w:r>
              <w:rPr>
                <w:rFonts w:ascii="Arial" w:cs="Arial" w:eastAsia="Arial" w:hAnsi="Arial"/>
                <w:sz w:val="14"/>
                <w:szCs w:val="14"/>
                <w:color w:val="auto"/>
              </w:rPr>
              <w:t>Special A&amp;E charge, net of tax</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7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Gain on retirement of debt, net of tax</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580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Earnings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1,035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(183)</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852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6" w:name="page67"/>
    <w:bookmarkEnd w:id="6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728"/>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color w:val="auto"/>
              </w:rPr>
              <w:t>Consol.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20"/>
              <w:spacing w:after="0" w:line="151" w:lineRule="exact"/>
              <w:rPr>
                <w:sz w:val="20"/>
                <w:szCs w:val="20"/>
                <w:color w:val="auto"/>
              </w:rPr>
            </w:pPr>
            <w:r>
              <w:rPr>
                <w:rFonts w:ascii="Arial" w:cs="Arial" w:eastAsia="Arial" w:hAnsi="Arial"/>
                <w:sz w:val="14"/>
                <w:szCs w:val="14"/>
                <w:color w:val="auto"/>
              </w:rPr>
              <w:t>Holding Co.,</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Non-core</w:t>
            </w:r>
          </w:p>
        </w:tc>
        <w:tc>
          <w:tcPr>
            <w:tcW w:w="140" w:type="dxa"/>
            <w:vAlign w:val="bottom"/>
          </w:tcPr>
          <w:p>
            <w:pPr>
              <w:spacing w:after="0"/>
              <w:rPr>
                <w:sz w:val="13"/>
                <w:szCs w:val="13"/>
                <w:color w:val="auto"/>
              </w:rPr>
            </w:pPr>
          </w:p>
        </w:tc>
        <w:tc>
          <w:tcPr>
            <w:tcW w:w="580" w:type="dxa"/>
            <w:vAlign w:val="bottom"/>
            <w:vMerge w:val="restart"/>
          </w:tcPr>
          <w:p>
            <w:pPr>
              <w:jc w:val="right"/>
              <w:ind w:right="88"/>
              <w:spacing w:after="0"/>
              <w:rPr>
                <w:sz w:val="20"/>
                <w:szCs w:val="20"/>
                <w:color w:val="auto"/>
              </w:rPr>
            </w:pPr>
            <w:r>
              <w:rPr>
                <w:rFonts w:ascii="Arial" w:cs="Arial" w:eastAsia="Arial" w:hAnsi="Arial"/>
                <w:sz w:val="14"/>
                <w:szCs w:val="14"/>
                <w:color w:val="auto"/>
              </w:rPr>
              <w:t>GAAP</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P&amp;C</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5" w:lineRule="exact"/>
              <w:rPr>
                <w:sz w:val="20"/>
                <w:szCs w:val="20"/>
                <w:color w:val="auto"/>
              </w:rPr>
            </w:pPr>
            <w:r>
              <w:rPr>
                <w:rFonts w:ascii="Arial" w:cs="Arial" w:eastAsia="Arial" w:hAnsi="Arial"/>
                <w:sz w:val="14"/>
                <w:szCs w:val="14"/>
                <w:color w:val="auto"/>
              </w:rPr>
              <w:t>other and</w:t>
            </w: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Total</w:t>
            </w:r>
          </w:p>
        </w:tc>
        <w:tc>
          <w:tcPr>
            <w:tcW w:w="8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MIEs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rPr>
              <w:t>unallocated</w:t>
            </w: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color w:val="auto"/>
              </w:rPr>
              <w:t>reclass</w:t>
            </w:r>
          </w:p>
        </w:tc>
        <w:tc>
          <w:tcPr>
            <w:tcW w:w="140" w:type="dxa"/>
            <w:vAlign w:val="bottom"/>
          </w:tcPr>
          <w:p>
            <w:pPr>
              <w:spacing w:after="0"/>
              <w:rPr>
                <w:sz w:val="16"/>
                <w:szCs w:val="16"/>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59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Year ended December 31, 2022</w:t>
            </w: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Borders>
              <w:top w:val="single" w:sz="8" w:color="CCEEFF"/>
            </w:tcBorders>
          </w:tcPr>
          <w:p>
            <w:pPr>
              <w:spacing w:after="0"/>
              <w:rPr>
                <w:sz w:val="17"/>
                <w:szCs w:val="17"/>
                <w:color w:val="auto"/>
              </w:rPr>
            </w:pPr>
          </w:p>
        </w:tc>
        <w:tc>
          <w:tcPr>
            <w:tcW w:w="21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Revenues:</w:t>
            </w:r>
          </w:p>
        </w:tc>
        <w:tc>
          <w:tcPr>
            <w:tcW w:w="38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Property and casualty insurance net earned premiums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Net investment income</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683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717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717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Realized gains (losses) on securities</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Income of MIEs: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Investment income</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Gain (loss) on change in fair value of assets/liabilities</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income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6,780</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230</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7,156</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7,040</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3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Costs and Expenses: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Property and casualty insurance: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Losses and loss adjustment expenses</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3,629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3,629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3,629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Commissions and other underwriting expenses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Interest charges on borrowed money</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Expenses of MIEs</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598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Other expenses</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Total costs and expenses</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5,361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230</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5,908</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5,917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80" w:type="dxa"/>
            <w:vAlign w:val="bottom"/>
            <w:gridSpan w:val="2"/>
          </w:tcPr>
          <w:p>
            <w:pPr>
              <w:spacing w:after="0"/>
              <w:rPr>
                <w:sz w:val="20"/>
                <w:szCs w:val="20"/>
                <w:color w:val="auto"/>
              </w:rPr>
            </w:pPr>
            <w:r>
              <w:rPr>
                <w:rFonts w:ascii="Arial" w:cs="Arial" w:eastAsia="Arial" w:hAnsi="Arial"/>
                <w:sz w:val="14"/>
                <w:szCs w:val="14"/>
                <w:color w:val="auto"/>
              </w:rPr>
              <w:t>Earnings from continuing operations before income taxes</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1,248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1,123</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Core Net Operating Earnings</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993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Non-core earnings (loss) (*):</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Realized gains (losses) on securities, net of tax</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Loss on retirement of debt, net of tax</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598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Other, net of tax</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220" w:type="dxa"/>
        <w:tblCellMar>
          <w:top w:w="0" w:type="dxa"/>
          <w:left w:w="0" w:type="dxa"/>
          <w:bottom w:w="0" w:type="dxa"/>
          <w:right w:w="0" w:type="dxa"/>
        </w:tblCellMar>
      </w:tblPr>
      <w:tr>
        <w:trPr>
          <w:trHeight w:val="194"/>
        </w:trPr>
        <w:tc>
          <w:tcPr>
            <w:tcW w:w="21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1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rPr>
              <w:t>Consol.</w:t>
            </w:r>
          </w:p>
        </w:tc>
        <w:tc>
          <w:tcPr>
            <w:tcW w:w="120" w:type="dxa"/>
            <w:vAlign w:val="bottom"/>
          </w:tcPr>
          <w:p>
            <w:pPr>
              <w:spacing w:after="0"/>
              <w:rPr>
                <w:sz w:val="13"/>
                <w:szCs w:val="13"/>
                <w:color w:val="auto"/>
              </w:rPr>
            </w:pPr>
          </w:p>
        </w:tc>
        <w:tc>
          <w:tcPr>
            <w:tcW w:w="1080" w:type="dxa"/>
            <w:vAlign w:val="bottom"/>
            <w:gridSpan w:val="2"/>
          </w:tcPr>
          <w:p>
            <w:pPr>
              <w:jc w:val="center"/>
              <w:ind w:right="200"/>
              <w:spacing w:after="0" w:line="151" w:lineRule="exact"/>
              <w:rPr>
                <w:sz w:val="20"/>
                <w:szCs w:val="20"/>
                <w:color w:val="auto"/>
              </w:rPr>
            </w:pPr>
            <w:r>
              <w:rPr>
                <w:rFonts w:ascii="Arial" w:cs="Arial" w:eastAsia="Arial" w:hAnsi="Arial"/>
                <w:sz w:val="14"/>
                <w:szCs w:val="14"/>
                <w:color w:val="auto"/>
              </w:rPr>
              <w:t>Holding Co.,</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Non-core</w:t>
            </w:r>
          </w:p>
        </w:tc>
        <w:tc>
          <w:tcPr>
            <w:tcW w:w="120" w:type="dxa"/>
            <w:vAlign w:val="bottom"/>
          </w:tcPr>
          <w:p>
            <w:pPr>
              <w:spacing w:after="0"/>
              <w:rPr>
                <w:sz w:val="13"/>
                <w:szCs w:val="13"/>
                <w:color w:val="auto"/>
              </w:rPr>
            </w:pPr>
          </w:p>
        </w:tc>
        <w:tc>
          <w:tcPr>
            <w:tcW w:w="540" w:type="dxa"/>
            <w:vAlign w:val="bottom"/>
            <w:vMerge w:val="restart"/>
          </w:tcPr>
          <w:p>
            <w:pPr>
              <w:jc w:val="right"/>
              <w:ind w:right="68"/>
              <w:spacing w:after="0"/>
              <w:rPr>
                <w:sz w:val="20"/>
                <w:szCs w:val="20"/>
                <w:color w:val="auto"/>
              </w:rPr>
            </w:pPr>
            <w:r>
              <w:rPr>
                <w:rFonts w:ascii="Arial" w:cs="Arial" w:eastAsia="Arial" w:hAnsi="Arial"/>
                <w:sz w:val="14"/>
                <w:szCs w:val="14"/>
                <w:color w:val="auto"/>
                <w:w w:val="97"/>
              </w:rPr>
              <w:t>GAAP</w:t>
            </w:r>
          </w:p>
        </w:tc>
        <w:tc>
          <w:tcPr>
            <w:tcW w:w="0" w:type="dxa"/>
            <w:vAlign w:val="bottom"/>
          </w:tcPr>
          <w:p>
            <w:pPr>
              <w:spacing w:after="0"/>
              <w:rPr>
                <w:sz w:val="1"/>
                <w:szCs w:val="1"/>
                <w:color w:val="auto"/>
              </w:rPr>
            </w:pPr>
          </w:p>
        </w:tc>
      </w:tr>
      <w:tr>
        <w:trPr>
          <w:trHeight w:val="144"/>
        </w:trPr>
        <w:tc>
          <w:tcPr>
            <w:tcW w:w="21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4"/>
                <w:szCs w:val="14"/>
                <w:color w:val="auto"/>
              </w:rPr>
              <w:t>P&amp;C</w:t>
            </w:r>
          </w:p>
        </w:tc>
        <w:tc>
          <w:tcPr>
            <w:tcW w:w="120" w:type="dxa"/>
            <w:vAlign w:val="bottom"/>
          </w:tcPr>
          <w:p>
            <w:pPr>
              <w:spacing w:after="0"/>
              <w:rPr>
                <w:sz w:val="12"/>
                <w:szCs w:val="12"/>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color w:val="auto"/>
              </w:rPr>
              <w:t>Annuity</w:t>
            </w: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00"/>
              <w:spacing w:after="0" w:line="145" w:lineRule="exact"/>
              <w:rPr>
                <w:sz w:val="20"/>
                <w:szCs w:val="20"/>
                <w:color w:val="auto"/>
              </w:rPr>
            </w:pPr>
            <w:r>
              <w:rPr>
                <w:rFonts w:ascii="Arial" w:cs="Arial" w:eastAsia="Arial" w:hAnsi="Arial"/>
                <w:sz w:val="14"/>
                <w:szCs w:val="14"/>
                <w:color w:val="auto"/>
              </w:rPr>
              <w:t>other and</w:t>
            </w:r>
          </w:p>
        </w:tc>
        <w:tc>
          <w:tcPr>
            <w:tcW w:w="160" w:type="dxa"/>
            <w:vAlign w:val="bottom"/>
          </w:tcPr>
          <w:p>
            <w:pPr>
              <w:spacing w:after="0"/>
              <w:rPr>
                <w:sz w:val="12"/>
                <w:szCs w:val="12"/>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4"/>
                <w:szCs w:val="14"/>
                <w:color w:val="auto"/>
              </w:rPr>
              <w:t>Total</w:t>
            </w:r>
          </w:p>
        </w:tc>
        <w:tc>
          <w:tcPr>
            <w:tcW w:w="8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color w:val="auto"/>
              </w:rPr>
              <w:t>MIEs</w:t>
            </w: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rPr>
              <w:t>unallocated</w:t>
            </w:r>
          </w:p>
        </w:tc>
        <w:tc>
          <w:tcPr>
            <w:tcW w:w="16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color w:val="auto"/>
              </w:rPr>
              <w:t>reclass</w:t>
            </w:r>
          </w:p>
        </w:tc>
        <w:tc>
          <w:tcPr>
            <w:tcW w:w="120" w:type="dxa"/>
            <w:vAlign w:val="bottom"/>
          </w:tcPr>
          <w:p>
            <w:pPr>
              <w:spacing w:after="0"/>
              <w:rPr>
                <w:sz w:val="16"/>
                <w:szCs w:val="16"/>
                <w:color w:val="auto"/>
              </w:rPr>
            </w:pPr>
          </w:p>
        </w:tc>
        <w:tc>
          <w:tcPr>
            <w:tcW w:w="540" w:type="dxa"/>
            <w:vAlign w:val="bottom"/>
          </w:tcPr>
          <w:p>
            <w:pPr>
              <w:jc w:val="right"/>
              <w:ind w:right="10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3"/>
        </w:trPr>
        <w:tc>
          <w:tcPr>
            <w:tcW w:w="2120" w:type="dxa"/>
            <w:vAlign w:val="bottom"/>
            <w:tcBorders>
              <w:top w:val="single" w:sz="8" w:color="CCEEFF"/>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Year ended December 31, 2021</w:t>
            </w:r>
          </w:p>
        </w:tc>
        <w:tc>
          <w:tcPr>
            <w:tcW w:w="27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54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90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Property and casualty insurance net earned premiums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5,404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5,404</w:t>
            </w:r>
          </w:p>
        </w:tc>
        <w:tc>
          <w:tcPr>
            <w:tcW w:w="0" w:type="dxa"/>
            <w:vAlign w:val="bottom"/>
          </w:tcPr>
          <w:p>
            <w:pPr>
              <w:spacing w:after="0"/>
              <w:rPr>
                <w:sz w:val="1"/>
                <w:szCs w:val="1"/>
                <w:color w:val="auto"/>
              </w:rPr>
            </w:pPr>
          </w:p>
        </w:tc>
      </w:tr>
      <w:tr>
        <w:trPr>
          <w:trHeight w:val="198"/>
        </w:trPr>
        <w:tc>
          <w:tcPr>
            <w:tcW w:w="4900" w:type="dxa"/>
            <w:vAlign w:val="bottom"/>
            <w:gridSpan w:val="2"/>
          </w:tcPr>
          <w:p>
            <w:pPr>
              <w:ind w:left="140"/>
              <w:spacing w:after="0"/>
              <w:rPr>
                <w:sz w:val="20"/>
                <w:szCs w:val="20"/>
                <w:color w:val="auto"/>
              </w:rPr>
            </w:pPr>
            <w:r>
              <w:rPr>
                <w:rFonts w:ascii="Arial" w:cs="Arial" w:eastAsia="Arial" w:hAnsi="Arial"/>
                <w:sz w:val="14"/>
                <w:szCs w:val="14"/>
                <w:color w:val="auto"/>
              </w:rPr>
              <w:t>Net investment income</w:t>
            </w:r>
          </w:p>
        </w:tc>
        <w:tc>
          <w:tcPr>
            <w:tcW w:w="14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663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730</w:t>
            </w:r>
          </w:p>
        </w:tc>
        <w:tc>
          <w:tcPr>
            <w:tcW w:w="0" w:type="dxa"/>
            <w:vAlign w:val="bottom"/>
          </w:tcPr>
          <w:p>
            <w:pPr>
              <w:spacing w:after="0"/>
              <w:rPr>
                <w:sz w:val="1"/>
                <w:szCs w:val="1"/>
                <w:color w:val="auto"/>
              </w:rPr>
            </w:pPr>
          </w:p>
        </w:tc>
      </w:tr>
      <w:tr>
        <w:trPr>
          <w:trHeight w:val="207"/>
        </w:trPr>
        <w:tc>
          <w:tcPr>
            <w:tcW w:w="49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Realized gains (losses) on:</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00" w:type="dxa"/>
            <w:vAlign w:val="bottom"/>
            <w:gridSpan w:val="2"/>
          </w:tcPr>
          <w:p>
            <w:pPr>
              <w:ind w:left="220"/>
              <w:spacing w:after="0"/>
              <w:rPr>
                <w:sz w:val="20"/>
                <w:szCs w:val="20"/>
                <w:color w:val="auto"/>
              </w:rPr>
            </w:pPr>
            <w:r>
              <w:rPr>
                <w:rFonts w:ascii="Arial" w:cs="Arial" w:eastAsia="Arial" w:hAnsi="Arial"/>
                <w:sz w:val="14"/>
                <w:szCs w:val="14"/>
                <w:color w:val="auto"/>
              </w:rPr>
              <w:t>Securities</w:t>
            </w:r>
          </w:p>
        </w:tc>
        <w:tc>
          <w:tcPr>
            <w:tcW w:w="14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207"/>
        </w:trPr>
        <w:tc>
          <w:tcPr>
            <w:tcW w:w="49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Subsidiaries</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8"/>
        </w:trPr>
        <w:tc>
          <w:tcPr>
            <w:tcW w:w="4900" w:type="dxa"/>
            <w:vAlign w:val="bottom"/>
            <w:gridSpan w:val="2"/>
          </w:tcPr>
          <w:p>
            <w:pPr>
              <w:ind w:left="140"/>
              <w:spacing w:after="0"/>
              <w:rPr>
                <w:sz w:val="20"/>
                <w:szCs w:val="20"/>
                <w:color w:val="auto"/>
              </w:rPr>
            </w:pPr>
            <w:r>
              <w:rPr>
                <w:rFonts w:ascii="Arial" w:cs="Arial" w:eastAsia="Arial" w:hAnsi="Arial"/>
                <w:sz w:val="14"/>
                <w:szCs w:val="14"/>
                <w:color w:val="auto"/>
              </w:rPr>
              <w:t>Income of MIEs:</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9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Investment income</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98"/>
        </w:trPr>
        <w:tc>
          <w:tcPr>
            <w:tcW w:w="4900" w:type="dxa"/>
            <w:vAlign w:val="bottom"/>
            <w:gridSpan w:val="2"/>
          </w:tcPr>
          <w:p>
            <w:pPr>
              <w:ind w:left="220"/>
              <w:spacing w:after="0"/>
              <w:rPr>
                <w:sz w:val="20"/>
                <w:szCs w:val="20"/>
                <w:color w:val="auto"/>
              </w:rPr>
            </w:pPr>
            <w:r>
              <w:rPr>
                <w:rFonts w:ascii="Arial" w:cs="Arial" w:eastAsia="Arial" w:hAnsi="Arial"/>
                <w:sz w:val="14"/>
                <w:szCs w:val="14"/>
                <w:color w:val="auto"/>
              </w:rPr>
              <w:t>Gain (loss) on change in fair value of assets/liabilities</w:t>
            </w:r>
          </w:p>
        </w:tc>
        <w:tc>
          <w:tcPr>
            <w:tcW w:w="14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7"/>
        </w:trPr>
        <w:tc>
          <w:tcPr>
            <w:tcW w:w="49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Other income</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92"/>
        </w:trPr>
        <w:tc>
          <w:tcPr>
            <w:tcW w:w="4900" w:type="dxa"/>
            <w:vAlign w:val="bottom"/>
            <w:gridSpan w:val="2"/>
          </w:tcPr>
          <w:p>
            <w:pPr>
              <w:ind w:left="220"/>
              <w:spacing w:after="0"/>
              <w:rPr>
                <w:sz w:val="20"/>
                <w:szCs w:val="20"/>
                <w:color w:val="auto"/>
              </w:rPr>
            </w:pPr>
            <w:r>
              <w:rPr>
                <w:rFonts w:ascii="Arial" w:cs="Arial" w:eastAsia="Arial" w:hAnsi="Arial"/>
                <w:sz w:val="14"/>
                <w:szCs w:val="14"/>
                <w:color w:val="auto"/>
              </w:rPr>
              <w:t>Total revenues</w:t>
            </w:r>
          </w:p>
        </w:tc>
        <w:tc>
          <w:tcPr>
            <w:tcW w:w="1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6,094</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138</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6,438</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6,552</w:t>
            </w:r>
          </w:p>
        </w:tc>
        <w:tc>
          <w:tcPr>
            <w:tcW w:w="0" w:type="dxa"/>
            <w:vAlign w:val="bottom"/>
          </w:tcPr>
          <w:p>
            <w:pPr>
              <w:spacing w:after="0"/>
              <w:rPr>
                <w:sz w:val="1"/>
                <w:szCs w:val="1"/>
                <w:color w:val="auto"/>
              </w:rPr>
            </w:pPr>
          </w:p>
        </w:tc>
      </w:tr>
      <w:tr>
        <w:trPr>
          <w:trHeight w:val="220"/>
        </w:trPr>
        <w:tc>
          <w:tcPr>
            <w:tcW w:w="212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900" w:type="dxa"/>
            <w:vAlign w:val="bottom"/>
            <w:gridSpan w:val="2"/>
          </w:tcPr>
          <w:p>
            <w:pPr>
              <w:spacing w:after="0"/>
              <w:rPr>
                <w:sz w:val="20"/>
                <w:szCs w:val="20"/>
                <w:color w:val="auto"/>
              </w:rPr>
            </w:pPr>
            <w:r>
              <w:rPr>
                <w:rFonts w:ascii="Arial" w:cs="Arial" w:eastAsia="Arial" w:hAnsi="Arial"/>
                <w:sz w:val="14"/>
                <w:szCs w:val="14"/>
                <w:b w:val="1"/>
                <w:bCs w:val="1"/>
                <w:color w:val="auto"/>
              </w:rPr>
              <w:t>Costs and Expenses:</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Property and casualty insurance:</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00" w:type="dxa"/>
            <w:vAlign w:val="bottom"/>
            <w:gridSpan w:val="2"/>
          </w:tcPr>
          <w:p>
            <w:pPr>
              <w:ind w:left="220"/>
              <w:spacing w:after="0"/>
              <w:rPr>
                <w:sz w:val="20"/>
                <w:szCs w:val="20"/>
                <w:color w:val="auto"/>
              </w:rPr>
            </w:pPr>
            <w:r>
              <w:rPr>
                <w:rFonts w:ascii="Arial" w:cs="Arial" w:eastAsia="Arial" w:hAnsi="Arial"/>
                <w:sz w:val="14"/>
                <w:szCs w:val="14"/>
                <w:color w:val="auto"/>
              </w:rPr>
              <w:t>Losses and loss adjustment expenses</w:t>
            </w:r>
          </w:p>
        </w:tc>
        <w:tc>
          <w:tcPr>
            <w:tcW w:w="14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3,157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3,157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3,157</w:t>
            </w:r>
          </w:p>
        </w:tc>
        <w:tc>
          <w:tcPr>
            <w:tcW w:w="0" w:type="dxa"/>
            <w:vAlign w:val="bottom"/>
          </w:tcPr>
          <w:p>
            <w:pPr>
              <w:spacing w:after="0"/>
              <w:rPr>
                <w:sz w:val="1"/>
                <w:szCs w:val="1"/>
                <w:color w:val="auto"/>
              </w:rPr>
            </w:pPr>
          </w:p>
        </w:tc>
      </w:tr>
      <w:tr>
        <w:trPr>
          <w:trHeight w:val="207"/>
        </w:trPr>
        <w:tc>
          <w:tcPr>
            <w:tcW w:w="49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Commissions and other underwriting expenses</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1,514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1,547</w:t>
            </w:r>
          </w:p>
        </w:tc>
        <w:tc>
          <w:tcPr>
            <w:tcW w:w="0" w:type="dxa"/>
            <w:vAlign w:val="bottom"/>
          </w:tcPr>
          <w:p>
            <w:pPr>
              <w:spacing w:after="0"/>
              <w:rPr>
                <w:sz w:val="1"/>
                <w:szCs w:val="1"/>
                <w:color w:val="auto"/>
              </w:rPr>
            </w:pPr>
          </w:p>
        </w:tc>
      </w:tr>
      <w:tr>
        <w:trPr>
          <w:trHeight w:val="198"/>
        </w:trPr>
        <w:tc>
          <w:tcPr>
            <w:tcW w:w="4900" w:type="dxa"/>
            <w:vAlign w:val="bottom"/>
            <w:gridSpan w:val="2"/>
          </w:tcPr>
          <w:p>
            <w:pPr>
              <w:ind w:left="140"/>
              <w:spacing w:after="0"/>
              <w:rPr>
                <w:sz w:val="20"/>
                <w:szCs w:val="20"/>
                <w:color w:val="auto"/>
              </w:rPr>
            </w:pPr>
            <w:r>
              <w:rPr>
                <w:rFonts w:ascii="Arial" w:cs="Arial" w:eastAsia="Arial" w:hAnsi="Arial"/>
                <w:sz w:val="14"/>
                <w:szCs w:val="14"/>
                <w:color w:val="auto"/>
              </w:rPr>
              <w:t>Interest charges on borrowed money</w:t>
            </w:r>
          </w:p>
        </w:tc>
        <w:tc>
          <w:tcPr>
            <w:tcW w:w="14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94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07"/>
        </w:trPr>
        <w:tc>
          <w:tcPr>
            <w:tcW w:w="49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Expenses of MIEs</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98"/>
        </w:trPr>
        <w:tc>
          <w:tcPr>
            <w:tcW w:w="4900" w:type="dxa"/>
            <w:vAlign w:val="bottom"/>
            <w:gridSpan w:val="2"/>
          </w:tcPr>
          <w:p>
            <w:pPr>
              <w:ind w:left="140"/>
              <w:spacing w:after="0"/>
              <w:rPr>
                <w:sz w:val="20"/>
                <w:szCs w:val="20"/>
                <w:color w:val="auto"/>
              </w:rPr>
            </w:pPr>
            <w:r>
              <w:rPr>
                <w:rFonts w:ascii="Arial" w:cs="Arial" w:eastAsia="Arial" w:hAnsi="Arial"/>
                <w:sz w:val="14"/>
                <w:szCs w:val="14"/>
                <w:color w:val="auto"/>
              </w:rPr>
              <w:t>Other expenses</w:t>
            </w:r>
          </w:p>
        </w:tc>
        <w:tc>
          <w:tcPr>
            <w:tcW w:w="14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219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253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200"/>
        </w:trPr>
        <w:tc>
          <w:tcPr>
            <w:tcW w:w="490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costs and expenses</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4,704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346</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5,206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5,217</w:t>
            </w:r>
          </w:p>
        </w:tc>
        <w:tc>
          <w:tcPr>
            <w:tcW w:w="0" w:type="dxa"/>
            <w:vAlign w:val="bottom"/>
          </w:tcPr>
          <w:p>
            <w:pPr>
              <w:spacing w:after="0"/>
              <w:rPr>
                <w:sz w:val="1"/>
                <w:szCs w:val="1"/>
                <w:color w:val="auto"/>
              </w:rPr>
            </w:pPr>
          </w:p>
        </w:tc>
      </w:tr>
      <w:tr>
        <w:trPr>
          <w:trHeight w:val="192"/>
        </w:trPr>
        <w:tc>
          <w:tcPr>
            <w:tcW w:w="4900" w:type="dxa"/>
            <w:vAlign w:val="bottom"/>
            <w:gridSpan w:val="2"/>
          </w:tcPr>
          <w:p>
            <w:pPr>
              <w:spacing w:after="0"/>
              <w:rPr>
                <w:sz w:val="20"/>
                <w:szCs w:val="20"/>
                <w:color w:val="auto"/>
              </w:rPr>
            </w:pPr>
            <w:r>
              <w:rPr>
                <w:rFonts w:ascii="Arial" w:cs="Arial" w:eastAsia="Arial" w:hAnsi="Arial"/>
                <w:sz w:val="14"/>
                <w:szCs w:val="14"/>
                <w:color w:val="auto"/>
              </w:rPr>
              <w:t>Earnings from continuing operations before income taxes</w:t>
            </w:r>
          </w:p>
        </w:tc>
        <w:tc>
          <w:tcPr>
            <w:tcW w:w="140" w:type="dxa"/>
            <w:vAlign w:val="bottom"/>
          </w:tcPr>
          <w:p>
            <w:pPr>
              <w:spacing w:after="0"/>
              <w:rPr>
                <w:sz w:val="16"/>
                <w:szCs w:val="16"/>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1,390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1,232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1,335</w:t>
            </w:r>
          </w:p>
        </w:tc>
        <w:tc>
          <w:tcPr>
            <w:tcW w:w="0" w:type="dxa"/>
            <w:vAlign w:val="bottom"/>
          </w:tcPr>
          <w:p>
            <w:pPr>
              <w:spacing w:after="0"/>
              <w:rPr>
                <w:sz w:val="1"/>
                <w:szCs w:val="1"/>
                <w:color w:val="auto"/>
              </w:rPr>
            </w:pPr>
          </w:p>
        </w:tc>
      </w:tr>
      <w:tr>
        <w:trPr>
          <w:trHeight w:val="207"/>
        </w:trPr>
        <w:tc>
          <w:tcPr>
            <w:tcW w:w="4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1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279</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195"/>
        </w:trPr>
        <w:tc>
          <w:tcPr>
            <w:tcW w:w="4900" w:type="dxa"/>
            <w:vAlign w:val="bottom"/>
            <w:gridSpan w:val="2"/>
          </w:tcPr>
          <w:p>
            <w:pPr>
              <w:spacing w:after="0"/>
              <w:rPr>
                <w:sz w:val="20"/>
                <w:szCs w:val="20"/>
                <w:color w:val="auto"/>
              </w:rPr>
            </w:pPr>
            <w:r>
              <w:rPr>
                <w:rFonts w:ascii="Arial" w:cs="Arial" w:eastAsia="Arial" w:hAnsi="Arial"/>
                <w:sz w:val="14"/>
                <w:szCs w:val="14"/>
                <w:b w:val="1"/>
                <w:bCs w:val="1"/>
                <w:color w:val="auto"/>
              </w:rPr>
              <w:t>Core Net Operating Earnings</w:t>
            </w:r>
          </w:p>
        </w:tc>
        <w:tc>
          <w:tcPr>
            <w:tcW w:w="140" w:type="dxa"/>
            <w:vAlign w:val="bottom"/>
          </w:tcPr>
          <w:p>
            <w:pPr>
              <w:spacing w:after="0"/>
              <w:rPr>
                <w:sz w:val="16"/>
                <w:szCs w:val="16"/>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1,111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993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Non-core earnings (loss) (*):</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00" w:type="dxa"/>
            <w:vAlign w:val="bottom"/>
            <w:gridSpan w:val="2"/>
          </w:tcPr>
          <w:p>
            <w:pPr>
              <w:ind w:left="140"/>
              <w:spacing w:after="0"/>
              <w:rPr>
                <w:sz w:val="20"/>
                <w:szCs w:val="20"/>
                <w:color w:val="auto"/>
              </w:rPr>
            </w:pPr>
            <w:r>
              <w:rPr>
                <w:rFonts w:ascii="Arial" w:cs="Arial" w:eastAsia="Arial" w:hAnsi="Arial"/>
                <w:sz w:val="14"/>
                <w:szCs w:val="14"/>
                <w:color w:val="auto"/>
              </w:rPr>
              <w:t>Realized gains (losses) on securities, net of tax</w:t>
            </w:r>
          </w:p>
        </w:tc>
        <w:tc>
          <w:tcPr>
            <w:tcW w:w="14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87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49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Discontinued operations, net of tax</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w:t>
            </w:r>
          </w:p>
        </w:tc>
        <w:tc>
          <w:tcPr>
            <w:tcW w:w="0" w:type="dxa"/>
            <w:vAlign w:val="bottom"/>
          </w:tcPr>
          <w:p>
            <w:pPr>
              <w:spacing w:after="0"/>
              <w:rPr>
                <w:sz w:val="1"/>
                <w:szCs w:val="1"/>
                <w:color w:val="auto"/>
              </w:rPr>
            </w:pPr>
          </w:p>
        </w:tc>
      </w:tr>
      <w:tr>
        <w:trPr>
          <w:trHeight w:val="198"/>
        </w:trPr>
        <w:tc>
          <w:tcPr>
            <w:tcW w:w="4900" w:type="dxa"/>
            <w:vAlign w:val="bottom"/>
            <w:gridSpan w:val="2"/>
          </w:tcPr>
          <w:p>
            <w:pPr>
              <w:ind w:left="140"/>
              <w:spacing w:after="0"/>
              <w:rPr>
                <w:sz w:val="20"/>
                <w:szCs w:val="20"/>
                <w:color w:val="auto"/>
              </w:rPr>
            </w:pPr>
            <w:r>
              <w:rPr>
                <w:rFonts w:ascii="Arial" w:cs="Arial" w:eastAsia="Arial" w:hAnsi="Arial"/>
                <w:sz w:val="14"/>
                <w:szCs w:val="14"/>
                <w:color w:val="auto"/>
              </w:rPr>
              <w:t>Realized gain on subsidiaries, net of tax</w:t>
            </w:r>
          </w:p>
        </w:tc>
        <w:tc>
          <w:tcPr>
            <w:tcW w:w="140" w:type="dxa"/>
            <w:vAlign w:val="bottom"/>
          </w:tcPr>
          <w:p>
            <w:pPr>
              <w:spacing w:after="0"/>
              <w:rPr>
                <w:sz w:val="17"/>
                <w:szCs w:val="17"/>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9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Other, net of tax</w:t>
            </w:r>
          </w:p>
        </w:tc>
        <w:tc>
          <w:tcPr>
            <w:tcW w:w="1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4900" w:type="dxa"/>
            <w:vAlign w:val="bottom"/>
            <w:gridSpan w:val="2"/>
          </w:tcPr>
          <w:p>
            <w:pPr>
              <w:spacing w:after="0"/>
              <w:rPr>
                <w:sz w:val="20"/>
                <w:szCs w:val="20"/>
                <w:color w:val="auto"/>
              </w:rPr>
            </w:pPr>
            <w:r>
              <w:rPr>
                <w:rFonts w:ascii="Arial" w:cs="Arial" w:eastAsia="Arial" w:hAnsi="Arial"/>
                <w:sz w:val="14"/>
                <w:szCs w:val="14"/>
                <w:b w:val="1"/>
                <w:bCs w:val="1"/>
                <w:color w:val="auto"/>
              </w:rPr>
              <w:t>Net Earnings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1,114</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953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(72)</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1,995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1,995</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420" w:right="20" w:hanging="412"/>
        <w:spacing w:after="0" w:line="301" w:lineRule="auto"/>
        <w:tabs>
          <w:tab w:leader="none" w:pos="411"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See the reconciliation of core earnings to GAAP net earnings under </w:t>
      </w:r>
      <w:r>
        <w:rPr>
          <w:rFonts w:ascii="Arial" w:cs="Arial" w:eastAsia="Arial" w:hAnsi="Arial"/>
          <w:sz w:val="17"/>
          <w:szCs w:val="17"/>
          <w:i w:val="1"/>
          <w:iCs w:val="1"/>
          <w:color w:val="auto"/>
        </w:rPr>
        <w:t>“Results of Operations — General”</w:t>
      </w:r>
      <w:r>
        <w:rPr>
          <w:rFonts w:ascii="Arial" w:cs="Arial" w:eastAsia="Arial" w:hAnsi="Arial"/>
          <w:sz w:val="17"/>
          <w:szCs w:val="17"/>
          <w:color w:val="auto"/>
        </w:rPr>
        <w:t xml:space="preserve"> for details on the tax and noncontrolling interest impacts of these reconciling items.</w:t>
      </w:r>
    </w:p>
    <w:p>
      <w:pPr>
        <w:spacing w:after="0" w:line="169" w:lineRule="exact"/>
        <w:rPr>
          <w:sz w:val="20"/>
          <w:szCs w:val="20"/>
          <w:color w:val="auto"/>
        </w:rPr>
      </w:pPr>
    </w:p>
    <w:p>
      <w:pPr>
        <w:spacing w:after="0"/>
        <w:rPr>
          <w:sz w:val="20"/>
          <w:szCs w:val="20"/>
          <w:color w:val="auto"/>
        </w:rPr>
      </w:pPr>
      <w:r>
        <w:rPr>
          <w:rFonts w:ascii="Arial" w:cs="Arial" w:eastAsia="Arial" w:hAnsi="Arial"/>
          <w:sz w:val="25"/>
          <w:szCs w:val="25"/>
          <w:b w:val="1"/>
          <w:bCs w:val="1"/>
          <w:color w:val="00274E"/>
        </w:rPr>
        <w:t>Property and Casualty Insurance Segment — Results of Operations</w:t>
      </w:r>
    </w:p>
    <w:p>
      <w:pPr>
        <w:spacing w:after="0" w:line="28"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AFG’s property and casualty insurance operations contributed $1.30 billion in GAAP pretax earnings in 2023 compared to $1.42 billion in 2022, a decrease of $119 million (8%). Property and casualty core pretax earnings were $1.30 billion in 2023 compared to $1.42 billion in 2022, a decrease of $115 million (8%). The decrease in GAAP and core pretax earnings reflects lower underwriting profit and lower investment income from AFG’s alternative investment portfolio (partnerships and similar investments and AFG-managed CLOs), partially offset by higher investment income outside of alternative investments in 2023 compared to 2022.</w:t>
      </w:r>
    </w:p>
    <w:p>
      <w:pPr>
        <w:spacing w:after="0" w:line="210"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AFG’s property and casualty insurance operations contributed $1.42 billion in GAAP pretax earnings in 2022 compared to $1.39 billion in 2021, an increase of $25 million (2%). Property and casualty core pretax earnings were $1.42 billion in 2022 compared to $1.39 billion in 2021, an increase of $29 million (2%). The increase in GAAP and core pretax earnings reflects higher underwriting profit and higher investment income outside of alternative investments, partially offset by lower investment income from AFG’s alternative investment portfolio and higher other net expenses in 2022 compared to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8" w:name="page69"/>
    <w:bookmarkEnd w:id="6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300"/>
        <w:spacing w:after="0" w:line="284" w:lineRule="auto"/>
        <w:rPr>
          <w:sz w:val="20"/>
          <w:szCs w:val="20"/>
          <w:color w:val="auto"/>
        </w:rPr>
      </w:pPr>
      <w:r>
        <w:rPr>
          <w:rFonts w:ascii="Arial" w:cs="Arial" w:eastAsia="Arial" w:hAnsi="Arial"/>
          <w:sz w:val="17"/>
          <w:szCs w:val="17"/>
          <w:color w:val="auto"/>
        </w:rPr>
        <w:t>The following table details AFG’s GAAP and core earnings before income taxes from its property and casualty insurance operations for the years ended December 31, 2023, 2022 and 2021 (dollars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6"/>
          </w:tcPr>
          <w:p>
            <w:pPr>
              <w:jc w:val="center"/>
              <w:ind w:left="641"/>
              <w:spacing w:after="0"/>
              <w:rPr>
                <w:sz w:val="20"/>
                <w:szCs w:val="20"/>
                <w:color w:val="auto"/>
              </w:rPr>
            </w:pPr>
            <w:r>
              <w:rPr>
                <w:rFonts w:ascii="Arial" w:cs="Arial" w:eastAsia="Arial" w:hAnsi="Arial"/>
                <w:sz w:val="14"/>
                <w:szCs w:val="14"/>
                <w:color w:val="auto"/>
              </w:rPr>
              <w:t>Year ended December 31,</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rPr>
              <w:t>% Change</w:t>
            </w:r>
          </w:p>
        </w:tc>
      </w:tr>
      <w:tr>
        <w:trPr>
          <w:trHeight w:val="196"/>
        </w:trPr>
        <w:tc>
          <w:tcPr>
            <w:tcW w:w="4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41"/>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center"/>
              <w:ind w:right="240"/>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20"/>
              <w:spacing w:after="0"/>
              <w:rPr>
                <w:sz w:val="20"/>
                <w:szCs w:val="20"/>
                <w:color w:val="auto"/>
              </w:rPr>
            </w:pPr>
            <w:r>
              <w:rPr>
                <w:rFonts w:ascii="Arial" w:cs="Arial" w:eastAsia="Arial" w:hAnsi="Arial"/>
                <w:sz w:val="14"/>
                <w:szCs w:val="14"/>
                <w:color w:val="auto"/>
              </w:rPr>
              <w:t>2021</w:t>
            </w:r>
          </w:p>
        </w:tc>
        <w:tc>
          <w:tcPr>
            <w:tcW w:w="1280" w:type="dxa"/>
            <w:vAlign w:val="bottom"/>
            <w:gridSpan w:val="2"/>
          </w:tcPr>
          <w:p>
            <w:pPr>
              <w:jc w:val="right"/>
              <w:ind w:right="124"/>
              <w:spacing w:after="0"/>
              <w:rPr>
                <w:sz w:val="20"/>
                <w:szCs w:val="20"/>
                <w:color w:val="auto"/>
              </w:rPr>
            </w:pPr>
            <w:r>
              <w:rPr>
                <w:rFonts w:ascii="Arial" w:cs="Arial" w:eastAsia="Arial" w:hAnsi="Arial"/>
                <w:sz w:val="14"/>
                <w:szCs w:val="14"/>
                <w:color w:val="auto"/>
              </w:rPr>
              <w:t>2023 - 2022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120"/>
              <w:spacing w:after="0"/>
              <w:rPr>
                <w:sz w:val="20"/>
                <w:szCs w:val="20"/>
                <w:color w:val="auto"/>
              </w:rPr>
            </w:pPr>
            <w:r>
              <w:rPr>
                <w:rFonts w:ascii="Arial" w:cs="Arial" w:eastAsia="Arial" w:hAnsi="Arial"/>
                <w:sz w:val="14"/>
                <w:szCs w:val="14"/>
                <w:color w:val="auto"/>
              </w:rPr>
              <w:t>2022 - 2021</w:t>
            </w:r>
          </w:p>
        </w:tc>
      </w:tr>
      <w:tr>
        <w:trPr>
          <w:trHeight w:val="213"/>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written premiums</w:t>
            </w: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9,656</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9,057</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7,946</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7 %</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14 %</w:t>
            </w:r>
          </w:p>
        </w:tc>
      </w:tr>
      <w:tr>
        <w:trPr>
          <w:trHeight w:val="215"/>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Reinsurance premiums ceded</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(2,964)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(2,851)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(2,373)</w:t>
            </w:r>
          </w:p>
        </w:tc>
        <w:tc>
          <w:tcPr>
            <w:tcW w:w="1280" w:type="dxa"/>
            <w:vAlign w:val="bottom"/>
            <w:tcBorders>
              <w:bottom w:val="single" w:sz="8" w:color="CCEEFF"/>
            </w:tcBorders>
            <w:gridSpan w:val="2"/>
          </w:tcPr>
          <w:p>
            <w:pPr>
              <w:jc w:val="right"/>
              <w:ind w:right="4"/>
              <w:spacing w:after="0"/>
              <w:rPr>
                <w:sz w:val="20"/>
                <w:szCs w:val="20"/>
                <w:color w:val="auto"/>
              </w:rPr>
            </w:pPr>
            <w:r>
              <w:rPr>
                <w:rFonts w:ascii="Arial" w:cs="Arial" w:eastAsia="Arial" w:hAnsi="Arial"/>
                <w:sz w:val="16"/>
                <w:szCs w:val="16"/>
                <w:color w:val="auto"/>
              </w:rPr>
              <w:t>4 %</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20 %</w:t>
            </w:r>
          </w:p>
        </w:tc>
      </w:tr>
      <w:tr>
        <w:trPr>
          <w:trHeight w:val="210"/>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written premiums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6,692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6,206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5,573</w:t>
            </w:r>
          </w:p>
        </w:tc>
        <w:tc>
          <w:tcPr>
            <w:tcW w:w="128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8 %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r>
      <w:tr>
        <w:trPr>
          <w:trHeight w:val="215"/>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in unearned premiums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(169)</w:t>
            </w:r>
          </w:p>
        </w:tc>
        <w:tc>
          <w:tcPr>
            <w:tcW w:w="1280" w:type="dxa"/>
            <w:vAlign w:val="bottom"/>
            <w:tcBorders>
              <w:bottom w:val="single" w:sz="8" w:color="CCEEFF"/>
            </w:tcBorders>
            <w:gridSpan w:val="2"/>
          </w:tcPr>
          <w:p>
            <w:pPr>
              <w:jc w:val="right"/>
              <w:ind w:right="4"/>
              <w:spacing w:after="0"/>
              <w:rPr>
                <w:sz w:val="20"/>
                <w:szCs w:val="20"/>
                <w:color w:val="auto"/>
              </w:rPr>
            </w:pPr>
            <w:r>
              <w:rPr>
                <w:rFonts w:ascii="Arial" w:cs="Arial" w:eastAsia="Arial" w:hAnsi="Arial"/>
                <w:sz w:val="16"/>
                <w:szCs w:val="16"/>
                <w:color w:val="auto"/>
              </w:rPr>
              <w:t>33 %</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(28 %)</w:t>
            </w:r>
          </w:p>
        </w:tc>
      </w:tr>
      <w:tr>
        <w:trPr>
          <w:trHeight w:val="210"/>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earned premiums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6,531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6,085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5,404</w:t>
            </w:r>
          </w:p>
        </w:tc>
        <w:tc>
          <w:tcPr>
            <w:tcW w:w="128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7 %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r>
      <w:tr>
        <w:trPr>
          <w:trHeight w:val="215"/>
        </w:trPr>
        <w:tc>
          <w:tcPr>
            <w:tcW w:w="4440" w:type="dxa"/>
            <w:vAlign w:val="bottom"/>
          </w:tcPr>
          <w:p>
            <w:pPr>
              <w:ind w:left="20"/>
              <w:spacing w:after="0"/>
              <w:rPr>
                <w:sz w:val="20"/>
                <w:szCs w:val="20"/>
                <w:color w:val="auto"/>
              </w:rPr>
            </w:pPr>
            <w:r>
              <w:rPr>
                <w:rFonts w:ascii="Arial" w:cs="Arial" w:eastAsia="Arial" w:hAnsi="Arial"/>
                <w:sz w:val="16"/>
                <w:szCs w:val="16"/>
                <w:color w:val="auto"/>
              </w:rPr>
              <w:t>Loss and loss adjustment expenses</w:t>
            </w:r>
          </w:p>
        </w:tc>
        <w:tc>
          <w:tcPr>
            <w:tcW w:w="32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Arial" w:cs="Arial" w:eastAsia="Arial" w:hAnsi="Arial"/>
                <w:sz w:val="16"/>
                <w:szCs w:val="16"/>
                <w:color w:val="auto"/>
              </w:rPr>
              <w:t>4,017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3,629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3,157</w:t>
            </w:r>
          </w:p>
        </w:tc>
        <w:tc>
          <w:tcPr>
            <w:tcW w:w="1280" w:type="dxa"/>
            <w:vAlign w:val="bottom"/>
            <w:gridSpan w:val="2"/>
          </w:tcPr>
          <w:p>
            <w:pPr>
              <w:jc w:val="right"/>
              <w:ind w:right="4"/>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15 %</w:t>
            </w:r>
          </w:p>
        </w:tc>
      </w:tr>
      <w:tr>
        <w:trPr>
          <w:trHeight w:val="217"/>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Commissions and other underwriting expenses</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1,883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1,680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1,514</w:t>
            </w:r>
          </w:p>
        </w:tc>
        <w:tc>
          <w:tcPr>
            <w:tcW w:w="128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12 %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r>
      <w:tr>
        <w:trPr>
          <w:trHeight w:val="209"/>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Underwriting gain</w:t>
            </w:r>
          </w:p>
        </w:tc>
        <w:tc>
          <w:tcPr>
            <w:tcW w:w="32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Arial" w:cs="Arial" w:eastAsia="Arial" w:hAnsi="Arial"/>
                <w:sz w:val="16"/>
                <w:szCs w:val="16"/>
                <w:color w:val="auto"/>
              </w:rPr>
              <w:t>631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776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733</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6 %</w:t>
            </w:r>
          </w:p>
        </w:tc>
      </w:tr>
      <w:tr>
        <w:trPr>
          <w:trHeight w:val="216"/>
        </w:trPr>
        <w:tc>
          <w:tcPr>
            <w:tcW w:w="4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5"/>
        </w:trPr>
        <w:tc>
          <w:tcPr>
            <w:tcW w:w="4440" w:type="dxa"/>
            <w:vAlign w:val="bottom"/>
          </w:tcPr>
          <w:p>
            <w:pPr>
              <w:ind w:left="20"/>
              <w:spacing w:after="0"/>
              <w:rPr>
                <w:sz w:val="20"/>
                <w:szCs w:val="20"/>
                <w:color w:val="auto"/>
              </w:rPr>
            </w:pPr>
            <w:r>
              <w:rPr>
                <w:rFonts w:ascii="Arial" w:cs="Arial" w:eastAsia="Arial" w:hAnsi="Arial"/>
                <w:sz w:val="16"/>
                <w:szCs w:val="16"/>
                <w:color w:val="auto"/>
              </w:rPr>
              <w:t>Net investment income</w:t>
            </w:r>
          </w:p>
        </w:tc>
        <w:tc>
          <w:tcPr>
            <w:tcW w:w="32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Arial" w:cs="Arial" w:eastAsia="Arial" w:hAnsi="Arial"/>
                <w:sz w:val="16"/>
                <w:szCs w:val="16"/>
                <w:color w:val="auto"/>
              </w:rPr>
              <w:t>729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683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663</w:t>
            </w:r>
          </w:p>
        </w:tc>
        <w:tc>
          <w:tcPr>
            <w:tcW w:w="1280" w:type="dxa"/>
            <w:vAlign w:val="bottom"/>
            <w:gridSpan w:val="2"/>
          </w:tcPr>
          <w:p>
            <w:pPr>
              <w:jc w:val="right"/>
              <w:ind w:right="4"/>
              <w:spacing w:after="0"/>
              <w:rPr>
                <w:sz w:val="20"/>
                <w:szCs w:val="20"/>
                <w:color w:val="auto"/>
              </w:rPr>
            </w:pPr>
            <w:r>
              <w:rPr>
                <w:rFonts w:ascii="Arial" w:cs="Arial" w:eastAsia="Arial" w:hAnsi="Arial"/>
                <w:sz w:val="16"/>
                <w:szCs w:val="16"/>
                <w:color w:val="auto"/>
              </w:rPr>
              <w:t>7 %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3 %</w:t>
            </w:r>
          </w:p>
        </w:tc>
      </w:tr>
      <w:tr>
        <w:trPr>
          <w:trHeight w:val="217"/>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and expenses, net</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(6)</w:t>
            </w:r>
          </w:p>
        </w:tc>
        <w:tc>
          <w:tcPr>
            <w:tcW w:w="128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40 %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567 %</w:t>
            </w:r>
          </w:p>
        </w:tc>
      </w:tr>
      <w:tr>
        <w:trPr>
          <w:trHeight w:val="209"/>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Core earnings before income taxes</w:t>
            </w:r>
          </w:p>
        </w:tc>
        <w:tc>
          <w:tcPr>
            <w:tcW w:w="32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Arial" w:cs="Arial" w:eastAsia="Arial" w:hAnsi="Arial"/>
                <w:sz w:val="16"/>
                <w:szCs w:val="16"/>
                <w:color w:val="auto"/>
              </w:rPr>
              <w:t>1,304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1,419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1,390</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(8 %)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2 %</w:t>
            </w:r>
          </w:p>
        </w:tc>
      </w:t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Realized gain (loss) on subsidiaries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ind w:left="760"/>
              <w:spacing w:after="0"/>
              <w:rPr>
                <w:sz w:val="20"/>
                <w:szCs w:val="20"/>
                <w:color w:val="auto"/>
              </w:rPr>
            </w:pPr>
            <w:r>
              <w:rPr>
                <w:rFonts w:ascii="Arial" w:cs="Arial" w:eastAsia="Arial" w:hAnsi="Arial"/>
                <w:sz w:val="16"/>
                <w:szCs w:val="16"/>
                <w:color w:val="auto"/>
              </w:rPr>
              <w:t>— %</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183"/>
        </w:trPr>
        <w:tc>
          <w:tcPr>
            <w:tcW w:w="444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GAAP earnings before income taxes</w:t>
            </w:r>
          </w:p>
        </w:tc>
        <w:tc>
          <w:tcPr>
            <w:tcW w:w="320" w:type="dxa"/>
            <w:vAlign w:val="bottom"/>
            <w:tcBorders>
              <w:top w:val="single" w:sz="8" w:color="auto"/>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21"/>
              <w:spacing w:after="0" w:line="183" w:lineRule="exact"/>
              <w:rPr>
                <w:sz w:val="20"/>
                <w:szCs w:val="20"/>
                <w:color w:val="auto"/>
              </w:rPr>
            </w:pPr>
            <w:r>
              <w:rPr>
                <w:rFonts w:ascii="Arial" w:cs="Arial" w:eastAsia="Arial" w:hAnsi="Arial"/>
                <w:sz w:val="16"/>
                <w:szCs w:val="16"/>
                <w:color w:val="auto"/>
              </w:rPr>
              <w:t>1,300</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20"/>
              <w:spacing w:after="0" w:line="183" w:lineRule="exact"/>
              <w:rPr>
                <w:sz w:val="20"/>
                <w:szCs w:val="20"/>
                <w:color w:val="auto"/>
              </w:rPr>
            </w:pPr>
            <w:r>
              <w:rPr>
                <w:rFonts w:ascii="Arial" w:cs="Arial" w:eastAsia="Arial" w:hAnsi="Arial"/>
                <w:sz w:val="16"/>
                <w:szCs w:val="16"/>
                <w:color w:val="auto"/>
              </w:rPr>
              <w:t>1,419</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120"/>
              <w:spacing w:after="0" w:line="183" w:lineRule="exact"/>
              <w:rPr>
                <w:sz w:val="20"/>
                <w:szCs w:val="20"/>
                <w:color w:val="auto"/>
              </w:rPr>
            </w:pPr>
            <w:r>
              <w:rPr>
                <w:rFonts w:ascii="Arial" w:cs="Arial" w:eastAsia="Arial" w:hAnsi="Arial"/>
                <w:sz w:val="16"/>
                <w:szCs w:val="16"/>
                <w:color w:val="auto"/>
              </w:rPr>
              <w:t>1,394</w:t>
            </w:r>
          </w:p>
        </w:tc>
        <w:tc>
          <w:tcPr>
            <w:tcW w:w="12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(8 %)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2 %</w:t>
            </w:r>
          </w:p>
        </w:tc>
      </w:tr>
      <w:tr>
        <w:trPr>
          <w:trHeight w:val="21"/>
        </w:trPr>
        <w:tc>
          <w:tcPr>
            <w:tcW w:w="4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78"/>
        </w:trPr>
        <w:tc>
          <w:tcPr>
            <w:tcW w:w="44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center"/>
              <w:ind w:left="641"/>
              <w:spacing w:after="0"/>
              <w:rPr>
                <w:sz w:val="20"/>
                <w:szCs w:val="20"/>
                <w:color w:val="auto"/>
              </w:rPr>
            </w:pPr>
            <w:r>
              <w:rPr>
                <w:rFonts w:ascii="Arial" w:cs="Arial" w:eastAsia="Arial" w:hAnsi="Arial"/>
                <w:sz w:val="14"/>
                <w:szCs w:val="14"/>
                <w:color w:val="auto"/>
              </w:rPr>
              <w:t>Year ended 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bottom w:val="single" w:sz="8" w:color="auto"/>
            </w:tcBorders>
            <w:gridSpan w:val="3"/>
          </w:tcPr>
          <w:p>
            <w:pPr>
              <w:jc w:val="center"/>
              <w:ind w:left="904"/>
              <w:spacing w:after="0"/>
              <w:rPr>
                <w:sz w:val="20"/>
                <w:szCs w:val="20"/>
                <w:color w:val="auto"/>
              </w:rPr>
            </w:pPr>
            <w:r>
              <w:rPr>
                <w:rFonts w:ascii="Arial" w:cs="Arial" w:eastAsia="Arial" w:hAnsi="Arial"/>
                <w:sz w:val="14"/>
                <w:szCs w:val="14"/>
                <w:color w:val="auto"/>
              </w:rPr>
              <w:t>Change</w:t>
            </w:r>
          </w:p>
        </w:tc>
        <w:tc>
          <w:tcPr>
            <w:tcW w:w="980" w:type="dxa"/>
            <w:vAlign w:val="bottom"/>
            <w:tcBorders>
              <w:bottom w:val="single" w:sz="8" w:color="auto"/>
            </w:tcBorders>
          </w:tcPr>
          <w:p>
            <w:pPr>
              <w:spacing w:after="0"/>
              <w:rPr>
                <w:sz w:val="24"/>
                <w:szCs w:val="24"/>
                <w:color w:val="auto"/>
              </w:rPr>
            </w:pPr>
          </w:p>
        </w:tc>
      </w:tr>
      <w:tr>
        <w:trPr>
          <w:trHeight w:val="203"/>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Combined Ratios:</w:t>
            </w:r>
          </w:p>
        </w:tc>
        <w:tc>
          <w:tcPr>
            <w:tcW w:w="320" w:type="dxa"/>
            <w:vAlign w:val="bottom"/>
          </w:tcPr>
          <w:p>
            <w:pPr>
              <w:spacing w:after="0"/>
              <w:rPr>
                <w:sz w:val="17"/>
                <w:szCs w:val="17"/>
                <w:color w:val="auto"/>
              </w:rPr>
            </w:pPr>
          </w:p>
        </w:tc>
        <w:tc>
          <w:tcPr>
            <w:tcW w:w="1040" w:type="dxa"/>
            <w:vAlign w:val="bottom"/>
          </w:tcPr>
          <w:p>
            <w:pPr>
              <w:jc w:val="right"/>
              <w:ind w:right="441"/>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center"/>
              <w:ind w:right="240"/>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20"/>
              <w:spacing w:after="0"/>
              <w:rPr>
                <w:sz w:val="20"/>
                <w:szCs w:val="20"/>
                <w:color w:val="auto"/>
              </w:rPr>
            </w:pPr>
            <w:r>
              <w:rPr>
                <w:rFonts w:ascii="Arial" w:cs="Arial" w:eastAsia="Arial" w:hAnsi="Arial"/>
                <w:sz w:val="14"/>
                <w:szCs w:val="14"/>
                <w:color w:val="auto"/>
              </w:rPr>
              <w:t>2021</w:t>
            </w:r>
          </w:p>
        </w:tc>
        <w:tc>
          <w:tcPr>
            <w:tcW w:w="1280" w:type="dxa"/>
            <w:vAlign w:val="bottom"/>
            <w:gridSpan w:val="2"/>
          </w:tcPr>
          <w:p>
            <w:pPr>
              <w:jc w:val="right"/>
              <w:ind w:right="124"/>
              <w:spacing w:after="0"/>
              <w:rPr>
                <w:sz w:val="20"/>
                <w:szCs w:val="20"/>
                <w:color w:val="auto"/>
              </w:rPr>
            </w:pPr>
            <w:r>
              <w:rPr>
                <w:rFonts w:ascii="Arial" w:cs="Arial" w:eastAsia="Arial" w:hAnsi="Arial"/>
                <w:sz w:val="14"/>
                <w:szCs w:val="14"/>
                <w:color w:val="auto"/>
              </w:rPr>
              <w:t>2023 - 2022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120"/>
              <w:spacing w:after="0"/>
              <w:rPr>
                <w:sz w:val="20"/>
                <w:szCs w:val="20"/>
                <w:color w:val="auto"/>
              </w:rPr>
            </w:pPr>
            <w:r>
              <w:rPr>
                <w:rFonts w:ascii="Arial" w:cs="Arial" w:eastAsia="Arial" w:hAnsi="Arial"/>
                <w:sz w:val="14"/>
                <w:szCs w:val="14"/>
                <w:color w:val="auto"/>
              </w:rPr>
              <w:t>2022 - 2021</w:t>
            </w:r>
          </w:p>
        </w:tc>
      </w:tr>
      <w:tr>
        <w:trPr>
          <w:trHeight w:val="196"/>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Specialty lines</w:t>
            </w: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r>
      <w:tr>
        <w:trPr>
          <w:trHeight w:val="215"/>
        </w:trPr>
        <w:tc>
          <w:tcPr>
            <w:tcW w:w="4440" w:type="dxa"/>
            <w:vAlign w:val="bottom"/>
          </w:tcPr>
          <w:p>
            <w:pPr>
              <w:ind w:left="360"/>
              <w:spacing w:after="0"/>
              <w:rPr>
                <w:sz w:val="20"/>
                <w:szCs w:val="20"/>
                <w:color w:val="auto"/>
              </w:rPr>
            </w:pPr>
            <w:r>
              <w:rPr>
                <w:rFonts w:ascii="Arial" w:cs="Arial" w:eastAsia="Arial" w:hAnsi="Arial"/>
                <w:sz w:val="16"/>
                <w:szCs w:val="16"/>
                <w:color w:val="auto"/>
              </w:rPr>
              <w:t>Loss and LAE ratio</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61.5 %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59.6 %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58.4 %</w:t>
            </w:r>
          </w:p>
        </w:tc>
        <w:tc>
          <w:tcPr>
            <w:tcW w:w="1280" w:type="dxa"/>
            <w:vAlign w:val="bottom"/>
            <w:gridSpan w:val="2"/>
          </w:tcPr>
          <w:p>
            <w:pPr>
              <w:jc w:val="right"/>
              <w:ind w:right="4"/>
              <w:spacing w:after="0"/>
              <w:rPr>
                <w:sz w:val="20"/>
                <w:szCs w:val="20"/>
                <w:color w:val="auto"/>
              </w:rPr>
            </w:pPr>
            <w:r>
              <w:rPr>
                <w:rFonts w:ascii="Arial" w:cs="Arial" w:eastAsia="Arial" w:hAnsi="Arial"/>
                <w:sz w:val="16"/>
                <w:szCs w:val="16"/>
                <w:color w:val="auto"/>
              </w:rPr>
              <w:t>1.9 %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1.2 %</w:t>
            </w:r>
          </w:p>
        </w:tc>
      </w:tr>
      <w:tr>
        <w:trPr>
          <w:trHeight w:val="216"/>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Underwriting expense ratio</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28.8 %</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27.6 %</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28.0 %</w:t>
            </w:r>
          </w:p>
        </w:tc>
        <w:tc>
          <w:tcPr>
            <w:tcW w:w="128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1.2 %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(0.4 %)</w:t>
            </w:r>
          </w:p>
        </w:tc>
      </w:tr>
      <w:tr>
        <w:trPr>
          <w:trHeight w:val="210"/>
        </w:trPr>
        <w:tc>
          <w:tcPr>
            <w:tcW w:w="4440" w:type="dxa"/>
            <w:vAlign w:val="bottom"/>
          </w:tcPr>
          <w:p>
            <w:pPr>
              <w:ind w:left="680"/>
              <w:spacing w:after="0"/>
              <w:rPr>
                <w:sz w:val="20"/>
                <w:szCs w:val="20"/>
                <w:color w:val="auto"/>
              </w:rPr>
            </w:pPr>
            <w:r>
              <w:rPr>
                <w:rFonts w:ascii="Arial" w:cs="Arial" w:eastAsia="Arial" w:hAnsi="Arial"/>
                <w:sz w:val="16"/>
                <w:szCs w:val="16"/>
                <w:color w:val="auto"/>
              </w:rPr>
              <w:t>Combined ratio</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90.3 %</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87.2 %</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86.4 %</w:t>
            </w:r>
          </w:p>
        </w:tc>
        <w:tc>
          <w:tcPr>
            <w:tcW w:w="1280" w:type="dxa"/>
            <w:vAlign w:val="bottom"/>
            <w:gridSpan w:val="2"/>
          </w:tcPr>
          <w:p>
            <w:pPr>
              <w:jc w:val="right"/>
              <w:ind w:right="4"/>
              <w:spacing w:after="0"/>
              <w:rPr>
                <w:sz w:val="20"/>
                <w:szCs w:val="20"/>
                <w:color w:val="auto"/>
              </w:rPr>
            </w:pPr>
            <w:r>
              <w:rPr>
                <w:rFonts w:ascii="Arial" w:cs="Arial" w:eastAsia="Arial" w:hAnsi="Arial"/>
                <w:sz w:val="16"/>
                <w:szCs w:val="16"/>
                <w:color w:val="auto"/>
              </w:rPr>
              <w:t>3.1 %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0.8 %</w:t>
            </w: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r>
      <w:tr>
        <w:trPr>
          <w:trHeight w:val="115"/>
        </w:trPr>
        <w:tc>
          <w:tcPr>
            <w:tcW w:w="44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r>
      <w:tr>
        <w:trPr>
          <w:trHeight w:val="215"/>
        </w:trPr>
        <w:tc>
          <w:tcPr>
            <w:tcW w:w="4440" w:type="dxa"/>
            <w:vAlign w:val="bottom"/>
          </w:tcPr>
          <w:p>
            <w:pPr>
              <w:ind w:left="20"/>
              <w:spacing w:after="0"/>
              <w:rPr>
                <w:sz w:val="20"/>
                <w:szCs w:val="20"/>
                <w:color w:val="auto"/>
              </w:rPr>
            </w:pPr>
            <w:r>
              <w:rPr>
                <w:rFonts w:ascii="Arial" w:cs="Arial" w:eastAsia="Arial" w:hAnsi="Arial"/>
                <w:sz w:val="16"/>
                <w:szCs w:val="16"/>
                <w:color w:val="auto"/>
              </w:rPr>
              <w:t>Aggregate — including exited lines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7"/>
        </w:trPr>
        <w:tc>
          <w:tcPr>
            <w:tcW w:w="4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and LAE ratio</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58.5 %</w:t>
            </w:r>
          </w:p>
        </w:tc>
        <w:tc>
          <w:tcPr>
            <w:tcW w:w="128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1.9 %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r>
      <w:tr>
        <w:trPr>
          <w:trHeight w:val="215"/>
        </w:trPr>
        <w:tc>
          <w:tcPr>
            <w:tcW w:w="44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Underwriting expense ratio</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28.8 %</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27.6 %</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28.0 %</w:t>
            </w:r>
          </w:p>
        </w:tc>
        <w:tc>
          <w:tcPr>
            <w:tcW w:w="1280" w:type="dxa"/>
            <w:vAlign w:val="bottom"/>
            <w:tcBorders>
              <w:bottom w:val="single" w:sz="8" w:color="CCEEFF"/>
            </w:tcBorders>
            <w:gridSpan w:val="2"/>
          </w:tcPr>
          <w:p>
            <w:pPr>
              <w:jc w:val="right"/>
              <w:ind w:right="4"/>
              <w:spacing w:after="0"/>
              <w:rPr>
                <w:sz w:val="20"/>
                <w:szCs w:val="20"/>
                <w:color w:val="auto"/>
              </w:rPr>
            </w:pPr>
            <w:r>
              <w:rPr>
                <w:rFonts w:ascii="Arial" w:cs="Arial" w:eastAsia="Arial" w:hAnsi="Arial"/>
                <w:sz w:val="16"/>
                <w:szCs w:val="16"/>
                <w:color w:val="auto"/>
              </w:rPr>
              <w:t>1.2 %</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(0.4 %)</w:t>
            </w:r>
          </w:p>
        </w:tc>
      </w:tr>
      <w:tr>
        <w:trPr>
          <w:trHeight w:val="235"/>
        </w:trPr>
        <w:tc>
          <w:tcPr>
            <w:tcW w:w="44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Combined ratio</w:t>
            </w: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90.4 %</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87.3 %</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86.5 %</w:t>
            </w:r>
          </w:p>
        </w:tc>
        <w:tc>
          <w:tcPr>
            <w:tcW w:w="1280" w:type="dxa"/>
            <w:vAlign w:val="bottom"/>
            <w:tcBorders>
              <w:bottom w:val="single" w:sz="8" w:color="CCEEFF"/>
            </w:tcBorders>
            <w:gridSpan w:val="2"/>
            <w:shd w:val="clear" w:color="auto" w:fill="CCEEFF"/>
          </w:tcPr>
          <w:p>
            <w:pPr>
              <w:jc w:val="right"/>
              <w:ind w:right="4"/>
              <w:spacing w:after="0"/>
              <w:rPr>
                <w:sz w:val="20"/>
                <w:szCs w:val="20"/>
                <w:color w:val="auto"/>
              </w:rPr>
            </w:pPr>
            <w:r>
              <w:rPr>
                <w:rFonts w:ascii="Arial" w:cs="Arial" w:eastAsia="Arial" w:hAnsi="Arial"/>
                <w:sz w:val="16"/>
                <w:szCs w:val="16"/>
                <w:color w:val="auto"/>
              </w:rPr>
              <w:t>3.1 %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0.8 %</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bl>
    <w:p>
      <w:pPr>
        <w:spacing w:after="0" w:line="315"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AFG reports the underwriting performance of its Specialty property and casualty insurance business in the following sub-segments: (i) Property and transportation, (ii) Specialty casualty and (iii) Specialty financial.</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Gross Written Premiums</w:t>
      </w:r>
    </w:p>
    <w:p>
      <w:pPr>
        <w:spacing w:after="0" w:line="30"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Gross written premiums (“GWP”) for AFG’s property and casualty insurance segment were $9.66 billion in 2023 compared to $9.06 billion in 2022, an increase of $599 million (7%). GWP increased $1.11 billion (14%) in 2022 compared to 2021. Detail of AFG’s property and casualty gross written premiums is shown below (dollars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7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color w:val="auto"/>
              </w:rPr>
              <w:t>Year ended December 31,</w:t>
            </w: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tcBorders>
              <w:bottom w:val="single" w:sz="8" w:color="auto"/>
            </w:tcBorders>
            <w:gridSpan w:val="3"/>
          </w:tcPr>
          <w:p>
            <w:pPr>
              <w:jc w:val="right"/>
              <w:ind w:right="741"/>
              <w:spacing w:after="0"/>
              <w:rPr>
                <w:sz w:val="20"/>
                <w:szCs w:val="20"/>
                <w:color w:val="auto"/>
              </w:rPr>
            </w:pPr>
            <w:r>
              <w:rPr>
                <w:rFonts w:ascii="Arial" w:cs="Arial" w:eastAsia="Arial" w:hAnsi="Arial"/>
                <w:sz w:val="14"/>
                <w:szCs w:val="14"/>
                <w:color w:val="auto"/>
              </w:rPr>
              <w:t>% Change</w:t>
            </w:r>
          </w:p>
        </w:tc>
      </w:tr>
      <w:tr>
        <w:trPr>
          <w:trHeight w:val="196"/>
        </w:trPr>
        <w:tc>
          <w:tcPr>
            <w:tcW w:w="2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4"/>
                <w:szCs w:val="14"/>
                <w:color w:val="auto"/>
              </w:rPr>
              <w:t>2023</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gridSpan w:val="3"/>
          </w:tcPr>
          <w:p>
            <w:pPr>
              <w:jc w:val="right"/>
              <w:ind w:right="759"/>
              <w:spacing w:after="0"/>
              <w:rPr>
                <w:sz w:val="20"/>
                <w:szCs w:val="20"/>
                <w:color w:val="auto"/>
              </w:rPr>
            </w:pPr>
            <w:r>
              <w:rPr>
                <w:rFonts w:ascii="Arial" w:cs="Arial" w:eastAsia="Arial" w:hAnsi="Arial"/>
                <w:sz w:val="14"/>
                <w:szCs w:val="14"/>
                <w:color w:val="auto"/>
                <w:w w:val="96"/>
              </w:rPr>
              <w:t>2022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gridSpan w:val="3"/>
          </w:tcPr>
          <w:p>
            <w:pPr>
              <w:jc w:val="right"/>
              <w:ind w:right="739"/>
              <w:spacing w:after="0"/>
              <w:rPr>
                <w:sz w:val="20"/>
                <w:szCs w:val="20"/>
                <w:color w:val="auto"/>
              </w:rPr>
            </w:pPr>
            <w:r>
              <w:rPr>
                <w:rFonts w:ascii="Arial" w:cs="Arial" w:eastAsia="Arial" w:hAnsi="Arial"/>
                <w:sz w:val="14"/>
                <w:szCs w:val="14"/>
                <w:color w:val="auto"/>
              </w:rPr>
              <w:t>2021</w:t>
            </w:r>
          </w:p>
        </w:tc>
        <w:tc>
          <w:tcPr>
            <w:tcW w:w="1200" w:type="dxa"/>
            <w:vAlign w:val="bottom"/>
            <w:gridSpan w:val="2"/>
          </w:tcPr>
          <w:p>
            <w:pPr>
              <w:jc w:val="right"/>
              <w:ind w:right="108"/>
              <w:spacing w:after="0"/>
              <w:rPr>
                <w:sz w:val="20"/>
                <w:szCs w:val="20"/>
                <w:color w:val="auto"/>
              </w:rPr>
            </w:pPr>
            <w:r>
              <w:rPr>
                <w:rFonts w:ascii="Arial" w:cs="Arial" w:eastAsia="Arial" w:hAnsi="Arial"/>
                <w:sz w:val="14"/>
                <w:szCs w:val="14"/>
                <w:color w:val="auto"/>
              </w:rPr>
              <w:t>2023 - 2022</w:t>
            </w:r>
          </w:p>
        </w:tc>
        <w:tc>
          <w:tcPr>
            <w:tcW w:w="100" w:type="dxa"/>
            <w:vAlign w:val="bottom"/>
          </w:tcPr>
          <w:p>
            <w:pPr>
              <w:spacing w:after="0"/>
              <w:rPr>
                <w:sz w:val="17"/>
                <w:szCs w:val="17"/>
                <w:color w:val="auto"/>
              </w:rPr>
            </w:pPr>
          </w:p>
        </w:tc>
        <w:tc>
          <w:tcPr>
            <w:tcW w:w="1100" w:type="dxa"/>
            <w:vAlign w:val="bottom"/>
          </w:tcPr>
          <w:p>
            <w:pPr>
              <w:jc w:val="right"/>
              <w:ind w:right="81"/>
              <w:spacing w:after="0"/>
              <w:rPr>
                <w:sz w:val="20"/>
                <w:szCs w:val="20"/>
                <w:color w:val="auto"/>
              </w:rPr>
            </w:pPr>
            <w:r>
              <w:rPr>
                <w:rFonts w:ascii="Arial" w:cs="Arial" w:eastAsia="Arial" w:hAnsi="Arial"/>
                <w:sz w:val="14"/>
                <w:szCs w:val="14"/>
                <w:color w:val="auto"/>
              </w:rPr>
              <w:t>2022 - 2021</w:t>
            </w:r>
          </w:p>
        </w:tc>
      </w:tr>
      <w:tr>
        <w:trPr>
          <w:trHeight w:val="196"/>
        </w:trPr>
        <w:tc>
          <w:tcPr>
            <w:tcW w:w="27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3"/>
          </w:tcPr>
          <w:p>
            <w:pPr>
              <w:jc w:val="right"/>
              <w:ind w:right="640"/>
              <w:spacing w:after="0"/>
              <w:rPr>
                <w:sz w:val="20"/>
                <w:szCs w:val="20"/>
                <w:color w:val="auto"/>
              </w:rPr>
            </w:pPr>
            <w:r>
              <w:rPr>
                <w:rFonts w:ascii="Arial" w:cs="Arial" w:eastAsia="Arial" w:hAnsi="Arial"/>
                <w:sz w:val="14"/>
                <w:szCs w:val="14"/>
                <w:color w:val="auto"/>
              </w:rPr>
              <w:t>GWP</w:t>
            </w:r>
          </w:p>
        </w:tc>
        <w:tc>
          <w:tcPr>
            <w:tcW w:w="680" w:type="dxa"/>
            <w:vAlign w:val="bottom"/>
            <w:tcBorders>
              <w:top w:val="single" w:sz="8" w:color="auto"/>
            </w:tcBorders>
          </w:tcPr>
          <w:p>
            <w:pPr>
              <w:jc w:val="right"/>
              <w:ind w:right="34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122"/>
              <w:spacing w:after="0"/>
              <w:rPr>
                <w:sz w:val="20"/>
                <w:szCs w:val="20"/>
                <w:color w:val="auto"/>
              </w:rPr>
            </w:pPr>
            <w:r>
              <w:rPr>
                <w:rFonts w:ascii="Arial" w:cs="Arial" w:eastAsia="Arial" w:hAnsi="Arial"/>
                <w:sz w:val="14"/>
                <w:szCs w:val="14"/>
                <w:color w:val="auto"/>
              </w:rPr>
              <w:t>GWP</w:t>
            </w:r>
          </w:p>
        </w:tc>
        <w:tc>
          <w:tcPr>
            <w:tcW w:w="1160" w:type="dxa"/>
            <w:vAlign w:val="bottom"/>
            <w:tcBorders>
              <w:top w:val="single" w:sz="8" w:color="auto"/>
            </w:tcBorders>
            <w:gridSpan w:val="3"/>
          </w:tcPr>
          <w:p>
            <w:pPr>
              <w:jc w:val="right"/>
              <w:ind w:right="35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121"/>
              <w:spacing w:after="0"/>
              <w:rPr>
                <w:sz w:val="20"/>
                <w:szCs w:val="20"/>
                <w:color w:val="auto"/>
              </w:rPr>
            </w:pPr>
            <w:r>
              <w:rPr>
                <w:rFonts w:ascii="Arial" w:cs="Arial" w:eastAsia="Arial" w:hAnsi="Arial"/>
                <w:sz w:val="14"/>
                <w:szCs w:val="14"/>
                <w:color w:val="auto"/>
              </w:rPr>
              <w:t>GWP</w:t>
            </w:r>
          </w:p>
        </w:tc>
        <w:tc>
          <w:tcPr>
            <w:tcW w:w="1160" w:type="dxa"/>
            <w:vAlign w:val="bottom"/>
            <w:tcBorders>
              <w:top w:val="single" w:sz="8" w:color="auto"/>
            </w:tcBorders>
            <w:gridSpan w:val="3"/>
          </w:tcPr>
          <w:p>
            <w:pPr>
              <w:jc w:val="right"/>
              <w:ind w:right="35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4"/>
        </w:trPr>
        <w:tc>
          <w:tcPr>
            <w:tcW w:w="2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4,146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4,060</w:t>
            </w: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3,263</w:t>
            </w: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12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24 %</w:t>
            </w:r>
          </w:p>
        </w:tc>
      </w:tr>
      <w:tr>
        <w:trPr>
          <w:trHeight w:val="215"/>
        </w:trPr>
        <w:tc>
          <w:tcPr>
            <w:tcW w:w="276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180" w:type="dxa"/>
            <w:vAlign w:val="bottom"/>
          </w:tcPr>
          <w:p>
            <w:pPr>
              <w:spacing w:after="0"/>
              <w:rPr>
                <w:sz w:val="18"/>
                <w:szCs w:val="18"/>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4,368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45 %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4,115</w:t>
            </w: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45 %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3,890</w:t>
            </w: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49 %</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6 %</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6 %</w:t>
            </w:r>
          </w:p>
        </w:tc>
      </w:tr>
      <w:tr>
        <w:trPr>
          <w:trHeight w:val="217"/>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r>
      <w:tr>
        <w:trPr>
          <w:trHeight w:val="210"/>
        </w:trPr>
        <w:tc>
          <w:tcPr>
            <w:tcW w:w="27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9,656</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9,057</w:t>
            </w:r>
          </w:p>
        </w:tc>
        <w:tc>
          <w:tcPr>
            <w:tcW w:w="8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7,946</w:t>
            </w: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7 %</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14 %</w:t>
            </w:r>
          </w:p>
        </w:tc>
      </w:tr>
      <w:tr>
        <w:trPr>
          <w:trHeight w:val="20"/>
        </w:trPr>
        <w:tc>
          <w:tcPr>
            <w:tcW w:w="2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Reinsurance Premiums Ceded</w:t>
      </w:r>
    </w:p>
    <w:p>
      <w:pPr>
        <w:spacing w:after="0" w:line="30"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auto"/>
        </w:rPr>
        <w:t>Reinsurance premiums ceded (“Ceded”) for AFG’s property and casualty insurance segment were 31% of gross written premiums for both the year ended December 31, 2023 and the year ended December 31, 2022 and 30% for the year ended December 31, 2021, an increase of 1 percentage point for 2023 and 2022 compared to 2021. Detail of AFG’s property and casualty reinsurance premiums ceded is shown below (dollars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color w:val="auto"/>
              </w:rPr>
              <w:t>Year ended December 31,</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421"/>
              <w:spacing w:after="0"/>
              <w:rPr>
                <w:sz w:val="20"/>
                <w:szCs w:val="20"/>
                <w:color w:val="auto"/>
              </w:rPr>
            </w:pPr>
            <w:r>
              <w:rPr>
                <w:rFonts w:ascii="Arial" w:cs="Arial" w:eastAsia="Arial" w:hAnsi="Arial"/>
                <w:sz w:val="14"/>
                <w:szCs w:val="14"/>
                <w:color w:val="auto"/>
              </w:rPr>
              <w:t>Change in % of GWP</w:t>
            </w:r>
          </w:p>
        </w:tc>
      </w:tr>
      <w:tr>
        <w:trPr>
          <w:trHeight w:val="196"/>
        </w:trPr>
        <w:tc>
          <w:tcPr>
            <w:tcW w:w="27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744"/>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744"/>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724"/>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color w:val="auto"/>
              </w:rPr>
              <w:t>2023 - 2022</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color w:val="auto"/>
              </w:rPr>
              <w:t>2022 - 2021</w:t>
            </w:r>
          </w:p>
        </w:tc>
      </w:tr>
      <w:tr>
        <w:trPr>
          <w:trHeight w:val="196"/>
        </w:trPr>
        <w:tc>
          <w:tcPr>
            <w:tcW w:w="2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162"/>
              <w:spacing w:after="0"/>
              <w:rPr>
                <w:sz w:val="20"/>
                <w:szCs w:val="20"/>
                <w:color w:val="auto"/>
              </w:rPr>
            </w:pPr>
            <w:r>
              <w:rPr>
                <w:rFonts w:ascii="Arial" w:cs="Arial" w:eastAsia="Arial" w:hAnsi="Arial"/>
                <w:sz w:val="14"/>
                <w:szCs w:val="14"/>
                <w:color w:val="auto"/>
              </w:rPr>
              <w:t>Ceded</w:t>
            </w:r>
          </w:p>
        </w:tc>
        <w:tc>
          <w:tcPr>
            <w:tcW w:w="100" w:type="dxa"/>
            <w:vAlign w:val="bottom"/>
          </w:tcPr>
          <w:p>
            <w:pPr>
              <w:spacing w:after="0"/>
              <w:rPr>
                <w:sz w:val="17"/>
                <w:szCs w:val="17"/>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color w:val="auto"/>
              </w:rPr>
              <w:t>% of GWP</w:t>
            </w:r>
          </w:p>
        </w:tc>
        <w:tc>
          <w:tcPr>
            <w:tcW w:w="120" w:type="dxa"/>
            <w:vAlign w:val="bottom"/>
          </w:tcPr>
          <w:p>
            <w:pPr>
              <w:spacing w:after="0"/>
              <w:rPr>
                <w:sz w:val="17"/>
                <w:szCs w:val="17"/>
                <w:color w:val="auto"/>
              </w:rPr>
            </w:pPr>
          </w:p>
        </w:tc>
        <w:tc>
          <w:tcPr>
            <w:tcW w:w="780" w:type="dxa"/>
            <w:vAlign w:val="bottom"/>
          </w:tcPr>
          <w:p>
            <w:pPr>
              <w:jc w:val="right"/>
              <w:ind w:right="162"/>
              <w:spacing w:after="0"/>
              <w:rPr>
                <w:sz w:val="20"/>
                <w:szCs w:val="20"/>
                <w:color w:val="auto"/>
              </w:rPr>
            </w:pPr>
            <w:r>
              <w:rPr>
                <w:rFonts w:ascii="Arial" w:cs="Arial" w:eastAsia="Arial" w:hAnsi="Arial"/>
                <w:sz w:val="14"/>
                <w:szCs w:val="14"/>
                <w:color w:val="auto"/>
              </w:rPr>
              <w:t>Ceded</w:t>
            </w:r>
          </w:p>
        </w:tc>
        <w:tc>
          <w:tcPr>
            <w:tcW w:w="80" w:type="dxa"/>
            <w:vAlign w:val="bottom"/>
          </w:tcPr>
          <w:p>
            <w:pPr>
              <w:spacing w:after="0"/>
              <w:rPr>
                <w:sz w:val="17"/>
                <w:szCs w:val="17"/>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color w:val="auto"/>
              </w:rPr>
              <w:t>% of GWP</w:t>
            </w:r>
          </w:p>
        </w:tc>
        <w:tc>
          <w:tcPr>
            <w:tcW w:w="160" w:type="dxa"/>
            <w:vAlign w:val="bottom"/>
          </w:tcPr>
          <w:p>
            <w:pPr>
              <w:spacing w:after="0"/>
              <w:rPr>
                <w:sz w:val="17"/>
                <w:szCs w:val="17"/>
                <w:color w:val="auto"/>
              </w:rPr>
            </w:pPr>
          </w:p>
        </w:tc>
        <w:tc>
          <w:tcPr>
            <w:tcW w:w="720" w:type="dxa"/>
            <w:vAlign w:val="bottom"/>
          </w:tcPr>
          <w:p>
            <w:pPr>
              <w:jc w:val="right"/>
              <w:ind w:right="162"/>
              <w:spacing w:after="0"/>
              <w:rPr>
                <w:sz w:val="20"/>
                <w:szCs w:val="20"/>
                <w:color w:val="auto"/>
              </w:rPr>
            </w:pPr>
            <w:r>
              <w:rPr>
                <w:rFonts w:ascii="Arial" w:cs="Arial" w:eastAsia="Arial" w:hAnsi="Arial"/>
                <w:sz w:val="14"/>
                <w:szCs w:val="14"/>
                <w:color w:val="auto"/>
              </w:rPr>
              <w:t>Ceded</w:t>
            </w:r>
          </w:p>
        </w:tc>
        <w:tc>
          <w:tcPr>
            <w:tcW w:w="100" w:type="dxa"/>
            <w:vAlign w:val="bottom"/>
          </w:tcPr>
          <w:p>
            <w:pPr>
              <w:spacing w:after="0"/>
              <w:rPr>
                <w:sz w:val="17"/>
                <w:szCs w:val="17"/>
                <w:color w:val="auto"/>
              </w:rPr>
            </w:pPr>
          </w:p>
        </w:tc>
        <w:tc>
          <w:tcPr>
            <w:tcW w:w="960" w:type="dxa"/>
            <w:vAlign w:val="bottom"/>
          </w:tcPr>
          <w:p>
            <w:pPr>
              <w:jc w:val="right"/>
              <w:ind w:right="64"/>
              <w:spacing w:after="0"/>
              <w:rPr>
                <w:sz w:val="20"/>
                <w:szCs w:val="20"/>
                <w:color w:val="auto"/>
              </w:rPr>
            </w:pPr>
            <w:r>
              <w:rPr>
                <w:rFonts w:ascii="Arial" w:cs="Arial" w:eastAsia="Arial" w:hAnsi="Arial"/>
                <w:sz w:val="14"/>
                <w:szCs w:val="14"/>
                <w:color w:val="auto"/>
              </w:rPr>
              <w:t>% of GWP</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3"/>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(1,595)</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(1,545)</w:t>
            </w: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(1,106)</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 %</w:t>
            </w:r>
          </w:p>
        </w:tc>
        <w:tc>
          <w:tcPr>
            <w:tcW w:w="114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4 %</w:t>
            </w:r>
          </w:p>
        </w:tc>
      </w:tr>
      <w:tr>
        <w:trPr>
          <w:trHeight w:val="215"/>
        </w:trPr>
        <w:tc>
          <w:tcPr>
            <w:tcW w:w="270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(1,424)</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33 %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(1,387)</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(1,350)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35 %</w:t>
            </w:r>
          </w:p>
        </w:tc>
        <w:tc>
          <w:tcPr>
            <w:tcW w:w="1240" w:type="dxa"/>
            <w:vAlign w:val="bottom"/>
            <w:gridSpan w:val="2"/>
          </w:tcPr>
          <w:p>
            <w:pPr>
              <w:ind w:left="840"/>
              <w:spacing w:after="0"/>
              <w:rPr>
                <w:sz w:val="20"/>
                <w:szCs w:val="20"/>
                <w:color w:val="auto"/>
              </w:rPr>
            </w:pPr>
            <w:r>
              <w:rPr>
                <w:rFonts w:ascii="Arial" w:cs="Arial" w:eastAsia="Arial" w:hAnsi="Arial"/>
                <w:sz w:val="16"/>
                <w:szCs w:val="16"/>
                <w:color w:val="auto"/>
                <w:w w:val="99"/>
              </w:rPr>
              <w:t>(1 %)</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(1 %)</w:t>
            </w:r>
          </w:p>
        </w:tc>
      </w:tr>
      <w:tr>
        <w:trPr>
          <w:trHeight w:val="217"/>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w w:val="99"/>
              </w:rPr>
              <w:t>(1 %)</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2 %</w:t>
            </w:r>
          </w:p>
        </w:tc>
      </w:tr>
      <w:tr>
        <w:trPr>
          <w:trHeight w:val="215"/>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specialty</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262</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252</w:t>
            </w:r>
          </w:p>
        </w:tc>
        <w:tc>
          <w:tcPr>
            <w:tcW w:w="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r>
      <w:tr>
        <w:trPr>
          <w:trHeight w:val="235"/>
        </w:trPr>
        <w:tc>
          <w:tcPr>
            <w:tcW w:w="27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(2,964)</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(2,851)</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(2,373)</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 %</w:t>
            </w:r>
          </w:p>
        </w:tc>
        <w:tc>
          <w:tcPr>
            <w:tcW w:w="1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1 %</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Net Written Premiums</w:t>
      </w:r>
    </w:p>
    <w:p>
      <w:pPr>
        <w:spacing w:after="0" w:line="30"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color w:val="auto"/>
        </w:rPr>
        <w:t>Net written premiums (“NWP”) for AFG’s property and casualty insurance segment were $6.69 billion in 2023 compared to $6.21 billion in 2022, an increase of $486 million (8%). NWP increased $633 million (11%) in 2022 compared to 2021. Detail of AFG’s property and casualty net written premiums is shown below (dollars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7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color w:val="auto"/>
              </w:rPr>
              <w:t>Year ended December 31,</w:t>
            </w: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tcBorders>
              <w:bottom w:val="single" w:sz="8" w:color="auto"/>
            </w:tcBorders>
            <w:gridSpan w:val="3"/>
          </w:tcPr>
          <w:p>
            <w:pPr>
              <w:jc w:val="right"/>
              <w:ind w:right="741"/>
              <w:spacing w:after="0"/>
              <w:rPr>
                <w:sz w:val="20"/>
                <w:szCs w:val="20"/>
                <w:color w:val="auto"/>
              </w:rPr>
            </w:pPr>
            <w:r>
              <w:rPr>
                <w:rFonts w:ascii="Arial" w:cs="Arial" w:eastAsia="Arial" w:hAnsi="Arial"/>
                <w:sz w:val="14"/>
                <w:szCs w:val="14"/>
                <w:color w:val="auto"/>
              </w:rPr>
              <w:t>% Change</w:t>
            </w:r>
          </w:p>
        </w:tc>
      </w:tr>
      <w:tr>
        <w:trPr>
          <w:trHeight w:val="196"/>
        </w:trPr>
        <w:tc>
          <w:tcPr>
            <w:tcW w:w="2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4"/>
                <w:szCs w:val="14"/>
                <w:color w:val="auto"/>
              </w:rPr>
              <w:t>2023</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gridSpan w:val="3"/>
          </w:tcPr>
          <w:p>
            <w:pPr>
              <w:jc w:val="right"/>
              <w:ind w:right="759"/>
              <w:spacing w:after="0"/>
              <w:rPr>
                <w:sz w:val="20"/>
                <w:szCs w:val="20"/>
                <w:color w:val="auto"/>
              </w:rPr>
            </w:pPr>
            <w:r>
              <w:rPr>
                <w:rFonts w:ascii="Arial" w:cs="Arial" w:eastAsia="Arial" w:hAnsi="Arial"/>
                <w:sz w:val="14"/>
                <w:szCs w:val="14"/>
                <w:color w:val="auto"/>
                <w:w w:val="96"/>
              </w:rPr>
              <w:t>2022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gridSpan w:val="3"/>
          </w:tcPr>
          <w:p>
            <w:pPr>
              <w:jc w:val="right"/>
              <w:ind w:right="739"/>
              <w:spacing w:after="0"/>
              <w:rPr>
                <w:sz w:val="20"/>
                <w:szCs w:val="20"/>
                <w:color w:val="auto"/>
              </w:rPr>
            </w:pPr>
            <w:r>
              <w:rPr>
                <w:rFonts w:ascii="Arial" w:cs="Arial" w:eastAsia="Arial" w:hAnsi="Arial"/>
                <w:sz w:val="14"/>
                <w:szCs w:val="14"/>
                <w:color w:val="auto"/>
              </w:rPr>
              <w:t>2021</w:t>
            </w:r>
          </w:p>
        </w:tc>
        <w:tc>
          <w:tcPr>
            <w:tcW w:w="1200" w:type="dxa"/>
            <w:vAlign w:val="bottom"/>
            <w:gridSpan w:val="2"/>
          </w:tcPr>
          <w:p>
            <w:pPr>
              <w:jc w:val="right"/>
              <w:ind w:right="108"/>
              <w:spacing w:after="0"/>
              <w:rPr>
                <w:sz w:val="20"/>
                <w:szCs w:val="20"/>
                <w:color w:val="auto"/>
              </w:rPr>
            </w:pPr>
            <w:r>
              <w:rPr>
                <w:rFonts w:ascii="Arial" w:cs="Arial" w:eastAsia="Arial" w:hAnsi="Arial"/>
                <w:sz w:val="14"/>
                <w:szCs w:val="14"/>
                <w:color w:val="auto"/>
              </w:rPr>
              <w:t>2023 - 2022</w:t>
            </w:r>
          </w:p>
        </w:tc>
        <w:tc>
          <w:tcPr>
            <w:tcW w:w="100" w:type="dxa"/>
            <w:vAlign w:val="bottom"/>
          </w:tcPr>
          <w:p>
            <w:pPr>
              <w:spacing w:after="0"/>
              <w:rPr>
                <w:sz w:val="17"/>
                <w:szCs w:val="17"/>
                <w:color w:val="auto"/>
              </w:rPr>
            </w:pPr>
          </w:p>
        </w:tc>
        <w:tc>
          <w:tcPr>
            <w:tcW w:w="1100" w:type="dxa"/>
            <w:vAlign w:val="bottom"/>
          </w:tcPr>
          <w:p>
            <w:pPr>
              <w:jc w:val="right"/>
              <w:ind w:right="81"/>
              <w:spacing w:after="0"/>
              <w:rPr>
                <w:sz w:val="20"/>
                <w:szCs w:val="20"/>
                <w:color w:val="auto"/>
              </w:rPr>
            </w:pPr>
            <w:r>
              <w:rPr>
                <w:rFonts w:ascii="Arial" w:cs="Arial" w:eastAsia="Arial" w:hAnsi="Arial"/>
                <w:sz w:val="14"/>
                <w:szCs w:val="14"/>
                <w:color w:val="auto"/>
              </w:rPr>
              <w:t>2022 - 2021</w:t>
            </w:r>
          </w:p>
        </w:tc>
      </w:tr>
      <w:tr>
        <w:trPr>
          <w:trHeight w:val="196"/>
        </w:trPr>
        <w:tc>
          <w:tcPr>
            <w:tcW w:w="27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3"/>
          </w:tcPr>
          <w:p>
            <w:pPr>
              <w:jc w:val="right"/>
              <w:ind w:right="660"/>
              <w:spacing w:after="0"/>
              <w:rPr>
                <w:sz w:val="20"/>
                <w:szCs w:val="20"/>
                <w:color w:val="auto"/>
              </w:rPr>
            </w:pPr>
            <w:r>
              <w:rPr>
                <w:rFonts w:ascii="Arial" w:cs="Arial" w:eastAsia="Arial" w:hAnsi="Arial"/>
                <w:sz w:val="14"/>
                <w:szCs w:val="14"/>
                <w:color w:val="auto"/>
              </w:rPr>
              <w:t>NWP</w:t>
            </w:r>
          </w:p>
        </w:tc>
        <w:tc>
          <w:tcPr>
            <w:tcW w:w="680" w:type="dxa"/>
            <w:vAlign w:val="bottom"/>
            <w:tcBorders>
              <w:top w:val="single" w:sz="8" w:color="auto"/>
            </w:tcBorders>
          </w:tcPr>
          <w:p>
            <w:pPr>
              <w:jc w:val="right"/>
              <w:ind w:right="34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122"/>
              <w:spacing w:after="0"/>
              <w:rPr>
                <w:sz w:val="20"/>
                <w:szCs w:val="20"/>
                <w:color w:val="auto"/>
              </w:rPr>
            </w:pPr>
            <w:r>
              <w:rPr>
                <w:rFonts w:ascii="Arial" w:cs="Arial" w:eastAsia="Arial" w:hAnsi="Arial"/>
                <w:sz w:val="14"/>
                <w:szCs w:val="14"/>
                <w:color w:val="auto"/>
              </w:rPr>
              <w:t>NWP</w:t>
            </w:r>
          </w:p>
        </w:tc>
        <w:tc>
          <w:tcPr>
            <w:tcW w:w="1160" w:type="dxa"/>
            <w:vAlign w:val="bottom"/>
            <w:tcBorders>
              <w:top w:val="single" w:sz="8" w:color="auto"/>
            </w:tcBorders>
            <w:gridSpan w:val="3"/>
          </w:tcPr>
          <w:p>
            <w:pPr>
              <w:jc w:val="right"/>
              <w:ind w:right="35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121"/>
              <w:spacing w:after="0"/>
              <w:rPr>
                <w:sz w:val="20"/>
                <w:szCs w:val="20"/>
                <w:color w:val="auto"/>
              </w:rPr>
            </w:pPr>
            <w:r>
              <w:rPr>
                <w:rFonts w:ascii="Arial" w:cs="Arial" w:eastAsia="Arial" w:hAnsi="Arial"/>
                <w:sz w:val="14"/>
                <w:szCs w:val="14"/>
                <w:color w:val="auto"/>
              </w:rPr>
              <w:t>NWP</w:t>
            </w:r>
          </w:p>
        </w:tc>
        <w:tc>
          <w:tcPr>
            <w:tcW w:w="1160" w:type="dxa"/>
            <w:vAlign w:val="bottom"/>
            <w:tcBorders>
              <w:top w:val="single" w:sz="8" w:color="auto"/>
            </w:tcBorders>
            <w:gridSpan w:val="3"/>
          </w:tcPr>
          <w:p>
            <w:pPr>
              <w:jc w:val="right"/>
              <w:ind w:right="35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4"/>
        </w:trPr>
        <w:tc>
          <w:tcPr>
            <w:tcW w:w="2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2,551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2,515</w:t>
            </w: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2,157</w:t>
            </w: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39 %</w:t>
            </w:r>
          </w:p>
        </w:tc>
        <w:tc>
          <w:tcPr>
            <w:tcW w:w="12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17 %</w:t>
            </w:r>
          </w:p>
        </w:tc>
      </w:tr>
      <w:tr>
        <w:trPr>
          <w:trHeight w:val="215"/>
        </w:trPr>
        <w:tc>
          <w:tcPr>
            <w:tcW w:w="276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00" w:type="dxa"/>
            <w:vAlign w:val="bottom"/>
          </w:tcPr>
          <w:p>
            <w:pPr>
              <w:spacing w:after="0"/>
              <w:rPr>
                <w:sz w:val="18"/>
                <w:szCs w:val="18"/>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2,944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44 %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2,728</w:t>
            </w: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44 %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2,540</w:t>
            </w: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45 %</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8 %</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7 %</w:t>
            </w:r>
          </w:p>
        </w:tc>
      </w:tr>
      <w:tr>
        <w:trPr>
          <w:trHeight w:val="217"/>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8 %</w:t>
            </w:r>
          </w:p>
        </w:tc>
      </w:tr>
      <w:tr>
        <w:trPr>
          <w:trHeight w:val="215"/>
        </w:trPr>
        <w:tc>
          <w:tcPr>
            <w:tcW w:w="2760" w:type="dxa"/>
            <w:vAlign w:val="bottom"/>
          </w:tcPr>
          <w:p>
            <w:pPr>
              <w:ind w:left="20"/>
              <w:spacing w:after="0"/>
              <w:rPr>
                <w:sz w:val="20"/>
                <w:szCs w:val="20"/>
                <w:color w:val="auto"/>
              </w:rPr>
            </w:pPr>
            <w:r>
              <w:rPr>
                <w:rFonts w:ascii="Arial" w:cs="Arial" w:eastAsia="Arial" w:hAnsi="Arial"/>
                <w:sz w:val="16"/>
                <w:szCs w:val="16"/>
                <w:color w:val="auto"/>
              </w:rPr>
              <w:t>Other specialty</w:t>
            </w:r>
          </w:p>
        </w:tc>
        <w:tc>
          <w:tcPr>
            <w:tcW w:w="200" w:type="dxa"/>
            <w:vAlign w:val="bottom"/>
          </w:tcPr>
          <w:p>
            <w:pPr>
              <w:spacing w:after="0"/>
              <w:rPr>
                <w:sz w:val="18"/>
                <w:szCs w:val="18"/>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252</w:t>
            </w: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4 %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218</w:t>
            </w: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4 %</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4 %</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16 %</w:t>
            </w:r>
          </w:p>
        </w:tc>
      </w:tr>
      <w:tr>
        <w:trPr>
          <w:trHeight w:val="235"/>
        </w:trPr>
        <w:tc>
          <w:tcPr>
            <w:tcW w:w="27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6,692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6,206</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5,573</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11 %</w:t>
            </w: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Net Earned Premiums</w:t>
      </w:r>
    </w:p>
    <w:p>
      <w:pPr>
        <w:spacing w:after="0" w:line="30"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color w:val="auto"/>
        </w:rPr>
        <w:t>Net earned premiums (“NEP”) for AFG’s property and casualty insurance segment were $6.53 billion in 2023 compared to $6.09 billion in 2022, an increase of $446 million (7%). NEP increased $681 million (13%) in 2022 compared to 2021. Detail of AFG’s property and casualty net earned premiums is shown below (dollars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7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color w:val="auto"/>
              </w:rPr>
              <w:t>Year ended December 31,</w:t>
            </w: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tcBorders>
              <w:bottom w:val="single" w:sz="8" w:color="auto"/>
            </w:tcBorders>
            <w:gridSpan w:val="3"/>
          </w:tcPr>
          <w:p>
            <w:pPr>
              <w:jc w:val="right"/>
              <w:ind w:right="741"/>
              <w:spacing w:after="0"/>
              <w:rPr>
                <w:sz w:val="20"/>
                <w:szCs w:val="20"/>
                <w:color w:val="auto"/>
              </w:rPr>
            </w:pPr>
            <w:r>
              <w:rPr>
                <w:rFonts w:ascii="Arial" w:cs="Arial" w:eastAsia="Arial" w:hAnsi="Arial"/>
                <w:sz w:val="14"/>
                <w:szCs w:val="14"/>
                <w:color w:val="auto"/>
              </w:rPr>
              <w:t>% Change</w:t>
            </w:r>
          </w:p>
        </w:tc>
      </w:tr>
      <w:tr>
        <w:trPr>
          <w:trHeight w:val="196"/>
        </w:trPr>
        <w:tc>
          <w:tcPr>
            <w:tcW w:w="2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4"/>
                <w:szCs w:val="14"/>
                <w:color w:val="auto"/>
              </w:rPr>
              <w:t>2023</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gridSpan w:val="3"/>
          </w:tcPr>
          <w:p>
            <w:pPr>
              <w:jc w:val="right"/>
              <w:ind w:right="759"/>
              <w:spacing w:after="0"/>
              <w:rPr>
                <w:sz w:val="20"/>
                <w:szCs w:val="20"/>
                <w:color w:val="auto"/>
              </w:rPr>
            </w:pPr>
            <w:r>
              <w:rPr>
                <w:rFonts w:ascii="Arial" w:cs="Arial" w:eastAsia="Arial" w:hAnsi="Arial"/>
                <w:sz w:val="14"/>
                <w:szCs w:val="14"/>
                <w:color w:val="auto"/>
                <w:w w:val="96"/>
              </w:rPr>
              <w:t>2022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gridSpan w:val="3"/>
          </w:tcPr>
          <w:p>
            <w:pPr>
              <w:jc w:val="right"/>
              <w:ind w:right="739"/>
              <w:spacing w:after="0"/>
              <w:rPr>
                <w:sz w:val="20"/>
                <w:szCs w:val="20"/>
                <w:color w:val="auto"/>
              </w:rPr>
            </w:pPr>
            <w:r>
              <w:rPr>
                <w:rFonts w:ascii="Arial" w:cs="Arial" w:eastAsia="Arial" w:hAnsi="Arial"/>
                <w:sz w:val="14"/>
                <w:szCs w:val="14"/>
                <w:color w:val="auto"/>
              </w:rPr>
              <w:t>2021</w:t>
            </w:r>
          </w:p>
        </w:tc>
        <w:tc>
          <w:tcPr>
            <w:tcW w:w="1200" w:type="dxa"/>
            <w:vAlign w:val="bottom"/>
            <w:gridSpan w:val="2"/>
          </w:tcPr>
          <w:p>
            <w:pPr>
              <w:jc w:val="right"/>
              <w:ind w:right="108"/>
              <w:spacing w:after="0"/>
              <w:rPr>
                <w:sz w:val="20"/>
                <w:szCs w:val="20"/>
                <w:color w:val="auto"/>
              </w:rPr>
            </w:pPr>
            <w:r>
              <w:rPr>
                <w:rFonts w:ascii="Arial" w:cs="Arial" w:eastAsia="Arial" w:hAnsi="Arial"/>
                <w:sz w:val="14"/>
                <w:szCs w:val="14"/>
                <w:color w:val="auto"/>
              </w:rPr>
              <w:t>2023 - 2022</w:t>
            </w:r>
          </w:p>
        </w:tc>
        <w:tc>
          <w:tcPr>
            <w:tcW w:w="100" w:type="dxa"/>
            <w:vAlign w:val="bottom"/>
          </w:tcPr>
          <w:p>
            <w:pPr>
              <w:spacing w:after="0"/>
              <w:rPr>
                <w:sz w:val="17"/>
                <w:szCs w:val="17"/>
                <w:color w:val="auto"/>
              </w:rPr>
            </w:pPr>
          </w:p>
        </w:tc>
        <w:tc>
          <w:tcPr>
            <w:tcW w:w="1100" w:type="dxa"/>
            <w:vAlign w:val="bottom"/>
          </w:tcPr>
          <w:p>
            <w:pPr>
              <w:jc w:val="right"/>
              <w:ind w:right="81"/>
              <w:spacing w:after="0"/>
              <w:rPr>
                <w:sz w:val="20"/>
                <w:szCs w:val="20"/>
                <w:color w:val="auto"/>
              </w:rPr>
            </w:pPr>
            <w:r>
              <w:rPr>
                <w:rFonts w:ascii="Arial" w:cs="Arial" w:eastAsia="Arial" w:hAnsi="Arial"/>
                <w:sz w:val="14"/>
                <w:szCs w:val="14"/>
                <w:color w:val="auto"/>
              </w:rPr>
              <w:t>2022 - 2021</w:t>
            </w:r>
          </w:p>
        </w:tc>
      </w:tr>
      <w:tr>
        <w:trPr>
          <w:trHeight w:val="196"/>
        </w:trPr>
        <w:tc>
          <w:tcPr>
            <w:tcW w:w="27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3"/>
          </w:tcPr>
          <w:p>
            <w:pPr>
              <w:jc w:val="right"/>
              <w:ind w:right="680"/>
              <w:spacing w:after="0"/>
              <w:rPr>
                <w:sz w:val="20"/>
                <w:szCs w:val="20"/>
                <w:color w:val="auto"/>
              </w:rPr>
            </w:pPr>
            <w:r>
              <w:rPr>
                <w:rFonts w:ascii="Arial" w:cs="Arial" w:eastAsia="Arial" w:hAnsi="Arial"/>
                <w:sz w:val="14"/>
                <w:szCs w:val="14"/>
                <w:color w:val="auto"/>
              </w:rPr>
              <w:t>NEP</w:t>
            </w:r>
          </w:p>
        </w:tc>
        <w:tc>
          <w:tcPr>
            <w:tcW w:w="680" w:type="dxa"/>
            <w:vAlign w:val="bottom"/>
            <w:tcBorders>
              <w:top w:val="single" w:sz="8" w:color="auto"/>
            </w:tcBorders>
          </w:tcPr>
          <w:p>
            <w:pPr>
              <w:jc w:val="right"/>
              <w:ind w:right="34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142"/>
              <w:spacing w:after="0"/>
              <w:rPr>
                <w:sz w:val="20"/>
                <w:szCs w:val="20"/>
                <w:color w:val="auto"/>
              </w:rPr>
            </w:pPr>
            <w:r>
              <w:rPr>
                <w:rFonts w:ascii="Arial" w:cs="Arial" w:eastAsia="Arial" w:hAnsi="Arial"/>
                <w:sz w:val="14"/>
                <w:szCs w:val="14"/>
                <w:color w:val="auto"/>
              </w:rPr>
              <w:t>NEP</w:t>
            </w:r>
          </w:p>
        </w:tc>
        <w:tc>
          <w:tcPr>
            <w:tcW w:w="1160" w:type="dxa"/>
            <w:vAlign w:val="bottom"/>
            <w:tcBorders>
              <w:top w:val="single" w:sz="8" w:color="auto"/>
            </w:tcBorders>
            <w:gridSpan w:val="3"/>
          </w:tcPr>
          <w:p>
            <w:pPr>
              <w:jc w:val="right"/>
              <w:ind w:right="35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141"/>
              <w:spacing w:after="0"/>
              <w:rPr>
                <w:sz w:val="20"/>
                <w:szCs w:val="20"/>
                <w:color w:val="auto"/>
              </w:rPr>
            </w:pPr>
            <w:r>
              <w:rPr>
                <w:rFonts w:ascii="Arial" w:cs="Arial" w:eastAsia="Arial" w:hAnsi="Arial"/>
                <w:sz w:val="14"/>
                <w:szCs w:val="14"/>
                <w:color w:val="auto"/>
              </w:rPr>
              <w:t>NEP</w:t>
            </w:r>
          </w:p>
        </w:tc>
        <w:tc>
          <w:tcPr>
            <w:tcW w:w="1160" w:type="dxa"/>
            <w:vAlign w:val="bottom"/>
            <w:tcBorders>
              <w:top w:val="single" w:sz="8" w:color="auto"/>
            </w:tcBorders>
            <w:gridSpan w:val="3"/>
          </w:tcPr>
          <w:p>
            <w:pPr>
              <w:jc w:val="right"/>
              <w:ind w:right="35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14"/>
        </w:trPr>
        <w:tc>
          <w:tcPr>
            <w:tcW w:w="2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2,519</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2,487</w:t>
            </w: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2,144</w:t>
            </w: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40 %</w:t>
            </w:r>
          </w:p>
        </w:tc>
        <w:tc>
          <w:tcPr>
            <w:tcW w:w="12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16 %</w:t>
            </w:r>
          </w:p>
        </w:tc>
      </w:tr>
      <w:tr>
        <w:trPr>
          <w:trHeight w:val="215"/>
        </w:trPr>
        <w:tc>
          <w:tcPr>
            <w:tcW w:w="276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00" w:type="dxa"/>
            <w:vAlign w:val="bottom"/>
          </w:tcPr>
          <w:p>
            <w:pPr>
              <w:spacing w:after="0"/>
              <w:rPr>
                <w:sz w:val="18"/>
                <w:szCs w:val="18"/>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2,886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44 %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2,659</w:t>
            </w: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44 %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2,408</w:t>
            </w: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44 %</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9 %</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217"/>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9 %</w:t>
            </w:r>
          </w:p>
        </w:tc>
      </w:tr>
      <w:tr>
        <w:trPr>
          <w:trHeight w:val="215"/>
        </w:trPr>
        <w:tc>
          <w:tcPr>
            <w:tcW w:w="2760" w:type="dxa"/>
            <w:vAlign w:val="bottom"/>
          </w:tcPr>
          <w:p>
            <w:pPr>
              <w:ind w:left="20"/>
              <w:spacing w:after="0"/>
              <w:rPr>
                <w:sz w:val="20"/>
                <w:szCs w:val="20"/>
                <w:color w:val="auto"/>
              </w:rPr>
            </w:pPr>
            <w:r>
              <w:rPr>
                <w:rFonts w:ascii="Arial" w:cs="Arial" w:eastAsia="Arial" w:hAnsi="Arial"/>
                <w:sz w:val="16"/>
                <w:szCs w:val="16"/>
                <w:color w:val="auto"/>
              </w:rPr>
              <w:t>Other specialty</w:t>
            </w:r>
          </w:p>
        </w:tc>
        <w:tc>
          <w:tcPr>
            <w:tcW w:w="200" w:type="dxa"/>
            <w:vAlign w:val="bottom"/>
          </w:tcPr>
          <w:p>
            <w:pPr>
              <w:spacing w:after="0"/>
              <w:rPr>
                <w:sz w:val="18"/>
                <w:szCs w:val="18"/>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241</w:t>
            </w: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4 %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210</w:t>
            </w: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4 %</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7 %</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15 %</w:t>
            </w:r>
          </w:p>
        </w:tc>
      </w:tr>
      <w:tr>
        <w:trPr>
          <w:trHeight w:val="235"/>
        </w:trPr>
        <w:tc>
          <w:tcPr>
            <w:tcW w:w="27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6,531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6,085</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5,404</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13 %</w:t>
            </w: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302"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The $599 million (7%) increase in gross written premiums in 2023 compared to 2022 reflects growth in each of the Specialty property and casualty sub-segments as a result of a combination of new business opportunities, increased exposures and a good renewal rate environment. Overall average renewal rates increased approximately 5% in 2023. Excluding the workers’ compensation businesses, renewal pricing increased approximately 6%.</w:t>
      </w:r>
    </w:p>
    <w:p>
      <w:pPr>
        <w:spacing w:after="0" w:line="200"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The $1.11 billion (14%) increase in gross written premiums in 2022 compared to 2021 reflects growth in the crop insurance business. Excluding crop, gross and net written premiums increased 8% and 9%, respectively, in 2022 compared to 2021 reflecting increased exposures, new business opportunities and renewal rate increases. Overall average renewal rates increased approximately 5% in 2022. Excluding the workers’ compensation businesses, renewal pricing increased approximately 6%.</w:t>
      </w:r>
    </w:p>
    <w:p>
      <w:pPr>
        <w:spacing w:after="0" w:line="200" w:lineRule="exact"/>
        <w:rPr>
          <w:sz w:val="20"/>
          <w:szCs w:val="20"/>
          <w:color w:val="auto"/>
        </w:rPr>
      </w:pPr>
    </w:p>
    <w:p>
      <w:pPr>
        <w:ind w:right="120"/>
        <w:spacing w:after="0" w:line="247" w:lineRule="auto"/>
        <w:rPr>
          <w:sz w:val="20"/>
          <w:szCs w:val="20"/>
          <w:color w:val="auto"/>
        </w:rPr>
      </w:pPr>
      <w:r>
        <w:rPr>
          <w:rFonts w:ascii="Arial" w:cs="Arial" w:eastAsia="Arial" w:hAnsi="Arial"/>
          <w:sz w:val="20"/>
          <w:szCs w:val="20"/>
          <w:b w:val="1"/>
          <w:bCs w:val="1"/>
          <w:i w:val="1"/>
          <w:iCs w:val="1"/>
          <w:color w:val="00274E"/>
        </w:rPr>
        <w:t xml:space="preserve">Property and transportation </w:t>
      </w:r>
      <w:r>
        <w:rPr>
          <w:rFonts w:ascii="Arial" w:cs="Arial" w:eastAsia="Arial" w:hAnsi="Arial"/>
          <w:sz w:val="17"/>
          <w:szCs w:val="17"/>
          <w:color w:val="000000"/>
        </w:rPr>
        <w:t>Gross written premiums increased $86 million (2%) in 2023 compared to 2022 reflecting the impact of increased</w:t>
      </w:r>
      <w:r>
        <w:rPr>
          <w:rFonts w:ascii="Arial" w:cs="Arial" w:eastAsia="Arial" w:hAnsi="Arial"/>
          <w:sz w:val="20"/>
          <w:szCs w:val="20"/>
          <w:b w:val="1"/>
          <w:bCs w:val="1"/>
          <w:i w:val="1"/>
          <w:iCs w:val="1"/>
          <w:color w:val="00274E"/>
        </w:rPr>
        <w:t xml:space="preserve"> </w:t>
      </w:r>
      <w:r>
        <w:rPr>
          <w:rFonts w:ascii="Arial" w:cs="Arial" w:eastAsia="Arial" w:hAnsi="Arial"/>
          <w:sz w:val="17"/>
          <w:szCs w:val="17"/>
          <w:color w:val="000000"/>
        </w:rPr>
        <w:t>rates, retentions and exposures in the transportation and ocean marine businesses and slightly higher crop premium related to the CRS acquisition in the fourth quarter of 2023. These items were partially offset by the impact of 2023 spring commodity futures pricing and related volatility on premiums in the crop business. Average renewal rates increased approximately 6% for this group in 2023. Reinsurance premiums ceded as a percentage of gross</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written premiums were comparable in 2023 and 2022 reflecting growth in alternative risk transfer products in the transportation businesses, offset by the impact of lower premiums in the crop business. Both of these businesses cede a larger percentage of premiums than some of the other businesses in the Property and transportation sub-segment.</w:t>
      </w:r>
    </w:p>
    <w:p>
      <w:pPr>
        <w:spacing w:after="0" w:line="214"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Gross written premiums increased $797 million (24%) in 2022 compared to 2021 reflecting the impact of higher commodity futures prices on the crop insurance business. Excluding crop, gross and net written premiums grew 11% and 10%, respectively, reflecting new business opportunities, increased exposures and rate increases. Average renewal rates increased approximately 6% for this group in 2022. Reinsurance premiums ceded as a percentage of gross written premiums increased 4 percentage points in 2022 compared to 2021 reflecting growth in crop insurance products with higher cessions and higher cessions in the ocean marine business.</w:t>
      </w:r>
    </w:p>
    <w:p>
      <w:pPr>
        <w:spacing w:after="0" w:line="223"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b w:val="1"/>
          <w:bCs w:val="1"/>
          <w:i w:val="1"/>
          <w:iCs w:val="1"/>
          <w:color w:val="00274E"/>
        </w:rPr>
        <w:t xml:space="preserve">Specialty casualty </w:t>
      </w:r>
      <w:r>
        <w:rPr>
          <w:rFonts w:ascii="Arial" w:cs="Arial" w:eastAsia="Arial" w:hAnsi="Arial"/>
          <w:sz w:val="17"/>
          <w:szCs w:val="17"/>
          <w:color w:val="000000"/>
        </w:rPr>
        <w:t>Gross written premiums increased $253 million (6%) in 2023 compared to 2022 due primarily to increased exposures from</w:t>
      </w:r>
      <w:r>
        <w:rPr>
          <w:rFonts w:ascii="Arial" w:cs="Arial" w:eastAsia="Arial" w:hAnsi="Arial"/>
          <w:sz w:val="20"/>
          <w:szCs w:val="20"/>
          <w:b w:val="1"/>
          <w:bCs w:val="1"/>
          <w:i w:val="1"/>
          <w:iCs w:val="1"/>
          <w:color w:val="00274E"/>
        </w:rPr>
        <w:t xml:space="preserve"> </w:t>
      </w:r>
      <w:r>
        <w:rPr>
          <w:rFonts w:ascii="Arial" w:cs="Arial" w:eastAsia="Arial" w:hAnsi="Arial"/>
          <w:sz w:val="17"/>
          <w:szCs w:val="17"/>
          <w:color w:val="000000"/>
        </w:rPr>
        <w:t>payroll growth and new business in the workers’ compensation businesses, new business opportunities, strong policy retention and rate increases in several of the targeted markets businesses and increased exposures and higher renewal rates in the excess and surplus and excess liability businesses. This growth was partially offset by lower premiums in the mergers and acquisitions liability and executive liability businesses. Average renewal rates increased approximately 4% for this group in 2023. Excluding overall rate decreases in the workers’ compensation businesses, renewal rates for this group increased approximately 6% in 2023. Reinsurance premiums ceded as a percentage of gross written premiums decreased 1 percentage point in 2023 compared to 2022 reflecting higher premiums in the workers’ compensation businesses (which cede a lower percentage of premiums than some of the other businesses in the Specialty casualty sub-segment) and lower cessions in the environmental and mergers and acquisitions liability businesses and at ABA Insurance Services.</w:t>
      </w:r>
    </w:p>
    <w:p>
      <w:pPr>
        <w:spacing w:after="0" w:line="230"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Gross written premiums increased $225 million (6%) in 2022 compared to 2021 due primarily to increased exposures in the excess and surplus businesses, rate increases and new business opportunities in the targeted markets businesses and increased exposures resulting from payroll growth and new business in the workers’ compensation businesses. This premium growth was partially offset by lower year-over-year premiums in the mergers and acquisitions liability business. Average renewal rates increased approximately 5% for this group in 2022. Excluding overall rate decreases in the workers’ compensation businesses, renewal rates for this group increased approximately 7% in 2022. Reinsurance premiums ceded as a percentage of gross written premiums decreased 1 percentage point in 2022 compared to 2021 reflecting lower cessions in the excess and surplus and excess liability businesses and lower gross written premiums in the mergers and acquisitions liability business, which cedes a larger percentage of premiums than the other businesses in the Specialty casualty sub-segment.</w:t>
      </w:r>
    </w:p>
    <w:p>
      <w:pPr>
        <w:spacing w:after="0" w:line="209" w:lineRule="exact"/>
        <w:rPr>
          <w:sz w:val="20"/>
          <w:szCs w:val="20"/>
          <w:color w:val="auto"/>
        </w:rPr>
      </w:pPr>
    </w:p>
    <w:p>
      <w:pPr>
        <w:ind w:right="120"/>
        <w:spacing w:after="0" w:line="247" w:lineRule="auto"/>
        <w:rPr>
          <w:sz w:val="20"/>
          <w:szCs w:val="20"/>
          <w:color w:val="auto"/>
        </w:rPr>
      </w:pPr>
      <w:r>
        <w:rPr>
          <w:rFonts w:ascii="Arial" w:cs="Arial" w:eastAsia="Arial" w:hAnsi="Arial"/>
          <w:sz w:val="20"/>
          <w:szCs w:val="20"/>
          <w:b w:val="1"/>
          <w:bCs w:val="1"/>
          <w:i w:val="1"/>
          <w:iCs w:val="1"/>
          <w:color w:val="00274E"/>
        </w:rPr>
        <w:t xml:space="preserve">Specialty financial </w:t>
      </w:r>
      <w:r>
        <w:rPr>
          <w:rFonts w:ascii="Arial" w:cs="Arial" w:eastAsia="Arial" w:hAnsi="Arial"/>
          <w:sz w:val="17"/>
          <w:szCs w:val="17"/>
          <w:color w:val="000000"/>
        </w:rPr>
        <w:t>Gross written premiums increased $260 million (29%) in 2023 compared to 2022 due primarily to growth in the financial</w:t>
      </w:r>
      <w:r>
        <w:rPr>
          <w:rFonts w:ascii="Arial" w:cs="Arial" w:eastAsia="Arial" w:hAnsi="Arial"/>
          <w:sz w:val="20"/>
          <w:szCs w:val="20"/>
          <w:b w:val="1"/>
          <w:bCs w:val="1"/>
          <w:i w:val="1"/>
          <w:iCs w:val="1"/>
          <w:color w:val="00274E"/>
        </w:rPr>
        <w:t xml:space="preserve"> </w:t>
      </w:r>
      <w:r>
        <w:rPr>
          <w:rFonts w:ascii="Arial" w:cs="Arial" w:eastAsia="Arial" w:hAnsi="Arial"/>
          <w:sz w:val="17"/>
          <w:szCs w:val="17"/>
          <w:color w:val="000000"/>
        </w:rPr>
        <w:t>institutions business. Average renewal rates increased approximately 5% for this group in 2023. Reinsurance premiums ceded as a percentage of gross written premiums decreased 1 percentage point in 2023 compared to 2022 reflecting the impact of reinstatement premiums paid to reinsurers in 2022 related to Hurricane Ian.</w:t>
      </w:r>
    </w:p>
    <w:p>
      <w:pPr>
        <w:spacing w:after="0" w:line="217"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Gross written premiums increased $89 million (11%) in 2022 compared to 2021 due primarily to higher premiums in the financial institutions business related to lender-placed mortgage protection insurance, rate increases and new business opportunities in the fidelity business and new business opportunities in the innovative markets and commercial equipment leasing businesses. Average renewal rates for this group increased approximately 5% in 2022. Reinsurance premiums ceded as a percentage of gross written premiums increased 2 percentage points in 2022 compared to 2021 reflecting the impact of reinstatement premiums related to Hurricane Ian and higher cessions in the innovative markets business.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274E"/>
        </w:rPr>
        <w:t xml:space="preserve">Other specialty </w:t>
      </w:r>
      <w:r>
        <w:rPr>
          <w:rFonts w:ascii="Arial" w:cs="Arial" w:eastAsia="Arial" w:hAnsi="Arial"/>
          <w:sz w:val="17"/>
          <w:szCs w:val="17"/>
          <w:color w:val="000000"/>
        </w:rPr>
        <w:t>The amounts shown as reinsurance premiums ceded represent business assumed by AFG’s internal reinsurance program from</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the operations that make up AFG’s other Specialty property and casualty insurance sub-segments. Reinsurance premiums assumed increased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$10 million (4%) in 2023 compared to 2022, and $34 million (16%) in 2022 compared to 2021 reflecting an increase in premiums retained, primarily</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from businesses in the Specialty casualty sub-segment.</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1" w:name="page72"/>
    <w:bookmarkEnd w:id="7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Combined Ratio</w:t>
      </w:r>
    </w:p>
    <w:p>
      <w:pPr>
        <w:spacing w:after="0" w:line="30"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The table below (dollars in millions) details the components of the combined ratio for AFG’s property and casualty insurance segment for 2023, 2022 and 2021:</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Property and transportation</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Specialty casualty</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Specialty financial</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Specialty</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Aggregate — including exited lines</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236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color w:val="auto"/>
              </w:rPr>
              <w:t>Year ended December 31,</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color w:val="auto"/>
              </w:rPr>
              <w:t>Change</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7"/>
          </w:tcPr>
          <w:p>
            <w:pPr>
              <w:jc w:val="right"/>
              <w:ind w:right="421"/>
              <w:spacing w:after="0"/>
              <w:rPr>
                <w:sz w:val="20"/>
                <w:szCs w:val="20"/>
                <w:color w:val="auto"/>
              </w:rPr>
            </w:pPr>
            <w:r>
              <w:rPr>
                <w:rFonts w:ascii="Arial" w:cs="Arial" w:eastAsia="Arial" w:hAnsi="Arial"/>
                <w:sz w:val="14"/>
                <w:szCs w:val="14"/>
                <w:color w:val="auto"/>
              </w:rPr>
              <w:t>Year ended December 31,</w:t>
            </w:r>
          </w:p>
        </w:tc>
        <w:tc>
          <w:tcPr>
            <w:tcW w:w="0" w:type="dxa"/>
            <w:vAlign w:val="bottom"/>
          </w:tcPr>
          <w:p>
            <w:pPr>
              <w:spacing w:after="0"/>
              <w:rPr>
                <w:sz w:val="1"/>
                <w:szCs w:val="1"/>
                <w:color w:val="auto"/>
              </w:rPr>
            </w:pPr>
          </w:p>
        </w:tc>
      </w:tr>
      <w:tr>
        <w:trPr>
          <w:trHeight w:val="196"/>
        </w:trPr>
        <w:tc>
          <w:tcPr>
            <w:tcW w:w="94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7"/>
                <w:szCs w:val="17"/>
                <w:color w:val="auto"/>
              </w:rPr>
            </w:pPr>
          </w:p>
        </w:tc>
        <w:tc>
          <w:tcPr>
            <w:tcW w:w="94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2023 - 2022</w:t>
            </w:r>
          </w:p>
        </w:tc>
        <w:tc>
          <w:tcPr>
            <w:tcW w:w="100" w:type="dxa"/>
            <w:vAlign w:val="bottom"/>
          </w:tcPr>
          <w:p>
            <w:pPr>
              <w:spacing w:after="0"/>
              <w:rPr>
                <w:sz w:val="17"/>
                <w:szCs w:val="17"/>
                <w:color w:val="auto"/>
              </w:rPr>
            </w:pPr>
          </w:p>
        </w:tc>
        <w:tc>
          <w:tcPr>
            <w:tcW w:w="114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color w:val="auto"/>
              </w:rPr>
              <w:t>2022 - 2021</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414"/>
        </w:trPr>
        <w:tc>
          <w:tcPr>
            <w:tcW w:w="940" w:type="dxa"/>
            <w:vAlign w:val="bottom"/>
          </w:tcPr>
          <w:p>
            <w:pPr>
              <w:jc w:val="right"/>
              <w:spacing w:after="0"/>
              <w:rPr>
                <w:sz w:val="20"/>
                <w:szCs w:val="20"/>
                <w:color w:val="auto"/>
              </w:rPr>
            </w:pPr>
            <w:r>
              <w:rPr>
                <w:rFonts w:ascii="Arial" w:cs="Arial" w:eastAsia="Arial" w:hAnsi="Arial"/>
                <w:sz w:val="16"/>
                <w:szCs w:val="16"/>
                <w:color w:val="auto"/>
              </w:rPr>
              <w:t>69.2 %</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69.8 %</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65.1 %</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(0.6 %)</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4.7 %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23.6 %</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21.9 %</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22.0 %</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92.8 %</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91.7 %</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87.1 %</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4.6 %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3"/>
            <w:vMerge w:val="restart"/>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ind w:right="1"/>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180"/>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60.3 %</w:t>
            </w:r>
          </w:p>
        </w:tc>
        <w:tc>
          <w:tcPr>
            <w:tcW w:w="10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54.7 %</w:t>
            </w: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58.1 %</w:t>
            </w:r>
          </w:p>
        </w:tc>
        <w:tc>
          <w:tcPr>
            <w:tcW w:w="1240" w:type="dxa"/>
            <w:vAlign w:val="bottom"/>
            <w:gridSpan w:val="2"/>
            <w:vMerge w:val="restart"/>
          </w:tcPr>
          <w:p>
            <w:pPr>
              <w:jc w:val="right"/>
              <w:spacing w:after="0"/>
              <w:rPr>
                <w:sz w:val="20"/>
                <w:szCs w:val="20"/>
                <w:color w:val="auto"/>
              </w:rPr>
            </w:pPr>
            <w:r>
              <w:rPr>
                <w:rFonts w:ascii="Arial" w:cs="Arial" w:eastAsia="Arial" w:hAnsi="Arial"/>
                <w:sz w:val="16"/>
                <w:szCs w:val="16"/>
                <w:color w:val="auto"/>
              </w:rPr>
              <w:t>5.6 %</w:t>
            </w: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(3.4 %)</w:t>
            </w: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2"/>
        </w:trPr>
        <w:tc>
          <w:tcPr>
            <w:tcW w:w="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26.7 %</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26.5 %</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26.2 %</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87.0 %</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81.2 %</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84.3 %</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5.8 %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3"/>
            <w:vMerge w:val="restart"/>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ind w:right="1"/>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180"/>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37.8 %</w:t>
            </w:r>
          </w:p>
        </w:tc>
        <w:tc>
          <w:tcPr>
            <w:tcW w:w="10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34.1 %</w:t>
            </w: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33.2 %</w:t>
            </w:r>
          </w:p>
        </w:tc>
        <w:tc>
          <w:tcPr>
            <w:tcW w:w="1240" w:type="dxa"/>
            <w:vAlign w:val="bottom"/>
            <w:gridSpan w:val="2"/>
            <w:vMerge w:val="restart"/>
          </w:tcPr>
          <w:p>
            <w:pPr>
              <w:jc w:val="right"/>
              <w:spacing w:after="0"/>
              <w:rPr>
                <w:sz w:val="20"/>
                <w:szCs w:val="20"/>
                <w:color w:val="auto"/>
              </w:rPr>
            </w:pPr>
            <w:r>
              <w:rPr>
                <w:rFonts w:ascii="Arial" w:cs="Arial" w:eastAsia="Arial" w:hAnsi="Arial"/>
                <w:sz w:val="16"/>
                <w:szCs w:val="16"/>
                <w:color w:val="auto"/>
              </w:rPr>
              <w:t>3.7 %</w:t>
            </w: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2"/>
        </w:trPr>
        <w:tc>
          <w:tcPr>
            <w:tcW w:w="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49.5 %</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49.6 %</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51.9 %</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87.3 %</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83.7 %</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85.1 %</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3.6 %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3"/>
            <w:vMerge w:val="restart"/>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ind w:right="1"/>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180"/>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61.5 %</w:t>
            </w:r>
          </w:p>
        </w:tc>
        <w:tc>
          <w:tcPr>
            <w:tcW w:w="10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59.6 %</w:t>
            </w: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58.4 %</w:t>
            </w:r>
          </w:p>
        </w:tc>
        <w:tc>
          <w:tcPr>
            <w:tcW w:w="1240" w:type="dxa"/>
            <w:vAlign w:val="bottom"/>
            <w:gridSpan w:val="2"/>
            <w:vMerge w:val="restart"/>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3"/>
        </w:trPr>
        <w:tc>
          <w:tcPr>
            <w:tcW w:w="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28.8 %</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27.6 %</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28.0 %</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(0.4 %)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90.3 %</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87.2 %</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86.4 %</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0.8 %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3"/>
            <w:vMerge w:val="restart"/>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633</w:t>
            </w:r>
          </w:p>
        </w:tc>
        <w:tc>
          <w:tcPr>
            <w:tcW w:w="10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780</w:t>
            </w:r>
          </w:p>
        </w:tc>
        <w:tc>
          <w:tcPr>
            <w:tcW w:w="10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ind w:right="1"/>
              <w:spacing w:after="0"/>
              <w:rPr>
                <w:sz w:val="20"/>
                <w:szCs w:val="20"/>
                <w:color w:val="auto"/>
              </w:rPr>
            </w:pPr>
            <w:r>
              <w:rPr>
                <w:rFonts w:ascii="Arial" w:cs="Arial" w:eastAsia="Arial" w:hAnsi="Arial"/>
                <w:sz w:val="16"/>
                <w:szCs w:val="16"/>
                <w:color w:val="auto"/>
              </w:rPr>
              <w:t>737</w:t>
            </w:r>
          </w:p>
        </w:tc>
        <w:tc>
          <w:tcPr>
            <w:tcW w:w="0" w:type="dxa"/>
            <w:vAlign w:val="bottom"/>
          </w:tcPr>
          <w:p>
            <w:pPr>
              <w:spacing w:after="0"/>
              <w:rPr>
                <w:sz w:val="1"/>
                <w:szCs w:val="1"/>
                <w:color w:val="auto"/>
              </w:rPr>
            </w:pPr>
          </w:p>
        </w:tc>
      </w:tr>
      <w:tr>
        <w:trPr>
          <w:trHeight w:val="180"/>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61.6 %</w:t>
            </w:r>
          </w:p>
        </w:tc>
        <w:tc>
          <w:tcPr>
            <w:tcW w:w="10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59.7 %</w:t>
            </w: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58.5 %</w:t>
            </w:r>
          </w:p>
        </w:tc>
        <w:tc>
          <w:tcPr>
            <w:tcW w:w="1240" w:type="dxa"/>
            <w:vAlign w:val="bottom"/>
            <w:gridSpan w:val="2"/>
            <w:vMerge w:val="restart"/>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3"/>
        </w:trPr>
        <w:tc>
          <w:tcPr>
            <w:tcW w:w="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28.8 %</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27.6 %</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28.0 %</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(0.4 %)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90.4 %</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87.3 %</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86.5 %</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0.8 %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3"/>
            <w:vMerge w:val="restart"/>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631</w:t>
            </w:r>
          </w:p>
        </w:tc>
        <w:tc>
          <w:tcPr>
            <w:tcW w:w="10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776</w:t>
            </w:r>
          </w:p>
        </w:tc>
        <w:tc>
          <w:tcPr>
            <w:tcW w:w="10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ind w:right="1"/>
              <w:spacing w:after="0"/>
              <w:rPr>
                <w:sz w:val="20"/>
                <w:szCs w:val="20"/>
                <w:color w:val="auto"/>
              </w:rPr>
            </w:pPr>
            <w:r>
              <w:rPr>
                <w:rFonts w:ascii="Arial" w:cs="Arial" w:eastAsia="Arial" w:hAnsi="Arial"/>
                <w:sz w:val="16"/>
                <w:szCs w:val="16"/>
                <w:color w:val="auto"/>
              </w:rPr>
              <w:t>733</w:t>
            </w:r>
          </w:p>
        </w:tc>
        <w:tc>
          <w:tcPr>
            <w:tcW w:w="0" w:type="dxa"/>
            <w:vAlign w:val="bottom"/>
          </w:tcPr>
          <w:p>
            <w:pPr>
              <w:spacing w:after="0"/>
              <w:rPr>
                <w:sz w:val="1"/>
                <w:szCs w:val="1"/>
                <w:color w:val="auto"/>
              </w:rPr>
            </w:pPr>
          </w:p>
        </w:tc>
      </w:tr>
      <w:tr>
        <w:trPr>
          <w:trHeight w:val="181"/>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-4208145</wp:posOffset>
            </wp:positionV>
            <wp:extent cx="71323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-3933825</wp:posOffset>
            </wp:positionV>
            <wp:extent cx="71323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-3634105</wp:posOffset>
            </wp:positionV>
            <wp:extent cx="713232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-3342640</wp:posOffset>
            </wp:positionV>
            <wp:extent cx="71323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-3068320</wp:posOffset>
            </wp:positionV>
            <wp:extent cx="71323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-2767965</wp:posOffset>
            </wp:positionV>
            <wp:extent cx="713232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-2476500</wp:posOffset>
            </wp:positionV>
            <wp:extent cx="71323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-2202180</wp:posOffset>
            </wp:positionV>
            <wp:extent cx="71323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-1902460</wp:posOffset>
            </wp:positionV>
            <wp:extent cx="713232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-1610995</wp:posOffset>
            </wp:positionV>
            <wp:extent cx="71323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-1336675</wp:posOffset>
            </wp:positionV>
            <wp:extent cx="71323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-1036320</wp:posOffset>
            </wp:positionV>
            <wp:extent cx="713232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-744855</wp:posOffset>
            </wp:positionV>
            <wp:extent cx="71323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-470535</wp:posOffset>
            </wp:positionV>
            <wp:extent cx="713232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-170815</wp:posOffset>
            </wp:positionV>
            <wp:extent cx="7132320"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20" w:space="260"/>
            <w:col w:w="8260"/>
          </w:cols>
          <w:pgMar w:left="320" w:top="116" w:right="339" w:bottom="1440" w:gutter="0" w:footer="0" w:header="0"/>
          <w:type w:val="continuous"/>
        </w:sectPr>
      </w:pPr>
    </w:p>
    <w:p>
      <w:pPr>
        <w:spacing w:after="0" w:line="102"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The Specialty property and casualty insurance operations generated an underwriting profit of $633 million in 2023 compared to $780 million in 2022, a decrease of $147 million (19%). This decrease reflects lower underwriting profit in each of the Specialty property and casualty insurance sub-segments. Overall catastrophe losses were $165 million (2.5 points on the combined ratio), including $3 million in net reinstatement premiums, for 2023 compared to catastrophe losses of $93 million (1.5 points), including $5 million in net reinstatement premiums, for 2022.</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The Specialty property and casualty insurance operations generated an underwriting profit of $780 million in 2022 compared to $737 million in 2021,</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an increase of $43 million (6%), reflecting higher underwriting profits in the Specialty casualty and Specialty financial sub-segments, partially offset</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by lower underwriting profit in the Property and transportation sub-segment. Underwriting results for the Specialty property and casualty insurance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operations include $16 million in COVID-19 related losses (0.3 points on the combined ratio) in 2021. Overall catastrophe losses were $93 million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(1.5 points on the combined ratio), including $5 million in net reinstatement premiums, for 2022 compared to catastrophe losses of $98 million</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(1.7 points), including $12 million in net reinstatement premiums, for 2021.</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274E"/>
        </w:rPr>
        <w:t xml:space="preserve">Property and transportation </w:t>
      </w:r>
      <w:r>
        <w:rPr>
          <w:rFonts w:ascii="Arial" w:cs="Arial" w:eastAsia="Arial" w:hAnsi="Arial"/>
          <w:sz w:val="17"/>
          <w:szCs w:val="17"/>
          <w:color w:val="000000"/>
        </w:rPr>
        <w:t>Underwriting profit for this group was $184 million in 2023 compared to $208 million in 2022, a decrease of</w:t>
      </w:r>
    </w:p>
    <w:p>
      <w:pPr>
        <w:spacing w:after="0" w:line="28"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$24 million (12%). Below average underwriting profitability in the crop insurance operations was partially offset by higher year-over-year underwriting profit in the property and inland marine business. Catastrophe losses were $53 million (2.0 points on the combined ratio), including $2 million in net reinstatement premiums, in 2023 compared to catastrophe losses of $45 million (1.9 points), including $3 million in net reinstatement premiums, in 2022.</w:t>
      </w:r>
    </w:p>
    <w:p>
      <w:pPr>
        <w:spacing w:after="0" w:line="223"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color w:val="auto"/>
        </w:rPr>
        <w:t>Underwriting profit for this group was $208 million in 2022 compared to $279 million in 2021, a decrease of $71 million (25%), reflecting lower year-over-year profitability in the crop operations compared to the very strong results in 2021 and</w:t>
      </w:r>
    </w:p>
    <w:p>
      <w:pPr>
        <w:sectPr>
          <w:pgSz w:w="11900" w:h="16838" w:orient="portrait"/>
          <w:cols w:equalWidth="0" w:num="1">
            <w:col w:w="11240"/>
          </w:cols>
          <w:pgMar w:left="320" w:top="116" w:right="339" w:bottom="1440" w:gutter="0" w:footer="0" w:header="0"/>
          <w:type w:val="continuous"/>
        </w:sect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lower underwriting profit in the transportation businesses, primarily the result of lower favorable prior year reserve development. Catastrophe losses were $45 million (1.9 points on the combined ratio), including $3 million in net reinstatement premiums, in 2022 compared to catastrophe losses of $58 million (2.7 points), including $9 million in net reinstatement premiums, in 2021.</w:t>
      </w:r>
    </w:p>
    <w:p>
      <w:pPr>
        <w:spacing w:after="0" w:line="215" w:lineRule="exact"/>
        <w:rPr>
          <w:sz w:val="20"/>
          <w:szCs w:val="20"/>
          <w:color w:val="auto"/>
        </w:rPr>
      </w:pPr>
    </w:p>
    <w:p>
      <w:pPr>
        <w:ind w:right="100"/>
        <w:spacing w:after="0" w:line="247" w:lineRule="auto"/>
        <w:rPr>
          <w:sz w:val="20"/>
          <w:szCs w:val="20"/>
          <w:color w:val="auto"/>
        </w:rPr>
      </w:pPr>
      <w:r>
        <w:rPr>
          <w:rFonts w:ascii="Arial" w:cs="Arial" w:eastAsia="Arial" w:hAnsi="Arial"/>
          <w:sz w:val="20"/>
          <w:szCs w:val="20"/>
          <w:b w:val="1"/>
          <w:bCs w:val="1"/>
          <w:i w:val="1"/>
          <w:iCs w:val="1"/>
          <w:color w:val="00274E"/>
        </w:rPr>
        <w:t xml:space="preserve">Specialty casualty </w:t>
      </w:r>
      <w:r>
        <w:rPr>
          <w:rFonts w:ascii="Arial" w:cs="Arial" w:eastAsia="Arial" w:hAnsi="Arial"/>
          <w:sz w:val="17"/>
          <w:szCs w:val="17"/>
          <w:color w:val="000000"/>
        </w:rPr>
        <w:t>Underwriting profit for this group was $375 million in 2023 compared to $500 million in 2022, a decrease of $125 million</w:t>
      </w:r>
      <w:r>
        <w:rPr>
          <w:rFonts w:ascii="Arial" w:cs="Arial" w:eastAsia="Arial" w:hAnsi="Arial"/>
          <w:sz w:val="20"/>
          <w:szCs w:val="20"/>
          <w:b w:val="1"/>
          <w:bCs w:val="1"/>
          <w:i w:val="1"/>
          <w:iCs w:val="1"/>
          <w:color w:val="00274E"/>
        </w:rPr>
        <w:t xml:space="preserve"> </w:t>
      </w:r>
      <w:r>
        <w:rPr>
          <w:rFonts w:ascii="Arial" w:cs="Arial" w:eastAsia="Arial" w:hAnsi="Arial"/>
          <w:sz w:val="17"/>
          <w:szCs w:val="17"/>
          <w:color w:val="000000"/>
        </w:rPr>
        <w:t>(25%). The lower year-over-year underwriting profit was due primarily to lower favorable prior year reserve development in the workers’ compensation businesses and adverse reserve development in the public sector and excess and surplus businesses, partially offset by higher favorable prior year reserve development in the executive liability business. Catastrophe losses were $36 million (1.2 points on the combined ratio), including $1 million in net reinstatement premiums, in 2023 compared to catastrophe losses of $11 million (0.5 points) in 2022.</w:t>
      </w:r>
    </w:p>
    <w:p>
      <w:pPr>
        <w:spacing w:after="0" w:line="219"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Underwriting profit for this group was $500 million in 2022 compared to $377 million in 2021, an increase of $123 million (33%). This increase reflects higher year-over-year underwriting profits in the workers’ compensation, excess and surplus, executive liability and mergers and acquisitions liability businesses. COVID-19 related losses were $9 million (0.4 points on the combined ratio) in 2021. Catastrophe losses were $11 million</w:t>
      </w:r>
    </w:p>
    <w:p>
      <w:pPr>
        <w:ind w:right="540"/>
        <w:spacing w:after="0" w:line="281" w:lineRule="auto"/>
        <w:rPr>
          <w:sz w:val="20"/>
          <w:szCs w:val="20"/>
          <w:color w:val="auto"/>
        </w:rPr>
      </w:pPr>
      <w:r>
        <w:rPr>
          <w:rFonts w:ascii="Arial" w:cs="Arial" w:eastAsia="Arial" w:hAnsi="Arial"/>
          <w:sz w:val="17"/>
          <w:szCs w:val="17"/>
          <w:color w:val="auto"/>
        </w:rPr>
        <w:t>(0.5 points on the combined ratio) in 2022 compared to catastrophe losses of $10 million (0.4 points), including $1 million in net reinstatement premiums, in 2021.</w:t>
      </w:r>
    </w:p>
    <w:p>
      <w:pPr>
        <w:spacing w:after="0" w:line="188"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b w:val="1"/>
          <w:bCs w:val="1"/>
          <w:i w:val="1"/>
          <w:iCs w:val="1"/>
          <w:color w:val="00274E"/>
        </w:rPr>
        <w:t xml:space="preserve">Specialty financial </w:t>
      </w:r>
      <w:r>
        <w:rPr>
          <w:rFonts w:ascii="Arial" w:cs="Arial" w:eastAsia="Arial" w:hAnsi="Arial"/>
          <w:sz w:val="17"/>
          <w:szCs w:val="17"/>
          <w:color w:val="000000"/>
        </w:rPr>
        <w:t>Underwriting profit for this group was $110 million in 2023 compared to $114 million in 2022, a decrease of $4 million (4%).</w:t>
      </w:r>
      <w:r>
        <w:rPr>
          <w:rFonts w:ascii="Arial" w:cs="Arial" w:eastAsia="Arial" w:hAnsi="Arial"/>
          <w:sz w:val="20"/>
          <w:szCs w:val="20"/>
          <w:b w:val="1"/>
          <w:bCs w:val="1"/>
          <w:i w:val="1"/>
          <w:iCs w:val="1"/>
          <w:color w:val="00274E"/>
        </w:rPr>
        <w:t xml:space="preserve"> </w:t>
      </w:r>
      <w:r>
        <w:rPr>
          <w:rFonts w:ascii="Arial" w:cs="Arial" w:eastAsia="Arial" w:hAnsi="Arial"/>
          <w:sz w:val="17"/>
          <w:szCs w:val="17"/>
          <w:color w:val="000000"/>
        </w:rPr>
        <w:t>This decrease reflects higher year-over-year catastrophe losses in the financial institutions business and lower underwriting profit in the surety business. Catastrophe losses were $49 million (5.7 points on the combined ratio) in 2023 compared to catastrophe losses of $36 million (4.9 points), including $3 million in net reinstatement premiums, in 2022.</w:t>
      </w:r>
    </w:p>
    <w:p>
      <w:pPr>
        <w:spacing w:after="0" w:line="217"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Underwriting profit for this group was $114 million in 2022 compared to $96 million in 2021, an increase of $18 million (19%) due primarily to higher year-over-year underwriting profits in the trade credit and financial institutions businesses. COVID-19 related losses were $7 million (1.1 points on the combined ratio) in 2021. Catastrophe losses were $36 million (4.9 points on the combined ratio), including $3 million in net reinstatement premiums, in 2022 compared to catastrophe losses of $28 million (4.1 points), including $2 million in net reinstatement premiums, in 2021.</w:t>
      </w:r>
    </w:p>
    <w:p>
      <w:pPr>
        <w:spacing w:after="0" w:line="200" w:lineRule="exact"/>
        <w:rPr>
          <w:sz w:val="20"/>
          <w:szCs w:val="20"/>
          <w:color w:val="auto"/>
        </w:rPr>
      </w:pPr>
    </w:p>
    <w:p>
      <w:pPr>
        <w:spacing w:after="0" w:line="247" w:lineRule="auto"/>
        <w:rPr>
          <w:sz w:val="20"/>
          <w:szCs w:val="20"/>
          <w:color w:val="auto"/>
        </w:rPr>
      </w:pPr>
      <w:r>
        <w:rPr>
          <w:rFonts w:ascii="Arial" w:cs="Arial" w:eastAsia="Arial" w:hAnsi="Arial"/>
          <w:sz w:val="20"/>
          <w:szCs w:val="20"/>
          <w:b w:val="1"/>
          <w:bCs w:val="1"/>
          <w:i w:val="1"/>
          <w:iCs w:val="1"/>
          <w:color w:val="00274E"/>
        </w:rPr>
        <w:t xml:space="preserve">Other specialty </w:t>
      </w:r>
      <w:r>
        <w:rPr>
          <w:rFonts w:ascii="Arial" w:cs="Arial" w:eastAsia="Arial" w:hAnsi="Arial"/>
          <w:sz w:val="17"/>
          <w:szCs w:val="17"/>
          <w:color w:val="000000"/>
        </w:rPr>
        <w:t>This group reported an underwriting loss of $36 million in 2023 compared to $42 million in 2022, a decrease of $6 million (14%),</w:t>
      </w:r>
      <w:r>
        <w:rPr>
          <w:rFonts w:ascii="Arial" w:cs="Arial" w:eastAsia="Arial" w:hAnsi="Arial"/>
          <w:sz w:val="20"/>
          <w:szCs w:val="20"/>
          <w:b w:val="1"/>
          <w:bCs w:val="1"/>
          <w:i w:val="1"/>
          <w:iCs w:val="1"/>
          <w:color w:val="00274E"/>
        </w:rPr>
        <w:t xml:space="preserve"> </w:t>
      </w:r>
      <w:r>
        <w:rPr>
          <w:rFonts w:ascii="Arial" w:cs="Arial" w:eastAsia="Arial" w:hAnsi="Arial"/>
          <w:sz w:val="17"/>
          <w:szCs w:val="17"/>
          <w:color w:val="000000"/>
        </w:rPr>
        <w:t>reflecting lower losses in the business assumed by AFG’s internal reinsurance program from the operations that make up AFG’s other Specialty sub-segments. The underwriting loss in 2022 relates primarily to losses from social inflation exposed operations in the Specialty casualty sub-segment. Catastrophe losses were $27 million in 2023 compared to $1 million in 2022.</w:t>
      </w:r>
    </w:p>
    <w:p>
      <w:pPr>
        <w:spacing w:after="0" w:line="217"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This group reported an underwriting loss of $42 million in 2022 compared to $15 million in 2021, an increase of $27 million (180%). This increase reflects higher losses in the business assumed by AFG’s internal reinsurance program from the operations that make up AFG’s other Specialty sub-segments (primarily losses from social inflation exposed operations in the Specialty casualty sub-segment) in 2022 compared to 2021.</w:t>
      </w:r>
    </w:p>
    <w:p>
      <w:pPr>
        <w:spacing w:after="0" w:line="201" w:lineRule="exact"/>
        <w:rPr>
          <w:sz w:val="20"/>
          <w:szCs w:val="20"/>
          <w:color w:val="auto"/>
        </w:rPr>
      </w:pPr>
    </w:p>
    <w:p>
      <w:pPr>
        <w:ind w:right="80"/>
        <w:spacing w:after="0" w:line="247" w:lineRule="auto"/>
        <w:rPr>
          <w:sz w:val="20"/>
          <w:szCs w:val="20"/>
          <w:color w:val="auto"/>
        </w:rPr>
      </w:pPr>
      <w:r>
        <w:rPr>
          <w:rFonts w:ascii="Arial" w:cs="Arial" w:eastAsia="Arial" w:hAnsi="Arial"/>
          <w:sz w:val="20"/>
          <w:szCs w:val="20"/>
          <w:b w:val="1"/>
          <w:bCs w:val="1"/>
          <w:i w:val="1"/>
          <w:iCs w:val="1"/>
          <w:color w:val="00274E"/>
        </w:rPr>
        <w:t xml:space="preserve">Aggregate </w:t>
      </w:r>
      <w:r>
        <w:rPr>
          <w:rFonts w:ascii="Arial" w:cs="Arial" w:eastAsia="Arial" w:hAnsi="Arial"/>
          <w:sz w:val="17"/>
          <w:szCs w:val="17"/>
          <w:color w:val="000000"/>
        </w:rPr>
        <w:t>Aggregate underwriting results for AFG’s property and casualty insurance segment include adverse prior year reserve development of</w:t>
      </w:r>
      <w:r>
        <w:rPr>
          <w:rFonts w:ascii="Arial" w:cs="Arial" w:eastAsia="Arial" w:hAnsi="Arial"/>
          <w:sz w:val="20"/>
          <w:szCs w:val="20"/>
          <w:b w:val="1"/>
          <w:bCs w:val="1"/>
          <w:i w:val="1"/>
          <w:iCs w:val="1"/>
          <w:color w:val="00274E"/>
        </w:rPr>
        <w:t xml:space="preserve"> </w:t>
      </w:r>
      <w:r>
        <w:rPr>
          <w:rFonts w:ascii="Arial" w:cs="Arial" w:eastAsia="Arial" w:hAnsi="Arial"/>
          <w:sz w:val="17"/>
          <w:szCs w:val="17"/>
          <w:color w:val="000000"/>
        </w:rPr>
        <w:t>$2 million in 2023 and $4 million in both 2022 and 2021, related to business outside of the Specialty group that AFG no longer writes.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73" w:name="page74"/>
    <w:bookmarkEnd w:id="7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Losses and Loss Adjustment Expenses</w:t>
      </w:r>
    </w:p>
    <w:p>
      <w:pPr>
        <w:spacing w:after="0" w:line="30" w:lineRule="exact"/>
        <w:rPr>
          <w:sz w:val="20"/>
          <w:szCs w:val="20"/>
          <w:color w:val="auto"/>
        </w:rPr>
      </w:pPr>
    </w:p>
    <w:p>
      <w:pPr>
        <w:ind w:right="540"/>
        <w:spacing w:after="0" w:line="264" w:lineRule="auto"/>
        <w:rPr>
          <w:sz w:val="20"/>
          <w:szCs w:val="20"/>
          <w:color w:val="auto"/>
        </w:rPr>
      </w:pPr>
      <w:r>
        <w:rPr>
          <w:rFonts w:ascii="Arial" w:cs="Arial" w:eastAsia="Arial" w:hAnsi="Arial"/>
          <w:sz w:val="17"/>
          <w:szCs w:val="17"/>
          <w:color w:val="auto"/>
        </w:rPr>
        <w:t>AFG’s overall loss and LAE ratio was 61.6%, 59.7% and 58.5% in 2023, 2022 and 2021, respectively. The components of AFG’s property and casualty losses and LAE amounts and ratio are detailed below (dollars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color w:val="auto"/>
              </w:rPr>
              <w:t>Year ended December 31,</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6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Amount</w:t>
            </w: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Ratio</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color w:val="auto"/>
              </w:rPr>
              <w:t>Change in Ratio</w:t>
            </w:r>
          </w:p>
        </w:tc>
        <w:tc>
          <w:tcPr>
            <w:tcW w:w="0" w:type="dxa"/>
            <w:vAlign w:val="bottom"/>
          </w:tcPr>
          <w:p>
            <w:pPr>
              <w:spacing w:after="0"/>
              <w:rPr>
                <w:sz w:val="1"/>
                <w:szCs w:val="1"/>
                <w:color w:val="auto"/>
              </w:rPr>
            </w:pPr>
          </w:p>
        </w:tc>
      </w:tr>
      <w:tr>
        <w:trPr>
          <w:trHeight w:val="196"/>
        </w:trPr>
        <w:tc>
          <w:tcPr>
            <w:tcW w:w="3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139"/>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140"/>
              <w:spacing w:after="0"/>
              <w:rPr>
                <w:sz w:val="20"/>
                <w:szCs w:val="20"/>
                <w:color w:val="auto"/>
              </w:rPr>
            </w:pPr>
            <w:r>
              <w:rPr>
                <w:rFonts w:ascii="Arial" w:cs="Arial" w:eastAsia="Arial" w:hAnsi="Arial"/>
                <w:sz w:val="14"/>
                <w:szCs w:val="14"/>
                <w:color w:val="auto"/>
              </w:rPr>
              <w:t>2022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140"/>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7"/>
                <w:szCs w:val="17"/>
                <w:color w:val="auto"/>
              </w:rPr>
            </w:pPr>
          </w:p>
        </w:tc>
        <w:tc>
          <w:tcPr>
            <w:tcW w:w="900" w:type="dxa"/>
            <w:vAlign w:val="bottom"/>
          </w:tcPr>
          <w:p>
            <w:pPr>
              <w:jc w:val="right"/>
              <w:ind w:right="219"/>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20"/>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7"/>
                <w:szCs w:val="17"/>
                <w:color w:val="auto"/>
              </w:rPr>
            </w:pPr>
          </w:p>
        </w:tc>
        <w:tc>
          <w:tcPr>
            <w:tcW w:w="900" w:type="dxa"/>
            <w:vAlign w:val="bottom"/>
          </w:tcPr>
          <w:p>
            <w:pPr>
              <w:jc w:val="right"/>
              <w:ind w:right="219"/>
              <w:spacing w:after="0"/>
              <w:rPr>
                <w:sz w:val="20"/>
                <w:szCs w:val="20"/>
                <w:color w:val="auto"/>
              </w:rPr>
            </w:pPr>
            <w:r>
              <w:rPr>
                <w:rFonts w:ascii="Arial" w:cs="Arial" w:eastAsia="Arial" w:hAnsi="Arial"/>
                <w:sz w:val="14"/>
                <w:szCs w:val="14"/>
                <w:color w:val="auto"/>
              </w:rPr>
              <w:t>2021</w:t>
            </w:r>
          </w:p>
        </w:tc>
        <w:tc>
          <w:tcPr>
            <w:tcW w:w="1080" w:type="dxa"/>
            <w:vAlign w:val="bottom"/>
            <w:gridSpan w:val="2"/>
          </w:tcPr>
          <w:p>
            <w:pPr>
              <w:jc w:val="right"/>
              <w:ind w:right="101"/>
              <w:spacing w:after="0"/>
              <w:rPr>
                <w:sz w:val="20"/>
                <w:szCs w:val="20"/>
                <w:color w:val="auto"/>
              </w:rPr>
            </w:pPr>
            <w:r>
              <w:rPr>
                <w:rFonts w:ascii="Arial" w:cs="Arial" w:eastAsia="Arial" w:hAnsi="Arial"/>
                <w:sz w:val="12"/>
                <w:szCs w:val="12"/>
                <w:color w:val="auto"/>
              </w:rPr>
              <w:t>2023 - 2022</w:t>
            </w:r>
          </w:p>
        </w:tc>
        <w:tc>
          <w:tcPr>
            <w:tcW w:w="100" w:type="dxa"/>
            <w:vAlign w:val="bottom"/>
          </w:tcPr>
          <w:p>
            <w:pPr>
              <w:spacing w:after="0"/>
              <w:rPr>
                <w:sz w:val="17"/>
                <w:szCs w:val="17"/>
                <w:color w:val="auto"/>
              </w:rPr>
            </w:pP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2022 - 2021</w:t>
            </w:r>
          </w:p>
        </w:tc>
        <w:tc>
          <w:tcPr>
            <w:tcW w:w="0" w:type="dxa"/>
            <w:vAlign w:val="bottom"/>
          </w:tcPr>
          <w:p>
            <w:pPr>
              <w:spacing w:after="0"/>
              <w:rPr>
                <w:sz w:val="1"/>
                <w:szCs w:val="1"/>
                <w:color w:val="auto"/>
              </w:rPr>
            </w:pPr>
          </w:p>
        </w:tc>
      </w:tr>
      <w:tr>
        <w:trPr>
          <w:trHeight w:val="200"/>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Property and transportation</w:t>
            </w: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620" w:type="dxa"/>
            <w:vAlign w:val="bottom"/>
          </w:tcPr>
          <w:p>
            <w:pPr>
              <w:ind w:left="260"/>
              <w:spacing w:after="0" w:line="162" w:lineRule="exact"/>
              <w:rPr>
                <w:sz w:val="20"/>
                <w:szCs w:val="20"/>
                <w:color w:val="auto"/>
              </w:rPr>
            </w:pPr>
            <w:r>
              <w:rPr>
                <w:rFonts w:ascii="Arial" w:cs="Arial" w:eastAsia="Arial" w:hAnsi="Arial"/>
                <w:sz w:val="16"/>
                <w:szCs w:val="16"/>
                <w:color w:val="auto"/>
              </w:rPr>
              <w:t>Current year, excluding COVID-19 related and</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1,774</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1,785</w:t>
            </w:r>
          </w:p>
        </w:tc>
        <w:tc>
          <w:tcPr>
            <w:tcW w:w="8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1,448</w:t>
            </w:r>
          </w:p>
        </w:tc>
        <w:tc>
          <w:tcPr>
            <w:tcW w:w="1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70.5 %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71.6 %</w:t>
            </w:r>
          </w:p>
        </w:tc>
        <w:tc>
          <w:tcPr>
            <w:tcW w:w="1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67.2 %</w:t>
            </w:r>
          </w:p>
        </w:tc>
        <w:tc>
          <w:tcPr>
            <w:tcW w:w="1080" w:type="dxa"/>
            <w:vAlign w:val="bottom"/>
            <w:gridSpan w:val="2"/>
            <w:vMerge w:val="restart"/>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4.4 %</w:t>
            </w:r>
          </w:p>
        </w:tc>
        <w:tc>
          <w:tcPr>
            <w:tcW w:w="0" w:type="dxa"/>
            <w:vAlign w:val="bottom"/>
          </w:tcPr>
          <w:p>
            <w:pPr>
              <w:spacing w:after="0"/>
              <w:rPr>
                <w:sz w:val="1"/>
                <w:szCs w:val="1"/>
                <w:color w:val="auto"/>
              </w:rPr>
            </w:pPr>
          </w:p>
        </w:tc>
      </w:tr>
      <w:tr>
        <w:trPr>
          <w:trHeight w:val="215"/>
        </w:trPr>
        <w:tc>
          <w:tcPr>
            <w:tcW w:w="3620" w:type="dxa"/>
            <w:vAlign w:val="bottom"/>
          </w:tcPr>
          <w:p>
            <w:pPr>
              <w:ind w:left="440"/>
              <w:spacing w:after="0"/>
              <w:rPr>
                <w:sz w:val="20"/>
                <w:szCs w:val="20"/>
                <w:color w:val="auto"/>
              </w:rPr>
            </w:pPr>
            <w:r>
              <w:rPr>
                <w:rFonts w:ascii="Arial" w:cs="Arial" w:eastAsia="Arial" w:hAnsi="Arial"/>
                <w:sz w:val="16"/>
                <w:szCs w:val="16"/>
                <w:color w:val="auto"/>
              </w:rPr>
              <w:t>catastrophe losses</w:t>
            </w:r>
          </w:p>
        </w:tc>
        <w:tc>
          <w:tcPr>
            <w:tcW w:w="16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108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0.4 %</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15"/>
        </w:trPr>
        <w:tc>
          <w:tcPr>
            <w:tcW w:w="3620" w:type="dxa"/>
            <w:vAlign w:val="bottom"/>
          </w:tcPr>
          <w:p>
            <w:pPr>
              <w:ind w:left="260"/>
              <w:spacing w:after="0"/>
              <w:rPr>
                <w:sz w:val="20"/>
                <w:szCs w:val="20"/>
                <w:color w:val="auto"/>
              </w:rPr>
            </w:pPr>
            <w:r>
              <w:rPr>
                <w:rFonts w:ascii="Arial" w:cs="Arial" w:eastAsia="Arial" w:hAnsi="Arial"/>
                <w:sz w:val="16"/>
                <w:szCs w:val="16"/>
                <w:color w:val="auto"/>
              </w:rPr>
              <w:t>Current year COVID-19 related losses</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gridSpan w:val="3"/>
          </w:tcPr>
          <w:p>
            <w:pPr>
              <w:jc w:val="right"/>
              <w:ind w:right="300"/>
              <w:spacing w:after="0"/>
              <w:rPr>
                <w:sz w:val="20"/>
                <w:szCs w:val="20"/>
                <w:color w:val="auto"/>
              </w:rPr>
            </w:pPr>
            <w:r>
              <w:rPr>
                <w:rFonts w:ascii="Arial" w:cs="Arial" w:eastAsia="Arial" w:hAnsi="Arial"/>
                <w:sz w:val="16"/>
                <w:szCs w:val="16"/>
                <w:color w:val="auto"/>
              </w:rPr>
              <w:t>— %</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 %</w:t>
            </w:r>
          </w:p>
        </w:tc>
        <w:tc>
          <w:tcPr>
            <w:tcW w:w="900" w:type="dxa"/>
            <w:vAlign w:val="bottom"/>
          </w:tcPr>
          <w:p>
            <w:pPr>
              <w:jc w:val="right"/>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18"/>
                <w:szCs w:val="18"/>
                <w:color w:val="auto"/>
              </w:rPr>
            </w:pPr>
          </w:p>
        </w:tc>
        <w:tc>
          <w:tcPr>
            <w:tcW w:w="1080" w:type="dxa"/>
            <w:vAlign w:val="bottom"/>
            <w:gridSpan w:val="2"/>
          </w:tcPr>
          <w:p>
            <w:pPr>
              <w:ind w:left="560"/>
              <w:spacing w:after="0"/>
              <w:rPr>
                <w:sz w:val="20"/>
                <w:szCs w:val="20"/>
                <w:color w:val="auto"/>
              </w:rPr>
            </w:pPr>
            <w:r>
              <w:rPr>
                <w:rFonts w:ascii="Arial" w:cs="Arial" w:eastAsia="Arial" w:hAnsi="Arial"/>
                <w:sz w:val="16"/>
                <w:szCs w:val="16"/>
                <w:color w:val="auto"/>
              </w:rPr>
              <w:t>— %</w:t>
            </w:r>
          </w:p>
        </w:tc>
        <w:tc>
          <w:tcPr>
            <w:tcW w:w="98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63"/>
        </w:trPr>
        <w:tc>
          <w:tcPr>
            <w:tcW w:w="3620" w:type="dxa"/>
            <w:vAlign w:val="bottom"/>
            <w:shd w:val="clear" w:color="auto" w:fill="CCEEFF"/>
          </w:tcPr>
          <w:p>
            <w:pPr>
              <w:ind w:left="260"/>
              <w:spacing w:after="0" w:line="163" w:lineRule="exact"/>
              <w:rPr>
                <w:sz w:val="20"/>
                <w:szCs w:val="20"/>
                <w:color w:val="auto"/>
              </w:rPr>
            </w:pPr>
            <w:r>
              <w:rPr>
                <w:rFonts w:ascii="Arial" w:cs="Arial" w:eastAsia="Arial" w:hAnsi="Arial"/>
                <w:sz w:val="16"/>
                <w:szCs w:val="16"/>
                <w:color w:val="auto"/>
              </w:rPr>
              <w:t>Current year catastrophe losses including the</w:t>
            </w:r>
          </w:p>
        </w:tc>
        <w:tc>
          <w:tcPr>
            <w:tcW w:w="16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1080" w:type="dxa"/>
            <w:vAlign w:val="bottom"/>
            <w:gridSpan w:val="2"/>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0.1 %</w:t>
            </w: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impact of net reinstatement premiums</w:t>
            </w: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620" w:type="dxa"/>
            <w:vAlign w:val="bottom"/>
          </w:tcPr>
          <w:p>
            <w:pPr>
              <w:ind w:left="440"/>
              <w:spacing w:after="0" w:line="142" w:lineRule="exact"/>
              <w:rPr>
                <w:sz w:val="20"/>
                <w:szCs w:val="20"/>
                <w:color w:val="auto"/>
              </w:rPr>
            </w:pPr>
            <w:r>
              <w:rPr>
                <w:rFonts w:ascii="Arial" w:cs="Arial" w:eastAsia="Arial" w:hAnsi="Arial"/>
                <w:sz w:val="16"/>
                <w:szCs w:val="16"/>
                <w:color w:val="auto"/>
              </w:rPr>
              <w:t>Property and transportation losses and LAE</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1,741</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1,735</w:t>
            </w:r>
          </w:p>
        </w:tc>
        <w:tc>
          <w:tcPr>
            <w:tcW w:w="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1,394</w:t>
            </w: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69.2 %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69.8 %</w:t>
            </w: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65.1 %</w:t>
            </w:r>
          </w:p>
        </w:tc>
        <w:tc>
          <w:tcPr>
            <w:tcW w:w="1080" w:type="dxa"/>
            <w:vAlign w:val="bottom"/>
            <w:gridSpan w:val="2"/>
            <w:vMerge w:val="restart"/>
          </w:tcPr>
          <w:p>
            <w:pPr>
              <w:jc w:val="right"/>
              <w:spacing w:after="0"/>
              <w:rPr>
                <w:sz w:val="20"/>
                <w:szCs w:val="20"/>
                <w:color w:val="auto"/>
              </w:rPr>
            </w:pPr>
            <w:r>
              <w:rPr>
                <w:rFonts w:ascii="Arial" w:cs="Arial" w:eastAsia="Arial" w:hAnsi="Arial"/>
                <w:sz w:val="16"/>
                <w:szCs w:val="16"/>
                <w:color w:val="auto"/>
              </w:rPr>
              <w:t>(0.6 %)</w:t>
            </w:r>
          </w:p>
        </w:tc>
        <w:tc>
          <w:tcPr>
            <w:tcW w:w="10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4.7 %</w:t>
            </w:r>
          </w:p>
        </w:tc>
        <w:tc>
          <w:tcPr>
            <w:tcW w:w="0" w:type="dxa"/>
            <w:vAlign w:val="bottom"/>
          </w:tcPr>
          <w:p>
            <w:pPr>
              <w:spacing w:after="0"/>
              <w:rPr>
                <w:sz w:val="1"/>
                <w:szCs w:val="1"/>
                <w:color w:val="auto"/>
              </w:rPr>
            </w:pPr>
          </w:p>
        </w:tc>
      </w:tr>
      <w:tr>
        <w:trPr>
          <w:trHeight w:val="189"/>
        </w:trPr>
        <w:tc>
          <w:tcPr>
            <w:tcW w:w="3620" w:type="dxa"/>
            <w:vAlign w:val="bottom"/>
          </w:tcPr>
          <w:p>
            <w:pPr>
              <w:ind w:left="600"/>
              <w:spacing w:after="0"/>
              <w:rPr>
                <w:sz w:val="20"/>
                <w:szCs w:val="20"/>
                <w:color w:val="auto"/>
              </w:rPr>
            </w:pPr>
            <w:r>
              <w:rPr>
                <w:rFonts w:ascii="Arial" w:cs="Arial" w:eastAsia="Arial" w:hAnsi="Arial"/>
                <w:sz w:val="16"/>
                <w:szCs w:val="16"/>
                <w:color w:val="auto"/>
              </w:rPr>
              <w:t>and ratio</w:t>
            </w:r>
          </w:p>
        </w:tc>
        <w:tc>
          <w:tcPr>
            <w:tcW w:w="16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Arial" w:cs="Arial" w:eastAsia="Arial" w:hAnsi="Arial"/>
                <w:sz w:val="16"/>
                <w:szCs w:val="16"/>
                <w:b w:val="1"/>
                <w:bCs w:val="1"/>
                <w:color w:val="auto"/>
              </w:rPr>
              <w:t>Specialty casualty</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620" w:type="dxa"/>
            <w:vAlign w:val="bottom"/>
            <w:shd w:val="clear" w:color="auto" w:fill="CCEEFF"/>
          </w:tcPr>
          <w:p>
            <w:pPr>
              <w:ind w:left="260"/>
              <w:spacing w:after="0" w:line="162" w:lineRule="exact"/>
              <w:rPr>
                <w:sz w:val="20"/>
                <w:szCs w:val="20"/>
                <w:color w:val="auto"/>
              </w:rPr>
            </w:pPr>
            <w:r>
              <w:rPr>
                <w:rFonts w:ascii="Arial" w:cs="Arial" w:eastAsia="Arial" w:hAnsi="Arial"/>
                <w:sz w:val="16"/>
                <w:szCs w:val="16"/>
                <w:color w:val="auto"/>
              </w:rPr>
              <w:t>Current year, excluding COVID-19 related and</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1,814</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1,632</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1,521</w:t>
            </w:r>
          </w:p>
        </w:tc>
        <w:tc>
          <w:tcPr>
            <w:tcW w:w="1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62.9 %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61.4 %</w:t>
            </w:r>
          </w:p>
        </w:tc>
        <w:tc>
          <w:tcPr>
            <w:tcW w:w="1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63.1 %</w:t>
            </w:r>
          </w:p>
        </w:tc>
        <w:tc>
          <w:tcPr>
            <w:tcW w:w="1080" w:type="dxa"/>
            <w:vAlign w:val="bottom"/>
            <w:gridSpan w:val="2"/>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1.5 %</w:t>
            </w: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catastrophe losses</w:t>
            </w:r>
          </w:p>
        </w:tc>
        <w:tc>
          <w:tcPr>
            <w:tcW w:w="16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20" w:type="dxa"/>
            <w:vAlign w:val="bottom"/>
          </w:tcPr>
          <w:p>
            <w:pPr>
              <w:ind w:left="260"/>
              <w:spacing w:after="0"/>
              <w:rPr>
                <w:sz w:val="20"/>
                <w:szCs w:val="20"/>
                <w:color w:val="auto"/>
              </w:rPr>
            </w:pPr>
            <w:r>
              <w:rPr>
                <w:rFonts w:ascii="Arial" w:cs="Arial" w:eastAsia="Arial" w:hAnsi="Arial"/>
                <w:sz w:val="16"/>
                <w:szCs w:val="16"/>
                <w:color w:val="auto"/>
              </w:rPr>
              <w:t>Prior accident years development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(190)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(7.2 %)</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(5.8 %)</w:t>
            </w:r>
          </w:p>
        </w:tc>
        <w:tc>
          <w:tcPr>
            <w:tcW w:w="1080" w:type="dxa"/>
            <w:vAlign w:val="bottom"/>
            <w:gridSpan w:val="2"/>
          </w:tcPr>
          <w:p>
            <w:pPr>
              <w:jc w:val="right"/>
              <w:ind w:right="1"/>
              <w:spacing w:after="0"/>
              <w:rPr>
                <w:sz w:val="20"/>
                <w:szCs w:val="20"/>
                <w:color w:val="auto"/>
              </w:rPr>
            </w:pPr>
            <w:r>
              <w:rPr>
                <w:rFonts w:ascii="Arial" w:cs="Arial" w:eastAsia="Arial" w:hAnsi="Arial"/>
                <w:sz w:val="16"/>
                <w:szCs w:val="16"/>
                <w:color w:val="auto"/>
              </w:rPr>
              <w:t>3.4 %</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17"/>
        </w:trPr>
        <w:tc>
          <w:tcPr>
            <w:tcW w:w="3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Current year COVID-19 related losses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 %</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 %</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0" w:type="dxa"/>
            <w:vAlign w:val="bottom"/>
          </w:tcPr>
          <w:p>
            <w:pPr>
              <w:spacing w:after="0"/>
              <w:rPr>
                <w:sz w:val="1"/>
                <w:szCs w:val="1"/>
                <w:color w:val="auto"/>
              </w:rPr>
            </w:pPr>
          </w:p>
        </w:tc>
      </w:tr>
      <w:tr>
        <w:trPr>
          <w:trHeight w:val="162"/>
        </w:trPr>
        <w:tc>
          <w:tcPr>
            <w:tcW w:w="362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w:t>
            </w:r>
          </w:p>
        </w:tc>
        <w:tc>
          <w:tcPr>
            <w:tcW w:w="16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0.4 %</w:t>
            </w:r>
          </w:p>
        </w:tc>
        <w:tc>
          <w:tcPr>
            <w:tcW w:w="1080" w:type="dxa"/>
            <w:vAlign w:val="bottom"/>
            <w:gridSpan w:val="2"/>
            <w:vMerge w:val="restart"/>
          </w:tcPr>
          <w:p>
            <w:pPr>
              <w:jc w:val="right"/>
              <w:ind w:right="1"/>
              <w:spacing w:after="0"/>
              <w:rPr>
                <w:sz w:val="20"/>
                <w:szCs w:val="20"/>
                <w:color w:val="auto"/>
              </w:rPr>
            </w:pPr>
            <w:r>
              <w:rPr>
                <w:rFonts w:ascii="Arial" w:cs="Arial" w:eastAsia="Arial" w:hAnsi="Arial"/>
                <w:sz w:val="16"/>
                <w:szCs w:val="16"/>
                <w:color w:val="auto"/>
              </w:rPr>
              <w:t>0.7 %</w:t>
            </w: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15"/>
        </w:trPr>
        <w:tc>
          <w:tcPr>
            <w:tcW w:w="36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impact of net reinstatement premiums</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CCEEFF"/>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6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Specialty casualty losses and LAE and ratio</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1,453</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1,399</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54.7 %</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58.1 %</w:t>
            </w: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6"/>
                <w:szCs w:val="16"/>
                <w:color w:val="auto"/>
              </w:rPr>
              <w:t>5.6 %</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Specialty financial</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620" w:type="dxa"/>
            <w:vAlign w:val="bottom"/>
          </w:tcPr>
          <w:p>
            <w:pPr>
              <w:ind w:left="260"/>
              <w:spacing w:after="0" w:line="162" w:lineRule="exact"/>
              <w:rPr>
                <w:sz w:val="20"/>
                <w:szCs w:val="20"/>
                <w:color w:val="auto"/>
              </w:rPr>
            </w:pPr>
            <w:r>
              <w:rPr>
                <w:rFonts w:ascii="Arial" w:cs="Arial" w:eastAsia="Arial" w:hAnsi="Arial"/>
                <w:sz w:val="16"/>
                <w:szCs w:val="16"/>
                <w:color w:val="auto"/>
              </w:rPr>
              <w:t>Current year, excluding COVID-19 related and</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252</w:t>
            </w:r>
          </w:p>
        </w:tc>
        <w:tc>
          <w:tcPr>
            <w:tcW w:w="8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35.8 %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36.0 %</w:t>
            </w:r>
          </w:p>
        </w:tc>
        <w:tc>
          <w:tcPr>
            <w:tcW w:w="1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36.0 %</w:t>
            </w:r>
          </w:p>
        </w:tc>
        <w:tc>
          <w:tcPr>
            <w:tcW w:w="1080" w:type="dxa"/>
            <w:vAlign w:val="bottom"/>
            <w:gridSpan w:val="2"/>
            <w:vMerge w:val="restart"/>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5"/>
        </w:trPr>
        <w:tc>
          <w:tcPr>
            <w:tcW w:w="3620" w:type="dxa"/>
            <w:vAlign w:val="bottom"/>
          </w:tcPr>
          <w:p>
            <w:pPr>
              <w:ind w:left="440"/>
              <w:spacing w:after="0"/>
              <w:rPr>
                <w:sz w:val="20"/>
                <w:szCs w:val="20"/>
                <w:color w:val="auto"/>
              </w:rPr>
            </w:pPr>
            <w:r>
              <w:rPr>
                <w:rFonts w:ascii="Arial" w:cs="Arial" w:eastAsia="Arial" w:hAnsi="Arial"/>
                <w:sz w:val="16"/>
                <w:szCs w:val="16"/>
                <w:color w:val="auto"/>
              </w:rPr>
              <w:t>catastrophe losses</w:t>
            </w:r>
          </w:p>
        </w:tc>
        <w:tc>
          <w:tcPr>
            <w:tcW w:w="16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(6.8 %)</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(8.0 %)</w:t>
            </w:r>
          </w:p>
        </w:tc>
        <w:tc>
          <w:tcPr>
            <w:tcW w:w="108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3.1 %</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15"/>
        </w:trPr>
        <w:tc>
          <w:tcPr>
            <w:tcW w:w="3620" w:type="dxa"/>
            <w:vAlign w:val="bottom"/>
          </w:tcPr>
          <w:p>
            <w:pPr>
              <w:ind w:left="260"/>
              <w:spacing w:after="0"/>
              <w:rPr>
                <w:sz w:val="20"/>
                <w:szCs w:val="20"/>
                <w:color w:val="auto"/>
              </w:rPr>
            </w:pPr>
            <w:r>
              <w:rPr>
                <w:rFonts w:ascii="Arial" w:cs="Arial" w:eastAsia="Arial" w:hAnsi="Arial"/>
                <w:sz w:val="16"/>
                <w:szCs w:val="16"/>
                <w:color w:val="auto"/>
              </w:rPr>
              <w:t>Current year COVID-19 related losses</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6"/>
                <w:szCs w:val="16"/>
                <w:color w:val="auto"/>
              </w:rPr>
              <w:t>— %</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 %</w:t>
            </w:r>
          </w:p>
        </w:tc>
        <w:tc>
          <w:tcPr>
            <w:tcW w:w="900" w:type="dxa"/>
            <w:vAlign w:val="bottom"/>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18"/>
                <w:szCs w:val="18"/>
                <w:color w:val="auto"/>
              </w:rPr>
            </w:pPr>
          </w:p>
        </w:tc>
        <w:tc>
          <w:tcPr>
            <w:tcW w:w="1080" w:type="dxa"/>
            <w:vAlign w:val="bottom"/>
            <w:gridSpan w:val="2"/>
          </w:tcPr>
          <w:p>
            <w:pPr>
              <w:ind w:left="560"/>
              <w:spacing w:after="0"/>
              <w:rPr>
                <w:sz w:val="20"/>
                <w:szCs w:val="20"/>
                <w:color w:val="auto"/>
              </w:rPr>
            </w:pPr>
            <w:r>
              <w:rPr>
                <w:rFonts w:ascii="Arial" w:cs="Arial" w:eastAsia="Arial" w:hAnsi="Arial"/>
                <w:sz w:val="16"/>
                <w:szCs w:val="16"/>
                <w:color w:val="auto"/>
              </w:rPr>
              <w:t>— %</w:t>
            </w:r>
          </w:p>
        </w:tc>
        <w:tc>
          <w:tcPr>
            <w:tcW w:w="980" w:type="dxa"/>
            <w:vAlign w:val="bottom"/>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163"/>
        </w:trPr>
        <w:tc>
          <w:tcPr>
            <w:tcW w:w="3620" w:type="dxa"/>
            <w:vAlign w:val="bottom"/>
            <w:shd w:val="clear" w:color="auto" w:fill="CCEEFF"/>
          </w:tcPr>
          <w:p>
            <w:pPr>
              <w:ind w:left="260"/>
              <w:spacing w:after="0" w:line="163" w:lineRule="exact"/>
              <w:rPr>
                <w:sz w:val="20"/>
                <w:szCs w:val="20"/>
                <w:color w:val="auto"/>
              </w:rPr>
            </w:pPr>
            <w:r>
              <w:rPr>
                <w:rFonts w:ascii="Arial" w:cs="Arial" w:eastAsia="Arial" w:hAnsi="Arial"/>
                <w:sz w:val="16"/>
                <w:szCs w:val="16"/>
                <w:color w:val="auto"/>
              </w:rPr>
              <w:t>Current year catastrophe losses including the</w:t>
            </w:r>
          </w:p>
        </w:tc>
        <w:tc>
          <w:tcPr>
            <w:tcW w:w="16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4.9 %</w:t>
            </w:r>
          </w:p>
        </w:tc>
        <w:tc>
          <w:tcPr>
            <w:tcW w:w="1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1080" w:type="dxa"/>
            <w:vAlign w:val="bottom"/>
            <w:gridSpan w:val="2"/>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0.8 %</w:t>
            </w: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impact of net reinstatement premiums</w:t>
            </w: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tcPr>
          <w:p>
            <w:pPr>
              <w:ind w:left="440"/>
              <w:spacing w:after="0"/>
              <w:rPr>
                <w:sz w:val="20"/>
                <w:szCs w:val="20"/>
                <w:color w:val="auto"/>
              </w:rPr>
            </w:pPr>
            <w:r>
              <w:rPr>
                <w:rFonts w:ascii="Arial" w:cs="Arial" w:eastAsia="Arial" w:hAnsi="Arial"/>
                <w:sz w:val="16"/>
                <w:szCs w:val="16"/>
                <w:color w:val="auto"/>
              </w:rPr>
              <w:t>Specialty financial losses and LAE and ratio</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37.8 %</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34.1 %</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33.2 %</w:t>
            </w:r>
          </w:p>
        </w:tc>
        <w:tc>
          <w:tcPr>
            <w:tcW w:w="1080" w:type="dxa"/>
            <w:vAlign w:val="bottom"/>
            <w:gridSpan w:val="2"/>
          </w:tcPr>
          <w:p>
            <w:pPr>
              <w:jc w:val="right"/>
              <w:ind w:right="1"/>
              <w:spacing w:after="0"/>
              <w:rPr>
                <w:sz w:val="20"/>
                <w:szCs w:val="20"/>
                <w:color w:val="auto"/>
              </w:rPr>
            </w:pPr>
            <w:r>
              <w:rPr>
                <w:rFonts w:ascii="Arial" w:cs="Arial" w:eastAsia="Arial" w:hAnsi="Arial"/>
                <w:sz w:val="16"/>
                <w:szCs w:val="16"/>
                <w:color w:val="auto"/>
              </w:rPr>
              <w:t>3.7 %</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0.9 %</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Arial" w:cs="Arial" w:eastAsia="Arial" w:hAnsi="Arial"/>
                <w:sz w:val="16"/>
                <w:szCs w:val="16"/>
                <w:b w:val="1"/>
                <w:bCs w:val="1"/>
                <w:color w:val="auto"/>
              </w:rPr>
              <w:t>Total Specialty</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620" w:type="dxa"/>
            <w:vAlign w:val="bottom"/>
            <w:shd w:val="clear" w:color="auto" w:fill="CCEEFF"/>
          </w:tcPr>
          <w:p>
            <w:pPr>
              <w:ind w:left="260"/>
              <w:spacing w:after="0" w:line="162" w:lineRule="exact"/>
              <w:rPr>
                <w:sz w:val="20"/>
                <w:szCs w:val="20"/>
                <w:color w:val="auto"/>
              </w:rPr>
            </w:pPr>
            <w:r>
              <w:rPr>
                <w:rFonts w:ascii="Arial" w:cs="Arial" w:eastAsia="Arial" w:hAnsi="Arial"/>
                <w:sz w:val="16"/>
                <w:szCs w:val="16"/>
                <w:color w:val="auto"/>
              </w:rPr>
              <w:t>Current year, excluding COVID-19 related and</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4,079</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3,826</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3,334</w:t>
            </w:r>
          </w:p>
        </w:tc>
        <w:tc>
          <w:tcPr>
            <w:tcW w:w="1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62.4 %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62.8 %</w:t>
            </w:r>
          </w:p>
        </w:tc>
        <w:tc>
          <w:tcPr>
            <w:tcW w:w="1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61.6 %</w:t>
            </w:r>
          </w:p>
        </w:tc>
        <w:tc>
          <w:tcPr>
            <w:tcW w:w="10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catastrophe losses</w:t>
            </w:r>
          </w:p>
        </w:tc>
        <w:tc>
          <w:tcPr>
            <w:tcW w:w="16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20" w:type="dxa"/>
            <w:vAlign w:val="bottom"/>
          </w:tcPr>
          <w:p>
            <w:pPr>
              <w:ind w:left="260"/>
              <w:spacing w:after="0"/>
              <w:rPr>
                <w:sz w:val="20"/>
                <w:szCs w:val="20"/>
                <w:color w:val="auto"/>
              </w:rPr>
            </w:pPr>
            <w:r>
              <w:rPr>
                <w:rFonts w:ascii="Arial" w:cs="Arial" w:eastAsia="Arial" w:hAnsi="Arial"/>
                <w:sz w:val="16"/>
                <w:szCs w:val="16"/>
                <w:color w:val="auto"/>
              </w:rPr>
              <w:t>Prior accident years development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(4.7 %)</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(5.2 %)</w:t>
            </w:r>
          </w:p>
        </w:tc>
        <w:tc>
          <w:tcPr>
            <w:tcW w:w="1080" w:type="dxa"/>
            <w:vAlign w:val="bottom"/>
            <w:gridSpan w:val="2"/>
          </w:tcPr>
          <w:p>
            <w:pPr>
              <w:jc w:val="right"/>
              <w:ind w:right="1"/>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0.5 %</w:t>
            </w:r>
          </w:p>
        </w:tc>
        <w:tc>
          <w:tcPr>
            <w:tcW w:w="0" w:type="dxa"/>
            <w:vAlign w:val="bottom"/>
          </w:tcPr>
          <w:p>
            <w:pPr>
              <w:spacing w:after="0"/>
              <w:rPr>
                <w:sz w:val="1"/>
                <w:szCs w:val="1"/>
                <w:color w:val="auto"/>
              </w:rPr>
            </w:pPr>
          </w:p>
        </w:tc>
      </w:tr>
      <w:tr>
        <w:trPr>
          <w:trHeight w:val="217"/>
        </w:trPr>
        <w:tc>
          <w:tcPr>
            <w:tcW w:w="3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Current year COVID-19 related losses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 %</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 %</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r>
        <w:trPr>
          <w:trHeight w:val="162"/>
        </w:trPr>
        <w:tc>
          <w:tcPr>
            <w:tcW w:w="3620" w:type="dxa"/>
            <w:vAlign w:val="bottom"/>
          </w:tcPr>
          <w:p>
            <w:pPr>
              <w:ind w:left="260"/>
              <w:spacing w:after="0" w:line="162" w:lineRule="exact"/>
              <w:rPr>
                <w:sz w:val="20"/>
                <w:szCs w:val="20"/>
                <w:color w:val="auto"/>
              </w:rPr>
            </w:pPr>
            <w:r>
              <w:rPr>
                <w:rFonts w:ascii="Arial" w:cs="Arial" w:eastAsia="Arial" w:hAnsi="Arial"/>
                <w:sz w:val="16"/>
                <w:szCs w:val="16"/>
                <w:color w:val="auto"/>
              </w:rPr>
              <w:t>Current year catastrophe losses including the</w:t>
            </w:r>
          </w:p>
        </w:tc>
        <w:tc>
          <w:tcPr>
            <w:tcW w:w="16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88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2.5 %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1.7 %</w:t>
            </w:r>
          </w:p>
        </w:tc>
        <w:tc>
          <w:tcPr>
            <w:tcW w:w="1080" w:type="dxa"/>
            <w:vAlign w:val="bottom"/>
            <w:gridSpan w:val="2"/>
            <w:vMerge w:val="restart"/>
          </w:tcPr>
          <w:p>
            <w:pPr>
              <w:jc w:val="right"/>
              <w:ind w:right="1"/>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215"/>
        </w:trPr>
        <w:tc>
          <w:tcPr>
            <w:tcW w:w="36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impact of net reinstatement premiums</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CCEEFF"/>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6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Specialty losses and LAE and ratio</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3,625</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3,153</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59.6 %</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58.4 %</w:t>
            </w:r>
          </w:p>
        </w:tc>
        <w:tc>
          <w:tcPr>
            <w:tcW w:w="10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6"/>
                <w:szCs w:val="16"/>
                <w:color w:val="auto"/>
              </w:rPr>
              <w:t>1.9 %</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Aggregate — including exited lines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620" w:type="dxa"/>
            <w:vAlign w:val="bottom"/>
          </w:tcPr>
          <w:p>
            <w:pPr>
              <w:ind w:left="260"/>
              <w:spacing w:after="0" w:line="162" w:lineRule="exact"/>
              <w:rPr>
                <w:sz w:val="20"/>
                <w:szCs w:val="20"/>
                <w:color w:val="auto"/>
              </w:rPr>
            </w:pPr>
            <w:r>
              <w:rPr>
                <w:rFonts w:ascii="Arial" w:cs="Arial" w:eastAsia="Arial" w:hAnsi="Arial"/>
                <w:sz w:val="16"/>
                <w:szCs w:val="16"/>
                <w:color w:val="auto"/>
              </w:rPr>
              <w:t>Current year, excluding COVID-19 related and</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4,079</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3,826</w:t>
            </w:r>
          </w:p>
        </w:tc>
        <w:tc>
          <w:tcPr>
            <w:tcW w:w="8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3,334</w:t>
            </w:r>
          </w:p>
        </w:tc>
        <w:tc>
          <w:tcPr>
            <w:tcW w:w="1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62.4 %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62.8 %</w:t>
            </w:r>
          </w:p>
        </w:tc>
        <w:tc>
          <w:tcPr>
            <w:tcW w:w="1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61.6 %</w:t>
            </w:r>
          </w:p>
        </w:tc>
        <w:tc>
          <w:tcPr>
            <w:tcW w:w="1080" w:type="dxa"/>
            <w:vAlign w:val="bottom"/>
            <w:gridSpan w:val="2"/>
            <w:vMerge w:val="restart"/>
          </w:tcPr>
          <w:p>
            <w:pPr>
              <w:jc w:val="right"/>
              <w:spacing w:after="0"/>
              <w:rPr>
                <w:sz w:val="20"/>
                <w:szCs w:val="20"/>
                <w:color w:val="auto"/>
              </w:rPr>
            </w:pPr>
            <w:r>
              <w:rPr>
                <w:rFonts w:ascii="Arial" w:cs="Arial" w:eastAsia="Arial" w:hAnsi="Arial"/>
                <w:sz w:val="16"/>
                <w:szCs w:val="16"/>
                <w:color w:val="auto"/>
              </w:rPr>
              <w:t>(0.4 %)</w:t>
            </w: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15"/>
        </w:trPr>
        <w:tc>
          <w:tcPr>
            <w:tcW w:w="3620" w:type="dxa"/>
            <w:vAlign w:val="bottom"/>
          </w:tcPr>
          <w:p>
            <w:pPr>
              <w:ind w:left="440"/>
              <w:spacing w:after="0"/>
              <w:rPr>
                <w:sz w:val="20"/>
                <w:szCs w:val="20"/>
                <w:color w:val="auto"/>
              </w:rPr>
            </w:pPr>
            <w:r>
              <w:rPr>
                <w:rFonts w:ascii="Arial" w:cs="Arial" w:eastAsia="Arial" w:hAnsi="Arial"/>
                <w:sz w:val="16"/>
                <w:szCs w:val="16"/>
                <w:color w:val="auto"/>
              </w:rPr>
              <w:t>catastrophe losses</w:t>
            </w:r>
          </w:p>
        </w:tc>
        <w:tc>
          <w:tcPr>
            <w:tcW w:w="16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(4.7 %)</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(5.2 %)</w:t>
            </w:r>
          </w:p>
        </w:tc>
        <w:tc>
          <w:tcPr>
            <w:tcW w:w="108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1.3 %</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0" w:type="dxa"/>
            <w:vAlign w:val="bottom"/>
          </w:tcPr>
          <w:p>
            <w:pPr>
              <w:spacing w:after="0"/>
              <w:rPr>
                <w:sz w:val="1"/>
                <w:szCs w:val="1"/>
                <w:color w:val="auto"/>
              </w:rPr>
            </w:pPr>
          </w:p>
        </w:tc>
      </w:tr>
      <w:tr>
        <w:trPr>
          <w:trHeight w:val="215"/>
        </w:trPr>
        <w:tc>
          <w:tcPr>
            <w:tcW w:w="3620" w:type="dxa"/>
            <w:vAlign w:val="bottom"/>
          </w:tcPr>
          <w:p>
            <w:pPr>
              <w:ind w:left="260"/>
              <w:spacing w:after="0"/>
              <w:rPr>
                <w:sz w:val="20"/>
                <w:szCs w:val="20"/>
                <w:color w:val="auto"/>
              </w:rPr>
            </w:pPr>
            <w:r>
              <w:rPr>
                <w:rFonts w:ascii="Arial" w:cs="Arial" w:eastAsia="Arial" w:hAnsi="Arial"/>
                <w:sz w:val="16"/>
                <w:szCs w:val="16"/>
                <w:color w:val="auto"/>
              </w:rPr>
              <w:t>Current year COVID-19 related losses</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6"/>
                <w:szCs w:val="16"/>
                <w:color w:val="auto"/>
              </w:rPr>
              <w:t>— %</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 %</w:t>
            </w:r>
          </w:p>
        </w:tc>
        <w:tc>
          <w:tcPr>
            <w:tcW w:w="900" w:type="dxa"/>
            <w:vAlign w:val="bottom"/>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Pr>
          <w:p>
            <w:pPr>
              <w:spacing w:after="0"/>
              <w:rPr>
                <w:sz w:val="18"/>
                <w:szCs w:val="18"/>
                <w:color w:val="auto"/>
              </w:rPr>
            </w:pPr>
          </w:p>
        </w:tc>
        <w:tc>
          <w:tcPr>
            <w:tcW w:w="1080" w:type="dxa"/>
            <w:vAlign w:val="bottom"/>
            <w:gridSpan w:val="2"/>
          </w:tcPr>
          <w:p>
            <w:pPr>
              <w:ind w:left="560"/>
              <w:spacing w:after="0"/>
              <w:rPr>
                <w:sz w:val="20"/>
                <w:szCs w:val="20"/>
                <w:color w:val="auto"/>
              </w:rPr>
            </w:pPr>
            <w:r>
              <w:rPr>
                <w:rFonts w:ascii="Arial" w:cs="Arial" w:eastAsia="Arial" w:hAnsi="Arial"/>
                <w:sz w:val="16"/>
                <w:szCs w:val="16"/>
                <w:color w:val="auto"/>
              </w:rPr>
              <w:t>— %</w:t>
            </w:r>
          </w:p>
        </w:tc>
        <w:tc>
          <w:tcPr>
            <w:tcW w:w="980" w:type="dxa"/>
            <w:vAlign w:val="bottom"/>
          </w:tcPr>
          <w:p>
            <w:pPr>
              <w:jc w:val="right"/>
              <w:spacing w:after="0"/>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r>
        <w:trPr>
          <w:trHeight w:val="163"/>
        </w:trPr>
        <w:tc>
          <w:tcPr>
            <w:tcW w:w="3620" w:type="dxa"/>
            <w:vAlign w:val="bottom"/>
            <w:shd w:val="clear" w:color="auto" w:fill="CCEEFF"/>
          </w:tcPr>
          <w:p>
            <w:pPr>
              <w:ind w:left="260"/>
              <w:spacing w:after="0" w:line="163" w:lineRule="exact"/>
              <w:rPr>
                <w:sz w:val="20"/>
                <w:szCs w:val="20"/>
                <w:color w:val="auto"/>
              </w:rPr>
            </w:pPr>
            <w:r>
              <w:rPr>
                <w:rFonts w:ascii="Arial" w:cs="Arial" w:eastAsia="Arial" w:hAnsi="Arial"/>
                <w:sz w:val="16"/>
                <w:szCs w:val="16"/>
                <w:color w:val="auto"/>
              </w:rPr>
              <w:t>Current year catastrophe losses including the</w:t>
            </w:r>
          </w:p>
        </w:tc>
        <w:tc>
          <w:tcPr>
            <w:tcW w:w="16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1080" w:type="dxa"/>
            <w:vAlign w:val="bottom"/>
            <w:gridSpan w:val="2"/>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1.0 %</w:t>
            </w: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215"/>
        </w:trPr>
        <w:tc>
          <w:tcPr>
            <w:tcW w:w="36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impact of net reinstatement premiums</w:t>
            </w: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tcPr>
          <w:p>
            <w:pPr>
              <w:ind w:left="440"/>
              <w:spacing w:after="0"/>
              <w:rPr>
                <w:sz w:val="20"/>
                <w:szCs w:val="20"/>
                <w:color w:val="auto"/>
              </w:rPr>
            </w:pPr>
            <w:r>
              <w:rPr>
                <w:rFonts w:ascii="Arial" w:cs="Arial" w:eastAsia="Arial" w:hAnsi="Arial"/>
                <w:sz w:val="16"/>
                <w:szCs w:val="16"/>
                <w:color w:val="auto"/>
              </w:rPr>
              <w:t>Aggregate losses and LAE and ratio</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3,629</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3,157</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61.6 %</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59.7 %</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58.5 %</w:t>
            </w:r>
          </w:p>
        </w:tc>
        <w:tc>
          <w:tcPr>
            <w:tcW w:w="1080" w:type="dxa"/>
            <w:vAlign w:val="bottom"/>
            <w:gridSpan w:val="2"/>
          </w:tcPr>
          <w:p>
            <w:pPr>
              <w:jc w:val="right"/>
              <w:ind w:right="1"/>
              <w:spacing w:after="0"/>
              <w:rPr>
                <w:sz w:val="20"/>
                <w:szCs w:val="20"/>
                <w:color w:val="auto"/>
              </w:rPr>
            </w:pPr>
            <w:r>
              <w:rPr>
                <w:rFonts w:ascii="Arial" w:cs="Arial" w:eastAsia="Arial" w:hAnsi="Arial"/>
                <w:sz w:val="16"/>
                <w:szCs w:val="16"/>
                <w:color w:val="auto"/>
              </w:rPr>
              <w:t>1.9 %</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1"/>
        </w:trPr>
        <w:tc>
          <w:tcPr>
            <w:tcW w:w="3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7"/>
          <w:szCs w:val="17"/>
          <w:i w:val="1"/>
          <w:iCs w:val="1"/>
          <w:color w:val="00274E"/>
        </w:rPr>
        <w:t>Current accident year losses and LAE, excluding COVID-19 related and catastrophe losses</w:t>
      </w:r>
    </w:p>
    <w:p>
      <w:pPr>
        <w:spacing w:after="0" w:line="21" w:lineRule="exact"/>
        <w:rPr>
          <w:sz w:val="20"/>
          <w:szCs w:val="20"/>
          <w:color w:val="auto"/>
        </w:rPr>
      </w:pPr>
    </w:p>
    <w:p>
      <w:pPr>
        <w:ind w:right="640"/>
        <w:spacing w:after="0" w:line="281" w:lineRule="auto"/>
        <w:rPr>
          <w:sz w:val="20"/>
          <w:szCs w:val="20"/>
          <w:color w:val="auto"/>
        </w:rPr>
      </w:pPr>
      <w:r>
        <w:rPr>
          <w:rFonts w:ascii="Arial" w:cs="Arial" w:eastAsia="Arial" w:hAnsi="Arial"/>
          <w:sz w:val="17"/>
          <w:szCs w:val="17"/>
          <w:color w:val="auto"/>
        </w:rPr>
        <w:t>The current accident year loss and LAE ratio, excluding COVID-19 related and catastrophe losses for AFG’s Specialty property and casualty insurance operations was 62.4% in 2023, 62.8% in 2022 and 61.6% in 2021.</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20"/>
        <w:spacing w:after="0" w:line="247" w:lineRule="auto"/>
        <w:rPr>
          <w:sz w:val="20"/>
          <w:szCs w:val="20"/>
          <w:color w:val="auto"/>
        </w:rPr>
      </w:pPr>
      <w:r>
        <w:rPr>
          <w:rFonts w:ascii="Arial" w:cs="Arial" w:eastAsia="Arial" w:hAnsi="Arial"/>
          <w:sz w:val="20"/>
          <w:szCs w:val="20"/>
          <w:b w:val="1"/>
          <w:bCs w:val="1"/>
          <w:i w:val="1"/>
          <w:iCs w:val="1"/>
          <w:color w:val="00274E"/>
        </w:rPr>
        <w:t xml:space="preserve">Property and transportation </w:t>
      </w:r>
      <w:r>
        <w:rPr>
          <w:rFonts w:ascii="Arial" w:cs="Arial" w:eastAsia="Arial" w:hAnsi="Arial"/>
          <w:sz w:val="17"/>
          <w:szCs w:val="17"/>
          <w:color w:val="000000"/>
        </w:rPr>
        <w:t>The 1.1 percentage points decrease in the loss and LAE ratio for the current year, excluding COVID-19 related</w:t>
      </w:r>
      <w:r>
        <w:rPr>
          <w:rFonts w:ascii="Arial" w:cs="Arial" w:eastAsia="Arial" w:hAnsi="Arial"/>
          <w:sz w:val="20"/>
          <w:szCs w:val="20"/>
          <w:b w:val="1"/>
          <w:bCs w:val="1"/>
          <w:i w:val="1"/>
          <w:iCs w:val="1"/>
          <w:color w:val="00274E"/>
        </w:rPr>
        <w:t xml:space="preserve"> </w:t>
      </w:r>
      <w:r>
        <w:rPr>
          <w:rFonts w:ascii="Arial" w:cs="Arial" w:eastAsia="Arial" w:hAnsi="Arial"/>
          <w:sz w:val="17"/>
          <w:szCs w:val="17"/>
          <w:color w:val="000000"/>
        </w:rPr>
        <w:t>and catastrophe losses in 2023 compared to 2022 is due primarily to the impact of elevated large loss activity in the property and inland marine business in 2022 and improved results in certain transportation businesses, partially offset by lower profit in the crop business.</w:t>
      </w:r>
    </w:p>
    <w:p>
      <w:pPr>
        <w:spacing w:after="0" w:line="216" w:lineRule="exact"/>
        <w:rPr>
          <w:sz w:val="20"/>
          <w:szCs w:val="20"/>
          <w:color w:val="auto"/>
        </w:rPr>
      </w:pPr>
    </w:p>
    <w:p>
      <w:pPr>
        <w:ind w:right="520"/>
        <w:spacing w:after="0" w:line="266" w:lineRule="auto"/>
        <w:rPr>
          <w:sz w:val="20"/>
          <w:szCs w:val="20"/>
          <w:color w:val="auto"/>
        </w:rPr>
      </w:pPr>
      <w:r>
        <w:rPr>
          <w:rFonts w:ascii="Arial" w:cs="Arial" w:eastAsia="Arial" w:hAnsi="Arial"/>
          <w:sz w:val="17"/>
          <w:szCs w:val="17"/>
          <w:color w:val="auto"/>
        </w:rPr>
        <w:t>The 4.4 percentage points increase in the loss and LAE ratio for the current year, excluding COVID-19 related and catastrophe losses in 2022 compared to 2021 is due primarily to lower profitability in the crop insurance business compared to the very strong results recorded in 2021. Excluding crop, the loss and LAE ratio for the current year, excluding catastrophe losses was comparable in 2022 and 2021.</w:t>
      </w:r>
    </w:p>
    <w:p>
      <w:pPr>
        <w:spacing w:after="0" w:line="215" w:lineRule="exact"/>
        <w:rPr>
          <w:sz w:val="20"/>
          <w:szCs w:val="20"/>
          <w:color w:val="auto"/>
        </w:rPr>
      </w:pPr>
    </w:p>
    <w:p>
      <w:pPr>
        <w:jc w:val="both"/>
        <w:ind w:right="740"/>
        <w:spacing w:after="0"/>
        <w:rPr>
          <w:sz w:val="20"/>
          <w:szCs w:val="20"/>
          <w:color w:val="auto"/>
        </w:rPr>
      </w:pPr>
      <w:r>
        <w:rPr>
          <w:rFonts w:ascii="Arial" w:cs="Arial" w:eastAsia="Arial" w:hAnsi="Arial"/>
          <w:sz w:val="20"/>
          <w:szCs w:val="20"/>
          <w:b w:val="1"/>
          <w:bCs w:val="1"/>
          <w:i w:val="1"/>
          <w:iCs w:val="1"/>
          <w:color w:val="00274E"/>
        </w:rPr>
        <w:t xml:space="preserve">Specialty casualty </w:t>
      </w:r>
      <w:r>
        <w:rPr>
          <w:rFonts w:ascii="Arial" w:cs="Arial" w:eastAsia="Arial" w:hAnsi="Arial"/>
          <w:sz w:val="17"/>
          <w:szCs w:val="17"/>
          <w:color w:val="000000"/>
        </w:rPr>
        <w:t>The 1.5 percentage points increase in the loss and LAE ratio for the current year, excluding COVID-19 related and</w:t>
      </w:r>
      <w:r>
        <w:rPr>
          <w:rFonts w:ascii="Arial" w:cs="Arial" w:eastAsia="Arial" w:hAnsi="Arial"/>
          <w:sz w:val="20"/>
          <w:szCs w:val="20"/>
          <w:b w:val="1"/>
          <w:bCs w:val="1"/>
          <w:i w:val="1"/>
          <w:iCs w:val="1"/>
          <w:color w:val="00274E"/>
        </w:rPr>
        <w:t xml:space="preserve"> </w:t>
      </w:r>
      <w:r>
        <w:rPr>
          <w:rFonts w:ascii="Arial" w:cs="Arial" w:eastAsia="Arial" w:hAnsi="Arial"/>
          <w:sz w:val="17"/>
          <w:szCs w:val="17"/>
          <w:color w:val="000000"/>
        </w:rPr>
        <w:t>catastrophe losses in 2023 compared to 2022 reflects anticipated medical cost inflation and the impact of pressure on rates in the workers’ compensation businesses and higher claim severity in certain liability coverages.</w:t>
      </w:r>
    </w:p>
    <w:p>
      <w:pPr>
        <w:spacing w:after="0" w:line="235"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1.7 percentage points decrease in the loss and LAE ratio for the current year, excluding COVID-19 related and catastrophe losses in 2022 compared to 2021 reflects favorable trends in workers’ compensation and the impact of higher rates in the executive liability, excess and surplus and excess liability businesses.</w:t>
      </w:r>
    </w:p>
    <w:p>
      <w:pPr>
        <w:spacing w:after="0" w:line="201"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b w:val="1"/>
          <w:bCs w:val="1"/>
          <w:i w:val="1"/>
          <w:iCs w:val="1"/>
          <w:color w:val="00274E"/>
        </w:rPr>
        <w:t xml:space="preserve">Specialty financial </w:t>
      </w:r>
      <w:r>
        <w:rPr>
          <w:rFonts w:ascii="Arial" w:cs="Arial" w:eastAsia="Arial" w:hAnsi="Arial"/>
          <w:sz w:val="17"/>
          <w:szCs w:val="17"/>
          <w:color w:val="000000"/>
        </w:rPr>
        <w:t>The 0.2 percentage points decrease in the loss and LAE ratio for the current year, excluding COVID-19 related and</w:t>
      </w:r>
      <w:r>
        <w:rPr>
          <w:rFonts w:ascii="Arial" w:cs="Arial" w:eastAsia="Arial" w:hAnsi="Arial"/>
          <w:sz w:val="20"/>
          <w:szCs w:val="20"/>
          <w:b w:val="1"/>
          <w:bCs w:val="1"/>
          <w:i w:val="1"/>
          <w:iCs w:val="1"/>
          <w:color w:val="00274E"/>
        </w:rPr>
        <w:t xml:space="preserve"> </w:t>
      </w:r>
      <w:r>
        <w:rPr>
          <w:rFonts w:ascii="Arial" w:cs="Arial" w:eastAsia="Arial" w:hAnsi="Arial"/>
          <w:sz w:val="17"/>
          <w:szCs w:val="17"/>
          <w:color w:val="000000"/>
        </w:rPr>
        <w:t>catastrophe losses in 2023 compared to 2022 reflects lower claim frequency and growth in the financial institutions business, which has a lower loss and LAE ratio than some of the other businesses in the Specialty financial sub-segment, partially offset by higher claim severity in the innovative markets business.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The loss and LAE ratio for the current year, excluding COVID-19 related and catastrophe losses in 2022 is unchanged compared to the 2021 period.</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i w:val="1"/>
          <w:iCs w:val="1"/>
          <w:color w:val="00274E"/>
        </w:rPr>
        <w:t>Net prior year reserve development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AFG’s Specialty property and casualty insurance operations recorded net favorable reserve development related to prior accident years of</w:t>
      </w:r>
    </w:p>
    <w:p>
      <w:pPr>
        <w:spacing w:after="0" w:line="14"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$226 million in 2023 compared to $289 million in 2022 and $283 million in 2021, a decrease of $63 million (22%) and an increase of $6 million (2%), respectively.</w:t>
      </w:r>
    </w:p>
    <w:p>
      <w:pPr>
        <w:spacing w:after="0" w:line="203" w:lineRule="exact"/>
        <w:rPr>
          <w:sz w:val="20"/>
          <w:szCs w:val="20"/>
          <w:color w:val="auto"/>
        </w:rPr>
      </w:pPr>
    </w:p>
    <w:p>
      <w:pPr>
        <w:ind w:right="120"/>
        <w:spacing w:after="0" w:line="247" w:lineRule="auto"/>
        <w:rPr>
          <w:sz w:val="20"/>
          <w:szCs w:val="20"/>
          <w:color w:val="auto"/>
        </w:rPr>
      </w:pPr>
      <w:r>
        <w:rPr>
          <w:rFonts w:ascii="Arial" w:cs="Arial" w:eastAsia="Arial" w:hAnsi="Arial"/>
          <w:sz w:val="20"/>
          <w:szCs w:val="20"/>
          <w:b w:val="1"/>
          <w:bCs w:val="1"/>
          <w:i w:val="1"/>
          <w:iCs w:val="1"/>
          <w:color w:val="00274E"/>
        </w:rPr>
        <w:t xml:space="preserve">Property and transportation </w:t>
      </w:r>
      <w:r>
        <w:rPr>
          <w:rFonts w:ascii="Arial" w:cs="Arial" w:eastAsia="Arial" w:hAnsi="Arial"/>
          <w:sz w:val="17"/>
          <w:szCs w:val="17"/>
          <w:color w:val="000000"/>
        </w:rPr>
        <w:t>Net favorable reserve development of $84 million in 2023 reflects lower than anticipated losses in the crop</w:t>
      </w:r>
      <w:r>
        <w:rPr>
          <w:rFonts w:ascii="Arial" w:cs="Arial" w:eastAsia="Arial" w:hAnsi="Arial"/>
          <w:sz w:val="20"/>
          <w:szCs w:val="20"/>
          <w:b w:val="1"/>
          <w:bCs w:val="1"/>
          <w:i w:val="1"/>
          <w:iCs w:val="1"/>
          <w:color w:val="00274E"/>
        </w:rPr>
        <w:t xml:space="preserve"> </w:t>
      </w:r>
      <w:r>
        <w:rPr>
          <w:rFonts w:ascii="Arial" w:cs="Arial" w:eastAsia="Arial" w:hAnsi="Arial"/>
          <w:sz w:val="17"/>
          <w:szCs w:val="17"/>
          <w:color w:val="000000"/>
        </w:rPr>
        <w:t>business, lower than expected claim frequency and severity across the transportation businesses and lower than anticipated claim frequency in the property and inland marine and ocean marine businesses and in the Singapore operations.</w:t>
      </w:r>
    </w:p>
    <w:p>
      <w:pPr>
        <w:spacing w:after="0" w:line="216"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color w:val="auto"/>
        </w:rPr>
        <w:t>Net favorable reserve development of $92 million in 2022 reflects lower than anticipated losses in the crop business, lower than expected claim frequency in the trucking and ocean marine businesses and in the Singapore operations, lower than expected claim frequency and severity in the aviation business and lower than anticipated claim severity in the property and inland marine business.</w:t>
      </w:r>
    </w:p>
    <w:p>
      <w:pPr>
        <w:spacing w:after="0" w:line="195" w:lineRule="exact"/>
        <w:rPr>
          <w:sz w:val="20"/>
          <w:szCs w:val="20"/>
          <w:color w:val="auto"/>
        </w:rPr>
      </w:pPr>
    </w:p>
    <w:p>
      <w:pPr>
        <w:ind w:right="480"/>
        <w:spacing w:after="0" w:line="266" w:lineRule="auto"/>
        <w:rPr>
          <w:sz w:val="20"/>
          <w:szCs w:val="20"/>
          <w:color w:val="auto"/>
        </w:rPr>
      </w:pPr>
      <w:r>
        <w:rPr>
          <w:rFonts w:ascii="Arial" w:cs="Arial" w:eastAsia="Arial" w:hAnsi="Arial"/>
          <w:sz w:val="17"/>
          <w:szCs w:val="17"/>
          <w:color w:val="auto"/>
        </w:rPr>
        <w:t>Net favorable reserve development of $103 million in 2021 reflects lower than anticipated claim frequency and severity in the transportation businesses, lower than expected losses in the crop business, lower than expected claim severity in the ocean marine business and lower than expected claim frequency in the aviation business.</w:t>
      </w:r>
    </w:p>
    <w:p>
      <w:pPr>
        <w:spacing w:after="0" w:line="201" w:lineRule="exact"/>
        <w:rPr>
          <w:sz w:val="20"/>
          <w:szCs w:val="20"/>
          <w:color w:val="auto"/>
        </w:rPr>
      </w:pPr>
    </w:p>
    <w:p>
      <w:pPr>
        <w:ind w:right="360"/>
        <w:spacing w:after="0" w:line="247" w:lineRule="auto"/>
        <w:rPr>
          <w:sz w:val="20"/>
          <w:szCs w:val="20"/>
          <w:color w:val="auto"/>
        </w:rPr>
      </w:pPr>
      <w:r>
        <w:rPr>
          <w:rFonts w:ascii="Arial" w:cs="Arial" w:eastAsia="Arial" w:hAnsi="Arial"/>
          <w:sz w:val="20"/>
          <w:szCs w:val="20"/>
          <w:b w:val="1"/>
          <w:bCs w:val="1"/>
          <w:i w:val="1"/>
          <w:iCs w:val="1"/>
          <w:color w:val="00274E"/>
        </w:rPr>
        <w:t xml:space="preserve">Specialty casualty </w:t>
      </w:r>
      <w:r>
        <w:rPr>
          <w:rFonts w:ascii="Arial" w:cs="Arial" w:eastAsia="Arial" w:hAnsi="Arial"/>
          <w:sz w:val="17"/>
          <w:szCs w:val="17"/>
          <w:color w:val="000000"/>
        </w:rPr>
        <w:t>Net favorable reserve development of $110 million in 2023 reflects lower than anticipated claim severity in the workers’</w:t>
      </w:r>
      <w:r>
        <w:rPr>
          <w:rFonts w:ascii="Arial" w:cs="Arial" w:eastAsia="Arial" w:hAnsi="Arial"/>
          <w:sz w:val="20"/>
          <w:szCs w:val="20"/>
          <w:b w:val="1"/>
          <w:bCs w:val="1"/>
          <w:i w:val="1"/>
          <w:iCs w:val="1"/>
          <w:color w:val="00274E"/>
        </w:rPr>
        <w:t xml:space="preserve"> </w:t>
      </w:r>
      <w:r>
        <w:rPr>
          <w:rFonts w:ascii="Arial" w:cs="Arial" w:eastAsia="Arial" w:hAnsi="Arial"/>
          <w:sz w:val="17"/>
          <w:szCs w:val="17"/>
          <w:color w:val="000000"/>
        </w:rPr>
        <w:t>compensation businesses, lower than expected claim frequency in the executive liability and environmental businesses and favorable reserve development related to COVID-19 losses across several businesses, partially offset by higher than anticipated claim severity in the public sector business and higher than expected claim frequency and severity in the excess liability and general liability businesses.</w:t>
      </w:r>
    </w:p>
    <w:p>
      <w:pPr>
        <w:spacing w:after="0" w:line="217" w:lineRule="exact"/>
        <w:rPr>
          <w:sz w:val="20"/>
          <w:szCs w:val="20"/>
          <w:color w:val="auto"/>
        </w:rPr>
      </w:pPr>
    </w:p>
    <w:p>
      <w:pPr>
        <w:ind w:right="240"/>
        <w:spacing w:after="0" w:line="274" w:lineRule="auto"/>
        <w:rPr>
          <w:sz w:val="20"/>
          <w:szCs w:val="20"/>
          <w:color w:val="auto"/>
        </w:rPr>
      </w:pPr>
      <w:r>
        <w:rPr>
          <w:rFonts w:ascii="Arial" w:cs="Arial" w:eastAsia="Arial" w:hAnsi="Arial"/>
          <w:sz w:val="17"/>
          <w:szCs w:val="17"/>
          <w:color w:val="auto"/>
        </w:rPr>
        <w:t>Net favorable reserve development of $190 million in 2022 reflects lower than anticipated claim severity in the workers’ compensation businesses and lower than expected claim frequency in the executive liability and excess and surplus businesses, partially offset by higher than anticipated claim severity in the general liability, umbrella and excess liability, and certain targeted markets businesses.</w:t>
      </w:r>
    </w:p>
    <w:p>
      <w:pPr>
        <w:spacing w:after="0" w:line="195" w:lineRule="exact"/>
        <w:rPr>
          <w:sz w:val="20"/>
          <w:szCs w:val="20"/>
          <w:color w:val="auto"/>
        </w:rPr>
      </w:pPr>
    </w:p>
    <w:p>
      <w:pPr>
        <w:ind w:right="200"/>
        <w:spacing w:after="0" w:line="284" w:lineRule="auto"/>
        <w:rPr>
          <w:sz w:val="20"/>
          <w:szCs w:val="20"/>
          <w:color w:val="auto"/>
        </w:rPr>
      </w:pPr>
      <w:r>
        <w:rPr>
          <w:rFonts w:ascii="Arial" w:cs="Arial" w:eastAsia="Arial" w:hAnsi="Arial"/>
          <w:sz w:val="17"/>
          <w:szCs w:val="17"/>
          <w:color w:val="auto"/>
        </w:rPr>
        <w:t>Net favorable reserve development of $140 million in 2021 reflects lower than anticipated claim severity in the workers’ compensation businesses, partially offset by higher than anticipated claim severity in the general liability and targeted markets businesses.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75" w:name="page76"/>
    <w:bookmarkEnd w:id="7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40"/>
        <w:spacing w:after="0" w:line="247" w:lineRule="auto"/>
        <w:rPr>
          <w:sz w:val="20"/>
          <w:szCs w:val="20"/>
          <w:color w:val="auto"/>
        </w:rPr>
      </w:pPr>
      <w:r>
        <w:rPr>
          <w:rFonts w:ascii="Arial" w:cs="Arial" w:eastAsia="Arial" w:hAnsi="Arial"/>
          <w:sz w:val="20"/>
          <w:szCs w:val="20"/>
          <w:b w:val="1"/>
          <w:bCs w:val="1"/>
          <w:i w:val="1"/>
          <w:iCs w:val="1"/>
          <w:color w:val="00274E"/>
        </w:rPr>
        <w:t xml:space="preserve">Specialty financial </w:t>
      </w:r>
      <w:r>
        <w:rPr>
          <w:rFonts w:ascii="Arial" w:cs="Arial" w:eastAsia="Arial" w:hAnsi="Arial"/>
          <w:sz w:val="17"/>
          <w:szCs w:val="17"/>
          <w:color w:val="000000"/>
        </w:rPr>
        <w:t>Net favorable reserve development of $32 million in 2023 reflects lower than anticipated claim frequency in the trade credit,</w:t>
      </w:r>
      <w:r>
        <w:rPr>
          <w:rFonts w:ascii="Arial" w:cs="Arial" w:eastAsia="Arial" w:hAnsi="Arial"/>
          <w:sz w:val="20"/>
          <w:szCs w:val="20"/>
          <w:b w:val="1"/>
          <w:bCs w:val="1"/>
          <w:i w:val="1"/>
          <w:iCs w:val="1"/>
          <w:color w:val="00274E"/>
        </w:rPr>
        <w:t xml:space="preserve"> </w:t>
      </w:r>
      <w:r>
        <w:rPr>
          <w:rFonts w:ascii="Arial" w:cs="Arial" w:eastAsia="Arial" w:hAnsi="Arial"/>
          <w:sz w:val="17"/>
          <w:szCs w:val="17"/>
          <w:color w:val="000000"/>
        </w:rPr>
        <w:t>financial institutions and surety businesses and lower than expected claim frequency and severity in the fidelity business.</w:t>
      </w:r>
    </w:p>
    <w:p>
      <w:pPr>
        <w:spacing w:after="0" w:line="215" w:lineRule="exact"/>
        <w:rPr>
          <w:sz w:val="20"/>
          <w:szCs w:val="20"/>
          <w:color w:val="auto"/>
        </w:rPr>
      </w:pPr>
    </w:p>
    <w:p>
      <w:pPr>
        <w:ind w:right="420"/>
        <w:spacing w:after="0" w:line="284" w:lineRule="auto"/>
        <w:rPr>
          <w:sz w:val="20"/>
          <w:szCs w:val="20"/>
          <w:color w:val="auto"/>
        </w:rPr>
      </w:pPr>
      <w:r>
        <w:rPr>
          <w:rFonts w:ascii="Arial" w:cs="Arial" w:eastAsia="Arial" w:hAnsi="Arial"/>
          <w:sz w:val="17"/>
          <w:szCs w:val="17"/>
          <w:color w:val="auto"/>
        </w:rPr>
        <w:t>Net favorable reserve development of $47 million in 2022 reflects lower than anticipated claim frequency in the surety, trade credit and financial institutions businesses.</w:t>
      </w:r>
    </w:p>
    <w:p>
      <w:pPr>
        <w:spacing w:after="0" w:line="185" w:lineRule="exact"/>
        <w:rPr>
          <w:sz w:val="20"/>
          <w:szCs w:val="20"/>
          <w:color w:val="auto"/>
        </w:rPr>
      </w:pPr>
    </w:p>
    <w:p>
      <w:pPr>
        <w:ind w:right="220"/>
        <w:spacing w:after="0" w:line="284" w:lineRule="auto"/>
        <w:rPr>
          <w:sz w:val="20"/>
          <w:szCs w:val="20"/>
          <w:color w:val="auto"/>
        </w:rPr>
      </w:pPr>
      <w:r>
        <w:rPr>
          <w:rFonts w:ascii="Arial" w:cs="Arial" w:eastAsia="Arial" w:hAnsi="Arial"/>
          <w:sz w:val="17"/>
          <w:szCs w:val="17"/>
          <w:color w:val="auto"/>
        </w:rPr>
        <w:t>Net favorable reserve development of $51 million in 2021 reflects lower than anticipated claim frequency in the surety and trade credit businesses and lower than expected claim frequency and severity in the financial institutions business.</w:t>
      </w:r>
    </w:p>
    <w:p>
      <w:pPr>
        <w:spacing w:after="0" w:line="199" w:lineRule="exact"/>
        <w:rPr>
          <w:sz w:val="20"/>
          <w:szCs w:val="20"/>
          <w:color w:val="auto"/>
        </w:rPr>
      </w:pPr>
    </w:p>
    <w:p>
      <w:pPr>
        <w:spacing w:after="0" w:line="248" w:lineRule="auto"/>
        <w:rPr>
          <w:sz w:val="20"/>
          <w:szCs w:val="20"/>
          <w:color w:val="auto"/>
        </w:rPr>
      </w:pPr>
      <w:r>
        <w:rPr>
          <w:rFonts w:ascii="Arial" w:cs="Arial" w:eastAsia="Arial" w:hAnsi="Arial"/>
          <w:sz w:val="20"/>
          <w:szCs w:val="20"/>
          <w:b w:val="1"/>
          <w:bCs w:val="1"/>
          <w:i w:val="1"/>
          <w:iCs w:val="1"/>
          <w:color w:val="00274E"/>
        </w:rPr>
        <w:t xml:space="preserve">Other specialty </w:t>
      </w:r>
      <w:r>
        <w:rPr>
          <w:rFonts w:ascii="Arial" w:cs="Arial" w:eastAsia="Arial" w:hAnsi="Arial"/>
          <w:sz w:val="17"/>
          <w:szCs w:val="17"/>
          <w:color w:val="000000"/>
        </w:rPr>
        <w:t>In addition to the development discussed above, total Specialty prior year reserve development includes net adverse reserve</w:t>
      </w:r>
      <w:r>
        <w:rPr>
          <w:rFonts w:ascii="Arial" w:cs="Arial" w:eastAsia="Arial" w:hAnsi="Arial"/>
          <w:sz w:val="20"/>
          <w:szCs w:val="20"/>
          <w:b w:val="1"/>
          <w:bCs w:val="1"/>
          <w:i w:val="1"/>
          <w:iCs w:val="1"/>
          <w:color w:val="00274E"/>
        </w:rPr>
        <w:t xml:space="preserve"> </w:t>
      </w:r>
      <w:r>
        <w:rPr>
          <w:rFonts w:ascii="Arial" w:cs="Arial" w:eastAsia="Arial" w:hAnsi="Arial"/>
          <w:sz w:val="17"/>
          <w:szCs w:val="17"/>
          <w:color w:val="000000"/>
        </w:rPr>
        <w:t>development of less than $1 million, $40 million and $11 million in 2023, 2022, and 2021, respectively. The net adverse reserve development reflects $4 million, $44 million and $16 million in 2023, 2022 and 2021, respectively, of net adverse development associated with AFG’s internal reinsurance program. The net adverse reserve development in 2022 and 2021 relates primarily to social inflation exposed business assumed from the Specialty casualty sub-segment. This adverse reserve development is partially offset by the amortization of the deferred gains on the retroactive reinsurance transactions entered into in connection with the sale of businesses in 1998 and 2001.</w:t>
      </w:r>
    </w:p>
    <w:p>
      <w:pPr>
        <w:spacing w:after="0" w:line="215" w:lineRule="exact"/>
        <w:rPr>
          <w:sz w:val="20"/>
          <w:szCs w:val="20"/>
          <w:color w:val="auto"/>
        </w:rPr>
      </w:pPr>
    </w:p>
    <w:p>
      <w:pPr>
        <w:ind w:right="120"/>
        <w:spacing w:after="0" w:line="247" w:lineRule="auto"/>
        <w:rPr>
          <w:sz w:val="20"/>
          <w:szCs w:val="20"/>
          <w:color w:val="auto"/>
        </w:rPr>
      </w:pPr>
      <w:r>
        <w:rPr>
          <w:rFonts w:ascii="Arial" w:cs="Arial" w:eastAsia="Arial" w:hAnsi="Arial"/>
          <w:sz w:val="20"/>
          <w:szCs w:val="20"/>
          <w:b w:val="1"/>
          <w:bCs w:val="1"/>
          <w:i w:val="1"/>
          <w:iCs w:val="1"/>
          <w:color w:val="00274E"/>
        </w:rPr>
        <w:t xml:space="preserve">Aggregate </w:t>
      </w:r>
      <w:r>
        <w:rPr>
          <w:rFonts w:ascii="Arial" w:cs="Arial" w:eastAsia="Arial" w:hAnsi="Arial"/>
          <w:sz w:val="17"/>
          <w:szCs w:val="17"/>
          <w:color w:val="000000"/>
        </w:rPr>
        <w:t>Aggregate net prior accident years reserve development for AFG’s property and casualty insurance segment includes net adverse</w:t>
      </w:r>
      <w:r>
        <w:rPr>
          <w:rFonts w:ascii="Arial" w:cs="Arial" w:eastAsia="Arial" w:hAnsi="Arial"/>
          <w:sz w:val="20"/>
          <w:szCs w:val="20"/>
          <w:b w:val="1"/>
          <w:bCs w:val="1"/>
          <w:i w:val="1"/>
          <w:iCs w:val="1"/>
          <w:color w:val="00274E"/>
        </w:rPr>
        <w:t xml:space="preserve"> </w:t>
      </w:r>
      <w:r>
        <w:rPr>
          <w:rFonts w:ascii="Arial" w:cs="Arial" w:eastAsia="Arial" w:hAnsi="Arial"/>
          <w:sz w:val="17"/>
          <w:szCs w:val="17"/>
          <w:color w:val="000000"/>
        </w:rPr>
        <w:t>reserve development of $2 million in 2023 and $4 million in both 2022 and 2021 related to business outside the Specialty group that AFG no longer writes.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00274E"/>
        </w:rPr>
        <w:t>Covid-19 related losses</w:t>
      </w:r>
    </w:p>
    <w:p>
      <w:pPr>
        <w:spacing w:after="0" w:line="21" w:lineRule="exact"/>
        <w:rPr>
          <w:sz w:val="20"/>
          <w:szCs w:val="20"/>
          <w:color w:val="auto"/>
        </w:rPr>
      </w:pPr>
    </w:p>
    <w:p>
      <w:pPr>
        <w:ind w:right="180"/>
        <w:spacing w:after="0" w:line="255" w:lineRule="auto"/>
        <w:rPr>
          <w:sz w:val="20"/>
          <w:szCs w:val="20"/>
          <w:color w:val="auto"/>
        </w:rPr>
      </w:pPr>
      <w:r>
        <w:rPr>
          <w:rFonts w:ascii="Arial" w:cs="Arial" w:eastAsia="Arial" w:hAnsi="Arial"/>
          <w:sz w:val="17"/>
          <w:szCs w:val="17"/>
          <w:color w:val="auto"/>
        </w:rPr>
        <w:t>AFG’s Specialty property and casualty insurance operations released prior accident year COVID-19 reserves of $20 million in 2023 based on improved loss experience across several businesses. In 2022, AFG’s Specialty property and casualty insurance operations released $19 million of prior accident year COVID-19 reserves based on improved loss experience in the trade credit and workers’ compensation businesses. In 2021, AFG’s Specialty property and casualty insurance operations recorded $16 million in reserve charges related to COVID-19 primarily related to the workers’ compensation and trade credit businesses, and recorded favorable development of approximately $19 million of accident year 2020 reserves primarily based on loss experience in the trade credit and executive liability businesses. Given the uncertainties surrounding the ultimate number and scope of claims relating to the pandemic, approximately 28% of the $55 million in cumulative COVID-19 related losses are held as incurred but not reported reserves at December 31, 2023.</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i w:val="1"/>
          <w:iCs w:val="1"/>
          <w:color w:val="00274E"/>
        </w:rPr>
        <w:t>Catastrophe losses</w:t>
      </w:r>
    </w:p>
    <w:p>
      <w:pPr>
        <w:spacing w:after="0" w:line="21"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AFG generally seeks to reduce its exposure to catastrophes (whether resulting from climate change or otherwise) through individual risk selection, including minimizing coastal and known fault-line exposures, and the purchase of reinsurance. AFG recorded net catastrophe losses of $162 million in 2023 (before $3 million in net reinstatement premiums) primarily from February and March storms across much of the United States in the first quarter and storms in multiple regions of the United States in the second, third and fourth quarters.</w:t>
      </w:r>
    </w:p>
    <w:p>
      <w:pPr>
        <w:spacing w:after="0" w:line="223"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Catastrophe losses of $88 million in 2022 (before $5 million in net reinstatement premiums) resulted primarily from winter storms in multiple regions of the United States in the first quarter, storms in multiple regions of the United States in the second quarter, Hurricane Ian in the third quarter and Winter Storm Elliott in the fourth quarter.</w:t>
      </w:r>
    </w:p>
    <w:p>
      <w:pPr>
        <w:spacing w:after="0" w:line="201"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Catastrophe losses of $86 million in 2021 (before $12 million in net reinstatement premiums) resulted primarily from winter storms in Texas in the first quarter; storms in multiple regions of the United States in the second, third and fourth quarters; Hurricane Ida in the third quarter and Kentucky tornadoes and Colorado fires in the fourth quarter.</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Commissions and Other Underwriting Expenses</w:t>
      </w:r>
    </w:p>
    <w:p>
      <w:pPr>
        <w:spacing w:after="0" w:line="17" w:lineRule="exact"/>
        <w:rPr>
          <w:sz w:val="20"/>
          <w:szCs w:val="20"/>
          <w:color w:val="auto"/>
        </w:rPr>
      </w:pPr>
    </w:p>
    <w:p>
      <w:pPr>
        <w:ind w:right="420"/>
        <w:spacing w:after="0" w:line="265" w:lineRule="auto"/>
        <w:rPr>
          <w:sz w:val="20"/>
          <w:szCs w:val="20"/>
          <w:color w:val="auto"/>
        </w:rPr>
      </w:pPr>
      <w:r>
        <w:rPr>
          <w:rFonts w:ascii="Arial" w:cs="Arial" w:eastAsia="Arial" w:hAnsi="Arial"/>
          <w:sz w:val="17"/>
          <w:szCs w:val="17"/>
          <w:color w:val="auto"/>
        </w:rPr>
        <w:t>AFG’s property and casualty commissions and other underwriting expenses (“U/W Exp”) were $1.88 billion in 2023 compared to $1.68 billion in 2022, an increase of $203 million (12%). AFG’s underwriting expense ratio was 28.8% in 2023 compared to 27.6% in 2022, an increase of 1.2 percentage points.</w:t>
      </w:r>
    </w:p>
    <w:p>
      <w:pPr>
        <w:spacing w:after="0" w:line="200" w:lineRule="exact"/>
        <w:rPr>
          <w:sz w:val="20"/>
          <w:szCs w:val="20"/>
          <w:color w:val="auto"/>
        </w:rPr>
      </w:pPr>
    </w:p>
    <w:p>
      <w:pPr>
        <w:ind w:right="600"/>
        <w:spacing w:after="0" w:line="284" w:lineRule="auto"/>
        <w:rPr>
          <w:sz w:val="20"/>
          <w:szCs w:val="20"/>
          <w:color w:val="auto"/>
        </w:rPr>
      </w:pPr>
      <w:r>
        <w:rPr>
          <w:rFonts w:ascii="Arial" w:cs="Arial" w:eastAsia="Arial" w:hAnsi="Arial"/>
          <w:sz w:val="17"/>
          <w:szCs w:val="17"/>
          <w:color w:val="auto"/>
        </w:rPr>
        <w:t>AFG’s property and casualty U/W Exp were $1.68 billion in 2022 compared to $1.51 billion in 2021, an increase of $166 million (11%). AFG’s underwriting expense ratio was 27.6% in 2022 compared to 28.0% in 2021, a decrease of 0.4 percentage points.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76" w:name="page77"/>
    <w:bookmarkEnd w:id="7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380"/>
        <w:spacing w:after="0" w:line="284" w:lineRule="auto"/>
        <w:rPr>
          <w:sz w:val="20"/>
          <w:szCs w:val="20"/>
          <w:color w:val="auto"/>
        </w:rPr>
      </w:pPr>
      <w:r>
        <w:rPr>
          <w:rFonts w:ascii="Arial" w:cs="Arial" w:eastAsia="Arial" w:hAnsi="Arial"/>
          <w:sz w:val="17"/>
          <w:szCs w:val="17"/>
          <w:color w:val="auto"/>
        </w:rPr>
        <w:t>Detail of AFG’s property and casualty commissions and other underwriting expenses and underwriting expense ratios is shown below (dollars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color w:val="auto"/>
              </w:rPr>
              <w:t>Year ended December 31,</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color w:val="auto"/>
              </w:rPr>
              <w:t>Change in % of NEP</w:t>
            </w:r>
          </w:p>
        </w:tc>
      </w:tr>
      <w:tr>
        <w:trPr>
          <w:trHeight w:val="196"/>
        </w:trPr>
        <w:tc>
          <w:tcPr>
            <w:tcW w:w="27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2023</w:t>
            </w:r>
          </w:p>
        </w:tc>
        <w:tc>
          <w:tcPr>
            <w:tcW w:w="8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744"/>
              <w:spacing w:after="0"/>
              <w:rPr>
                <w:sz w:val="20"/>
                <w:szCs w:val="20"/>
                <w:color w:val="auto"/>
              </w:rPr>
            </w:pPr>
            <w:r>
              <w:rPr>
                <w:rFonts w:ascii="Arial" w:cs="Arial" w:eastAsia="Arial" w:hAnsi="Arial"/>
                <w:sz w:val="14"/>
                <w:szCs w:val="14"/>
                <w:color w:val="auto"/>
                <w:w w:val="96"/>
              </w:rPr>
              <w:t>2022</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744"/>
              <w:spacing w:after="0"/>
              <w:rPr>
                <w:sz w:val="20"/>
                <w:szCs w:val="20"/>
                <w:color w:val="auto"/>
              </w:rPr>
            </w:pPr>
            <w:r>
              <w:rPr>
                <w:rFonts w:ascii="Arial" w:cs="Arial" w:eastAsia="Arial" w:hAnsi="Arial"/>
                <w:sz w:val="14"/>
                <w:szCs w:val="14"/>
                <w:color w:val="auto"/>
                <w:w w:val="96"/>
              </w:rPr>
              <w:t>2021</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2023 - 2022</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color w:val="auto"/>
              </w:rPr>
              <w:t>2022 - 2021</w:t>
            </w:r>
          </w:p>
        </w:tc>
      </w:tr>
      <w:tr>
        <w:trPr>
          <w:trHeight w:val="196"/>
        </w:trPr>
        <w:tc>
          <w:tcPr>
            <w:tcW w:w="2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4"/>
                <w:szCs w:val="14"/>
                <w:color w:val="auto"/>
              </w:rPr>
              <w:t>U/W Exp</w:t>
            </w:r>
          </w:p>
        </w:tc>
        <w:tc>
          <w:tcPr>
            <w:tcW w:w="900" w:type="dxa"/>
            <w:vAlign w:val="bottom"/>
            <w:gridSpan w:val="2"/>
          </w:tcPr>
          <w:p>
            <w:pPr>
              <w:ind w:left="20"/>
              <w:spacing w:after="0"/>
              <w:rPr>
                <w:sz w:val="20"/>
                <w:szCs w:val="20"/>
                <w:color w:val="auto"/>
              </w:rPr>
            </w:pPr>
            <w:r>
              <w:rPr>
                <w:rFonts w:ascii="Arial" w:cs="Arial" w:eastAsia="Arial" w:hAnsi="Arial"/>
                <w:sz w:val="14"/>
                <w:szCs w:val="14"/>
                <w:color w:val="auto"/>
              </w:rPr>
              <w:t>% of NEP</w:t>
            </w:r>
          </w:p>
        </w:tc>
        <w:tc>
          <w:tcPr>
            <w:tcW w:w="140" w:type="dxa"/>
            <w:vAlign w:val="bottom"/>
          </w:tcPr>
          <w:p>
            <w:pPr>
              <w:spacing w:after="0"/>
              <w:rPr>
                <w:sz w:val="17"/>
                <w:szCs w:val="17"/>
                <w:color w:val="auto"/>
              </w:rPr>
            </w:pPr>
          </w:p>
        </w:tc>
        <w:tc>
          <w:tcPr>
            <w:tcW w:w="680" w:type="dxa"/>
            <w:vAlign w:val="bottom"/>
          </w:tcPr>
          <w:p>
            <w:pPr>
              <w:ind w:left="20"/>
              <w:spacing w:after="0"/>
              <w:rPr>
                <w:sz w:val="20"/>
                <w:szCs w:val="20"/>
                <w:color w:val="auto"/>
              </w:rPr>
            </w:pPr>
            <w:r>
              <w:rPr>
                <w:rFonts w:ascii="Arial" w:cs="Arial" w:eastAsia="Arial" w:hAnsi="Arial"/>
                <w:sz w:val="14"/>
                <w:szCs w:val="14"/>
                <w:color w:val="auto"/>
              </w:rPr>
              <w:t>U/W Exp</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color w:val="auto"/>
              </w:rPr>
              <w:t>% of NEP</w:t>
            </w:r>
          </w:p>
        </w:tc>
        <w:tc>
          <w:tcPr>
            <w:tcW w:w="140" w:type="dxa"/>
            <w:vAlign w:val="bottom"/>
          </w:tcPr>
          <w:p>
            <w:pPr>
              <w:spacing w:after="0"/>
              <w:rPr>
                <w:sz w:val="17"/>
                <w:szCs w:val="17"/>
                <w:color w:val="auto"/>
              </w:rPr>
            </w:pPr>
          </w:p>
        </w:tc>
        <w:tc>
          <w:tcPr>
            <w:tcW w:w="680" w:type="dxa"/>
            <w:vAlign w:val="bottom"/>
          </w:tcPr>
          <w:p>
            <w:pPr>
              <w:jc w:val="right"/>
              <w:ind w:right="21"/>
              <w:spacing w:after="0"/>
              <w:rPr>
                <w:sz w:val="20"/>
                <w:szCs w:val="20"/>
                <w:color w:val="auto"/>
              </w:rPr>
            </w:pPr>
            <w:r>
              <w:rPr>
                <w:rFonts w:ascii="Arial" w:cs="Arial" w:eastAsia="Arial" w:hAnsi="Arial"/>
                <w:sz w:val="14"/>
                <w:szCs w:val="14"/>
                <w:color w:val="auto"/>
              </w:rPr>
              <w:t>U/W Exp</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104"/>
              <w:spacing w:after="0"/>
              <w:rPr>
                <w:sz w:val="20"/>
                <w:szCs w:val="20"/>
                <w:color w:val="auto"/>
              </w:rPr>
            </w:pPr>
            <w:r>
              <w:rPr>
                <w:rFonts w:ascii="Arial" w:cs="Arial" w:eastAsia="Arial" w:hAnsi="Arial"/>
                <w:sz w:val="14"/>
                <w:szCs w:val="14"/>
                <w:color w:val="auto"/>
              </w:rPr>
              <w:t>% of NEP</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3"/>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23.6 %</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22.0 %</w:t>
            </w:r>
          </w:p>
        </w:tc>
        <w:tc>
          <w:tcPr>
            <w:tcW w:w="1240" w:type="dxa"/>
            <w:vAlign w:val="bottom"/>
            <w:tcBorders>
              <w:top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1.7 %</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(0.1 %)</w:t>
            </w:r>
          </w:p>
        </w:tc>
      </w:tr>
      <w:tr>
        <w:trPr>
          <w:trHeight w:val="215"/>
        </w:trPr>
        <w:tc>
          <w:tcPr>
            <w:tcW w:w="270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26.7 %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706</w:t>
            </w:r>
          </w:p>
        </w:tc>
        <w:tc>
          <w:tcPr>
            <w:tcW w:w="1140" w:type="dxa"/>
            <w:vAlign w:val="bottom"/>
            <w:gridSpan w:val="3"/>
          </w:tcPr>
          <w:p>
            <w:pPr>
              <w:jc w:val="right"/>
              <w:spacing w:after="0"/>
              <w:rPr>
                <w:sz w:val="20"/>
                <w:szCs w:val="20"/>
                <w:color w:val="auto"/>
              </w:rPr>
            </w:pPr>
            <w:r>
              <w:rPr>
                <w:rFonts w:ascii="Arial" w:cs="Arial" w:eastAsia="Arial" w:hAnsi="Arial"/>
                <w:sz w:val="16"/>
                <w:szCs w:val="16"/>
                <w:color w:val="auto"/>
              </w:rPr>
              <w:t>26.5 %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632</w:t>
            </w:r>
          </w:p>
        </w:tc>
        <w:tc>
          <w:tcPr>
            <w:tcW w:w="1140" w:type="dxa"/>
            <w:vAlign w:val="bottom"/>
            <w:gridSpan w:val="3"/>
          </w:tcPr>
          <w:p>
            <w:pPr>
              <w:jc w:val="right"/>
              <w:spacing w:after="0"/>
              <w:rPr>
                <w:sz w:val="20"/>
                <w:szCs w:val="20"/>
                <w:color w:val="auto"/>
              </w:rPr>
            </w:pPr>
            <w:r>
              <w:rPr>
                <w:rFonts w:ascii="Arial" w:cs="Arial" w:eastAsia="Arial" w:hAnsi="Arial"/>
                <w:sz w:val="16"/>
                <w:szCs w:val="16"/>
                <w:color w:val="auto"/>
              </w:rPr>
              <w:t>26.2 %</w:t>
            </w:r>
          </w:p>
        </w:tc>
        <w:tc>
          <w:tcPr>
            <w:tcW w:w="1240" w:type="dxa"/>
            <w:vAlign w:val="bottom"/>
            <w:gridSpan w:val="2"/>
          </w:tcPr>
          <w:p>
            <w:pPr>
              <w:jc w:val="right"/>
              <w:ind w:right="8"/>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0.3 %</w:t>
            </w:r>
          </w:p>
        </w:tc>
      </w:tr>
      <w:tr>
        <w:trPr>
          <w:trHeight w:val="217"/>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49.6 %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51.9 %</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w:t>
            </w:r>
          </w:p>
        </w:tc>
      </w:tr>
      <w:tr>
        <w:trPr>
          <w:trHeight w:val="215"/>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specialty</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33.9 %</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60" w:type="dxa"/>
            <w:vAlign w:val="bottom"/>
            <w:tcBorders>
              <w:bottom w:val="single" w:sz="8" w:color="auto"/>
            </w:tcBorders>
          </w:tcPr>
          <w:p>
            <w:pPr>
              <w:spacing w:after="0"/>
              <w:rPr>
                <w:sz w:val="18"/>
                <w:szCs w:val="18"/>
                <w:color w:val="auto"/>
              </w:rPr>
            </w:pP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34.7 %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60" w:type="dxa"/>
            <w:vAlign w:val="bottom"/>
            <w:tcBorders>
              <w:bottom w:val="single" w:sz="8" w:color="auto"/>
            </w:tcBorders>
          </w:tcPr>
          <w:p>
            <w:pPr>
              <w:spacing w:after="0"/>
              <w:rPr>
                <w:sz w:val="18"/>
                <w:szCs w:val="18"/>
                <w:color w:val="auto"/>
              </w:rPr>
            </w:pP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37.2 %</w:t>
            </w:r>
          </w:p>
        </w:tc>
        <w:tc>
          <w:tcPr>
            <w:tcW w:w="1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(0.8 %)</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(2.5 %)</w:t>
            </w:r>
          </w:p>
        </w:tc>
      </w:tr>
      <w:tr>
        <w:trPr>
          <w:trHeight w:val="230"/>
        </w:trPr>
        <w:tc>
          <w:tcPr>
            <w:tcW w:w="27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28.8 %</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1,680</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27.6 %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1,514</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28.0 %</w:t>
            </w:r>
          </w:p>
        </w:tc>
        <w:tc>
          <w:tcPr>
            <w:tcW w:w="124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1.2 %</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(0.4 %)</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316"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b w:val="1"/>
          <w:bCs w:val="1"/>
          <w:i w:val="1"/>
          <w:iCs w:val="1"/>
          <w:color w:val="00274E"/>
        </w:rPr>
        <w:t xml:space="preserve">Property and transportation </w:t>
      </w:r>
      <w:r>
        <w:rPr>
          <w:rFonts w:ascii="Arial" w:cs="Arial" w:eastAsia="Arial" w:hAnsi="Arial"/>
          <w:sz w:val="17"/>
          <w:szCs w:val="17"/>
          <w:color w:val="000000"/>
        </w:rPr>
        <w:t>Commissions and other underwriting expenses as a percentage of net earned premiums increased 1.7</w:t>
      </w:r>
      <w:r>
        <w:rPr>
          <w:rFonts w:ascii="Arial" w:cs="Arial" w:eastAsia="Arial" w:hAnsi="Arial"/>
          <w:sz w:val="20"/>
          <w:szCs w:val="20"/>
          <w:b w:val="1"/>
          <w:bCs w:val="1"/>
          <w:i w:val="1"/>
          <w:iCs w:val="1"/>
          <w:color w:val="00274E"/>
        </w:rPr>
        <w:t xml:space="preserve"> </w:t>
      </w:r>
      <w:r>
        <w:rPr>
          <w:rFonts w:ascii="Arial" w:cs="Arial" w:eastAsia="Arial" w:hAnsi="Arial"/>
          <w:sz w:val="17"/>
          <w:szCs w:val="17"/>
          <w:color w:val="000000"/>
        </w:rPr>
        <w:t>percentage points in 2023 compared to 2022 reflecting the impact of lower profit-based ceding commissions related to below average profitability in the crop operations, the impact on the ratio of lower earned premiums in the crop operations (which has a lower commissions and other underwriting expense ratio compared to some of the other businesses in the Property and transportation sub-segment) and higher expenses related to certain technology initiatives.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Commissions and other underwriting expenses as a percentage of net earned premiums were comparable in 2022 and 2021.</w:t>
      </w:r>
    </w:p>
    <w:p>
      <w:pPr>
        <w:spacing w:after="0" w:line="251"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b w:val="1"/>
          <w:bCs w:val="1"/>
          <w:i w:val="1"/>
          <w:iCs w:val="1"/>
          <w:color w:val="00274E"/>
        </w:rPr>
        <w:t xml:space="preserve">Specialty casualty </w:t>
      </w:r>
      <w:r>
        <w:rPr>
          <w:rFonts w:ascii="Arial" w:cs="Arial" w:eastAsia="Arial" w:hAnsi="Arial"/>
          <w:sz w:val="17"/>
          <w:szCs w:val="17"/>
          <w:color w:val="000000"/>
        </w:rPr>
        <w:t>Commissions and other underwriting expenses as a percentage of net earned premiums increased 0.2 percentage points in</w:t>
      </w:r>
      <w:r>
        <w:rPr>
          <w:rFonts w:ascii="Arial" w:cs="Arial" w:eastAsia="Arial" w:hAnsi="Arial"/>
          <w:sz w:val="20"/>
          <w:szCs w:val="20"/>
          <w:b w:val="1"/>
          <w:bCs w:val="1"/>
          <w:i w:val="1"/>
          <w:iCs w:val="1"/>
          <w:color w:val="00274E"/>
        </w:rPr>
        <w:t xml:space="preserve"> </w:t>
      </w:r>
      <w:r>
        <w:rPr>
          <w:rFonts w:ascii="Arial" w:cs="Arial" w:eastAsia="Arial" w:hAnsi="Arial"/>
          <w:sz w:val="17"/>
          <w:szCs w:val="17"/>
          <w:color w:val="000000"/>
        </w:rPr>
        <w:t>2023 compared to 2022 reflecting higher expenses related to certain technology initiatives, partially offset by the impact on the ratio of growth in earned premiums in the workers’ compensation businesses.</w:t>
      </w:r>
    </w:p>
    <w:p>
      <w:pPr>
        <w:spacing w:after="0" w:line="216"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Commissions and other underwriting expenses as a percentage of net earned premiums increased 0.3 percentage points in 2022 compared to 2021 reflecting higher underwriting expenses in the workers’ compensation businesses.</w:t>
      </w:r>
    </w:p>
    <w:p>
      <w:pPr>
        <w:spacing w:after="0" w:line="199" w:lineRule="exact"/>
        <w:rPr>
          <w:sz w:val="20"/>
          <w:szCs w:val="20"/>
          <w:color w:val="auto"/>
        </w:rPr>
      </w:pPr>
    </w:p>
    <w:p>
      <w:pPr>
        <w:ind w:right="160"/>
        <w:spacing w:after="0" w:line="247" w:lineRule="auto"/>
        <w:rPr>
          <w:sz w:val="20"/>
          <w:szCs w:val="20"/>
          <w:color w:val="auto"/>
        </w:rPr>
      </w:pPr>
      <w:r>
        <w:rPr>
          <w:rFonts w:ascii="Arial" w:cs="Arial" w:eastAsia="Arial" w:hAnsi="Arial"/>
          <w:sz w:val="20"/>
          <w:szCs w:val="20"/>
          <w:b w:val="1"/>
          <w:bCs w:val="1"/>
          <w:i w:val="1"/>
          <w:iCs w:val="1"/>
          <w:color w:val="00274E"/>
        </w:rPr>
        <w:t xml:space="preserve">Specialty financial </w:t>
      </w:r>
      <w:r>
        <w:rPr>
          <w:rFonts w:ascii="Arial" w:cs="Arial" w:eastAsia="Arial" w:hAnsi="Arial"/>
          <w:sz w:val="17"/>
          <w:szCs w:val="17"/>
          <w:color w:val="000000"/>
        </w:rPr>
        <w:t>Commissions and other underwriting expenses as a percentage of net earned premiums decreased 0.1 percentage points</w:t>
      </w:r>
      <w:r>
        <w:rPr>
          <w:rFonts w:ascii="Arial" w:cs="Arial" w:eastAsia="Arial" w:hAnsi="Arial"/>
          <w:sz w:val="20"/>
          <w:szCs w:val="20"/>
          <w:b w:val="1"/>
          <w:bCs w:val="1"/>
          <w:i w:val="1"/>
          <w:iCs w:val="1"/>
          <w:color w:val="00274E"/>
        </w:rPr>
        <w:t xml:space="preserve"> </w:t>
      </w:r>
      <w:r>
        <w:rPr>
          <w:rFonts w:ascii="Arial" w:cs="Arial" w:eastAsia="Arial" w:hAnsi="Arial"/>
          <w:sz w:val="17"/>
          <w:szCs w:val="17"/>
          <w:color w:val="000000"/>
        </w:rPr>
        <w:t>in 2023 compared to 2022 reflecting the impact on the ratio of growth in earned premiums in the financial institutions and innovative markets businesses, partially offset by higher expenses related to certain technology initiatives and the impact of lower profit-based commissions to agents and lower reinstatement premiums recorded in 2022 as a result of losses from Hurricane Ian.</w:t>
      </w:r>
    </w:p>
    <w:p>
      <w:pPr>
        <w:spacing w:after="0" w:line="217" w:lineRule="exact"/>
        <w:rPr>
          <w:sz w:val="20"/>
          <w:szCs w:val="20"/>
          <w:color w:val="auto"/>
        </w:rPr>
      </w:pPr>
    </w:p>
    <w:p>
      <w:pPr>
        <w:ind w:right="420"/>
        <w:spacing w:after="0" w:line="266" w:lineRule="auto"/>
        <w:rPr>
          <w:sz w:val="20"/>
          <w:szCs w:val="20"/>
          <w:color w:val="auto"/>
        </w:rPr>
      </w:pPr>
      <w:r>
        <w:rPr>
          <w:rFonts w:ascii="Arial" w:cs="Arial" w:eastAsia="Arial" w:hAnsi="Arial"/>
          <w:sz w:val="17"/>
          <w:szCs w:val="17"/>
          <w:color w:val="auto"/>
        </w:rPr>
        <w:t>Commissions and other underwriting expenses as a percentage of net earned premiums decreased 2.3 percentage points in 2022 compared to 2021 reflecting lower profit-based commissions to agents in 2022 compared to 2021, and lower underwriting expenses in the international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7" w:name="page78"/>
    <w:bookmarkEnd w:id="7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Property and Casualty Net Investment Income</w:t>
      </w:r>
    </w:p>
    <w:p>
      <w:pPr>
        <w:spacing w:after="0" w:line="30" w:lineRule="exact"/>
        <w:rPr>
          <w:sz w:val="20"/>
          <w:szCs w:val="20"/>
          <w:color w:val="auto"/>
        </w:rPr>
      </w:pPr>
    </w:p>
    <w:p>
      <w:pPr>
        <w:jc w:val="both"/>
        <w:ind w:right="20"/>
        <w:spacing w:after="0" w:line="254" w:lineRule="auto"/>
        <w:rPr>
          <w:sz w:val="20"/>
          <w:szCs w:val="20"/>
          <w:color w:val="auto"/>
        </w:rPr>
      </w:pPr>
      <w:r>
        <w:rPr>
          <w:rFonts w:ascii="Arial" w:cs="Arial" w:eastAsia="Arial" w:hAnsi="Arial"/>
          <w:sz w:val="17"/>
          <w:szCs w:val="17"/>
          <w:color w:val="auto"/>
        </w:rPr>
        <w:t>Net investment income in AFG’s property and casualty insurance operations was $729 million in 2023 compared to $683 million in 2022, an increase of $46 million (7%). Net investment income in AFG’s property and casualty insurance operations was $683 million in 2022 compared to $663 million in 2021, an increase of $20 million (3%). The average invested assets and overall yield earned on investments held by AFG’s property and casualty insurance operations are provided below (dollars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4"/>
                <w:szCs w:val="14"/>
                <w:color w:val="auto"/>
              </w:rPr>
              <w:t>Year ended December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608"/>
              <w:spacing w:after="0"/>
              <w:rPr>
                <w:sz w:val="20"/>
                <w:szCs w:val="20"/>
                <w:color w:val="auto"/>
              </w:rPr>
            </w:pPr>
            <w:r>
              <w:rPr>
                <w:rFonts w:ascii="Arial" w:cs="Arial" w:eastAsia="Arial" w:hAnsi="Arial"/>
                <w:sz w:val="14"/>
                <w:szCs w:val="14"/>
                <w:color w:val="auto"/>
              </w:rPr>
              <w:t>2023 - 2022</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628"/>
              <w:spacing w:after="0"/>
              <w:rPr>
                <w:sz w:val="20"/>
                <w:szCs w:val="20"/>
                <w:color w:val="auto"/>
              </w:rPr>
            </w:pPr>
            <w:r>
              <w:rPr>
                <w:rFonts w:ascii="Arial" w:cs="Arial" w:eastAsia="Arial" w:hAnsi="Arial"/>
                <w:sz w:val="14"/>
                <w:szCs w:val="14"/>
                <w:color w:val="auto"/>
              </w:rPr>
              <w:t>2022 - 2021</w:t>
            </w:r>
          </w:p>
        </w:tc>
        <w:tc>
          <w:tcPr>
            <w:tcW w:w="0" w:type="dxa"/>
            <w:vAlign w:val="bottom"/>
          </w:tcPr>
          <w:p>
            <w:pPr>
              <w:spacing w:after="0"/>
              <w:rPr>
                <w:sz w:val="1"/>
                <w:szCs w:val="1"/>
                <w:color w:val="auto"/>
              </w:rPr>
            </w:pPr>
          </w:p>
        </w:tc>
      </w:tr>
      <w:tr>
        <w:trPr>
          <w:trHeight w:val="196"/>
        </w:trPr>
        <w:tc>
          <w:tcPr>
            <w:tcW w:w="3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41"/>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40"/>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ind w:right="360"/>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161"/>
              <w:spacing w:after="0"/>
              <w:rPr>
                <w:sz w:val="20"/>
                <w:szCs w:val="20"/>
                <w:color w:val="auto"/>
              </w:rPr>
            </w:pPr>
            <w:r>
              <w:rPr>
                <w:rFonts w:ascii="Arial" w:cs="Arial" w:eastAsia="Arial" w:hAnsi="Arial"/>
                <w:sz w:val="14"/>
                <w:szCs w:val="14"/>
                <w:color w:val="auto"/>
              </w:rPr>
              <w:t>Change</w:t>
            </w:r>
          </w:p>
        </w:tc>
        <w:tc>
          <w:tcPr>
            <w:tcW w:w="80" w:type="dxa"/>
            <w:vAlign w:val="bottom"/>
          </w:tcPr>
          <w:p>
            <w:pPr>
              <w:spacing w:after="0"/>
              <w:rPr>
                <w:sz w:val="17"/>
                <w:szCs w:val="17"/>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color w:val="auto"/>
              </w:rPr>
              <w:t>% Change</w:t>
            </w:r>
          </w:p>
        </w:tc>
        <w:tc>
          <w:tcPr>
            <w:tcW w:w="180" w:type="dxa"/>
            <w:vAlign w:val="bottom"/>
          </w:tcPr>
          <w:p>
            <w:pPr>
              <w:spacing w:after="0"/>
              <w:rPr>
                <w:sz w:val="17"/>
                <w:szCs w:val="17"/>
                <w:color w:val="auto"/>
              </w:rPr>
            </w:pPr>
          </w:p>
        </w:tc>
        <w:tc>
          <w:tcPr>
            <w:tcW w:w="860" w:type="dxa"/>
            <w:vAlign w:val="bottom"/>
          </w:tcPr>
          <w:p>
            <w:pPr>
              <w:jc w:val="right"/>
              <w:ind w:right="201"/>
              <w:spacing w:after="0"/>
              <w:rPr>
                <w:sz w:val="20"/>
                <w:szCs w:val="20"/>
                <w:color w:val="auto"/>
              </w:rPr>
            </w:pPr>
            <w:r>
              <w:rPr>
                <w:rFonts w:ascii="Arial" w:cs="Arial" w:eastAsia="Arial" w:hAnsi="Arial"/>
                <w:sz w:val="14"/>
                <w:szCs w:val="14"/>
                <w:color w:val="auto"/>
              </w:rPr>
              <w:t>Change</w:t>
            </w:r>
          </w:p>
        </w:tc>
        <w:tc>
          <w:tcPr>
            <w:tcW w:w="80" w:type="dxa"/>
            <w:vAlign w:val="bottom"/>
          </w:tcPr>
          <w:p>
            <w:pPr>
              <w:spacing w:after="0"/>
              <w:rPr>
                <w:sz w:val="17"/>
                <w:szCs w:val="17"/>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00"/>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investment income:</w:t>
            </w: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080" w:type="dxa"/>
            <w:vAlign w:val="bottom"/>
          </w:tcPr>
          <w:p>
            <w:pPr>
              <w:ind w:left="240"/>
              <w:spacing w:after="0" w:line="162" w:lineRule="exact"/>
              <w:rPr>
                <w:sz w:val="20"/>
                <w:szCs w:val="20"/>
                <w:color w:val="auto"/>
              </w:rPr>
            </w:pPr>
            <w:r>
              <w:rPr>
                <w:rFonts w:ascii="Arial" w:cs="Arial" w:eastAsia="Arial" w:hAnsi="Arial"/>
                <w:sz w:val="16"/>
                <w:szCs w:val="16"/>
                <w:color w:val="auto"/>
              </w:rPr>
              <w:t>Net investment income, excluding</w:t>
            </w: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vMerge w:val="restart"/>
          </w:tcPr>
          <w:p>
            <w:pPr>
              <w:jc w:val="right"/>
              <w:ind w:right="121"/>
              <w:spacing w:after="0"/>
              <w:rPr>
                <w:sz w:val="20"/>
                <w:szCs w:val="20"/>
                <w:color w:val="auto"/>
              </w:rPr>
            </w:pPr>
            <w:r>
              <w:rPr>
                <w:rFonts w:ascii="Arial" w:cs="Arial" w:eastAsia="Arial" w:hAnsi="Arial"/>
                <w:sz w:val="16"/>
                <w:szCs w:val="16"/>
                <w:color w:val="auto"/>
              </w:rPr>
              <w:t>566</w:t>
            </w:r>
          </w:p>
        </w:tc>
        <w:tc>
          <w:tcPr>
            <w:tcW w:w="100" w:type="dxa"/>
            <w:vAlign w:val="bottom"/>
          </w:tcPr>
          <w:p>
            <w:pPr>
              <w:spacing w:after="0"/>
              <w:rPr>
                <w:sz w:val="14"/>
                <w:szCs w:val="14"/>
                <w:color w:val="auto"/>
              </w:rPr>
            </w:pP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vMerge w:val="restart"/>
          </w:tcPr>
          <w:p>
            <w:pPr>
              <w:jc w:val="right"/>
              <w:ind w:right="120"/>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14"/>
                <w:szCs w:val="14"/>
                <w:color w:val="auto"/>
              </w:rPr>
            </w:pP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880" w:type="dxa"/>
            <w:vAlign w:val="bottom"/>
            <w:vMerge w:val="restart"/>
          </w:tcPr>
          <w:p>
            <w:pPr>
              <w:jc w:val="right"/>
              <w:ind w:right="120"/>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ind w:right="141"/>
              <w:spacing w:after="0"/>
              <w:rPr>
                <w:sz w:val="20"/>
                <w:szCs w:val="20"/>
                <w:color w:val="auto"/>
              </w:rPr>
            </w:pPr>
            <w:r>
              <w:rPr>
                <w:rFonts w:ascii="Arial" w:cs="Arial" w:eastAsia="Arial" w:hAnsi="Arial"/>
                <w:sz w:val="16"/>
                <w:szCs w:val="16"/>
                <w:color w:val="auto"/>
              </w:rPr>
              <w:t>148</w:t>
            </w:r>
          </w:p>
        </w:tc>
        <w:tc>
          <w:tcPr>
            <w:tcW w:w="1140" w:type="dxa"/>
            <w:vAlign w:val="bottom"/>
            <w:gridSpan w:val="2"/>
            <w:vMerge w:val="restart"/>
          </w:tcPr>
          <w:p>
            <w:pPr>
              <w:jc w:val="right"/>
              <w:ind w:right="8"/>
              <w:spacing w:after="0"/>
              <w:rPr>
                <w:sz w:val="20"/>
                <w:szCs w:val="20"/>
                <w:color w:val="auto"/>
              </w:rPr>
            </w:pPr>
            <w:r>
              <w:rPr>
                <w:rFonts w:ascii="Arial" w:cs="Arial" w:eastAsia="Arial" w:hAnsi="Arial"/>
                <w:sz w:val="16"/>
                <w:szCs w:val="16"/>
                <w:color w:val="auto"/>
              </w:rPr>
              <w:t>35 %</w:t>
            </w:r>
          </w:p>
        </w:tc>
        <w:tc>
          <w:tcPr>
            <w:tcW w:w="10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ind w:right="181"/>
              <w:spacing w:after="0"/>
              <w:rPr>
                <w:sz w:val="20"/>
                <w:szCs w:val="20"/>
                <w:color w:val="auto"/>
              </w:rPr>
            </w:pPr>
            <w:r>
              <w:rPr>
                <w:rFonts w:ascii="Arial" w:cs="Arial" w:eastAsia="Arial" w:hAnsi="Arial"/>
                <w:sz w:val="16"/>
                <w:szCs w:val="16"/>
                <w:color w:val="auto"/>
              </w:rPr>
              <w:t>95</w:t>
            </w:r>
          </w:p>
        </w:tc>
        <w:tc>
          <w:tcPr>
            <w:tcW w:w="1140" w:type="dxa"/>
            <w:vAlign w:val="bottom"/>
            <w:gridSpan w:val="2"/>
            <w:vMerge w:val="restart"/>
          </w:tcPr>
          <w:p>
            <w:pPr>
              <w:jc w:val="right"/>
              <w:ind w:right="8"/>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215"/>
        </w:trPr>
        <w:tc>
          <w:tcPr>
            <w:tcW w:w="3080" w:type="dxa"/>
            <w:vAlign w:val="bottom"/>
          </w:tcPr>
          <w:p>
            <w:pPr>
              <w:ind w:left="400"/>
              <w:spacing w:after="0"/>
              <w:rPr>
                <w:sz w:val="20"/>
                <w:szCs w:val="20"/>
                <w:color w:val="auto"/>
              </w:rPr>
            </w:pPr>
            <w:r>
              <w:rPr>
                <w:rFonts w:ascii="Arial" w:cs="Arial" w:eastAsia="Arial" w:hAnsi="Arial"/>
                <w:sz w:val="16"/>
                <w:szCs w:val="16"/>
                <w:color w:val="auto"/>
              </w:rPr>
              <w:t>alternative investments</w:t>
            </w:r>
          </w:p>
        </w:tc>
        <w:tc>
          <w:tcPr>
            <w:tcW w:w="26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Alternative investments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265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340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(102)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(75)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10"/>
        </w:trPr>
        <w:tc>
          <w:tcPr>
            <w:tcW w:w="3080" w:type="dxa"/>
            <w:vAlign w:val="bottom"/>
          </w:tcPr>
          <w:p>
            <w:pPr>
              <w:ind w:left="460"/>
              <w:spacing w:after="0"/>
              <w:rPr>
                <w:sz w:val="20"/>
                <w:szCs w:val="20"/>
                <w:color w:val="auto"/>
              </w:rPr>
            </w:pPr>
            <w:r>
              <w:rPr>
                <w:rFonts w:ascii="Arial" w:cs="Arial" w:eastAsia="Arial" w:hAnsi="Arial"/>
                <w:sz w:val="16"/>
                <w:szCs w:val="16"/>
                <w:color w:val="auto"/>
              </w:rPr>
              <w:t>Total net investment income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729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683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663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46</w:t>
            </w:r>
          </w:p>
        </w:tc>
        <w:tc>
          <w:tcPr>
            <w:tcW w:w="1140" w:type="dxa"/>
            <w:vAlign w:val="bottom"/>
            <w:gridSpan w:val="2"/>
          </w:tcPr>
          <w:p>
            <w:pPr>
              <w:jc w:val="right"/>
              <w:ind w:right="8"/>
              <w:spacing w:after="0"/>
              <w:rPr>
                <w:sz w:val="20"/>
                <w:szCs w:val="20"/>
                <w:color w:val="auto"/>
              </w:rPr>
            </w:pPr>
            <w:r>
              <w:rPr>
                <w:rFonts w:ascii="Arial" w:cs="Arial" w:eastAsia="Arial" w:hAnsi="Arial"/>
                <w:sz w:val="16"/>
                <w:szCs w:val="16"/>
                <w:color w:val="auto"/>
              </w:rPr>
              <w:t>7 %</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20</w:t>
            </w:r>
          </w:p>
        </w:tc>
        <w:tc>
          <w:tcPr>
            <w:tcW w:w="1140" w:type="dxa"/>
            <w:vAlign w:val="bottom"/>
            <w:gridSpan w:val="2"/>
          </w:tcPr>
          <w:p>
            <w:pPr>
              <w:jc w:val="right"/>
              <w:ind w:right="8"/>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080" w:type="dxa"/>
            <w:vAlign w:val="bottom"/>
          </w:tcPr>
          <w:p>
            <w:pPr>
              <w:ind w:left="20"/>
              <w:spacing w:after="0" w:line="162" w:lineRule="exact"/>
              <w:rPr>
                <w:sz w:val="20"/>
                <w:szCs w:val="20"/>
                <w:color w:val="auto"/>
              </w:rPr>
            </w:pPr>
            <w:r>
              <w:rPr>
                <w:rFonts w:ascii="Arial" w:cs="Arial" w:eastAsia="Arial" w:hAnsi="Arial"/>
                <w:sz w:val="16"/>
                <w:szCs w:val="16"/>
                <w:color w:val="auto"/>
              </w:rPr>
              <w:t>Average invested assets (at amortized</w:t>
            </w: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vMerge w:val="restart"/>
          </w:tcPr>
          <w:p>
            <w:pPr>
              <w:jc w:val="right"/>
              <w:ind w:right="121"/>
              <w:spacing w:after="0"/>
              <w:rPr>
                <w:sz w:val="20"/>
                <w:szCs w:val="20"/>
                <w:color w:val="auto"/>
              </w:rPr>
            </w:pPr>
            <w:r>
              <w:rPr>
                <w:rFonts w:ascii="Arial" w:cs="Arial" w:eastAsia="Arial" w:hAnsi="Arial"/>
                <w:sz w:val="16"/>
                <w:szCs w:val="16"/>
                <w:color w:val="auto"/>
              </w:rPr>
              <w:t>14,753</w:t>
            </w:r>
          </w:p>
        </w:tc>
        <w:tc>
          <w:tcPr>
            <w:tcW w:w="100" w:type="dxa"/>
            <w:vAlign w:val="bottom"/>
          </w:tcPr>
          <w:p>
            <w:pPr>
              <w:spacing w:after="0"/>
              <w:rPr>
                <w:sz w:val="14"/>
                <w:szCs w:val="14"/>
                <w:color w:val="auto"/>
              </w:rPr>
            </w:pP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vMerge w:val="restart"/>
          </w:tcPr>
          <w:p>
            <w:pPr>
              <w:jc w:val="right"/>
              <w:ind w:right="120"/>
              <w:spacing w:after="0"/>
              <w:rPr>
                <w:sz w:val="20"/>
                <w:szCs w:val="20"/>
                <w:color w:val="auto"/>
              </w:rPr>
            </w:pPr>
            <w:r>
              <w:rPr>
                <w:rFonts w:ascii="Arial" w:cs="Arial" w:eastAsia="Arial" w:hAnsi="Arial"/>
                <w:sz w:val="16"/>
                <w:szCs w:val="16"/>
                <w:color w:val="auto"/>
              </w:rPr>
              <w:t>14,048</w:t>
            </w:r>
          </w:p>
        </w:tc>
        <w:tc>
          <w:tcPr>
            <w:tcW w:w="100" w:type="dxa"/>
            <w:vAlign w:val="bottom"/>
          </w:tcPr>
          <w:p>
            <w:pPr>
              <w:spacing w:after="0"/>
              <w:rPr>
                <w:sz w:val="14"/>
                <w:szCs w:val="14"/>
                <w:color w:val="auto"/>
              </w:rPr>
            </w:pP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880" w:type="dxa"/>
            <w:vAlign w:val="bottom"/>
            <w:vMerge w:val="restart"/>
          </w:tcPr>
          <w:p>
            <w:pPr>
              <w:jc w:val="right"/>
              <w:ind w:right="120"/>
              <w:spacing w:after="0"/>
              <w:rPr>
                <w:sz w:val="20"/>
                <w:szCs w:val="20"/>
                <w:color w:val="auto"/>
              </w:rPr>
            </w:pPr>
            <w:r>
              <w:rPr>
                <w:rFonts w:ascii="Arial" w:cs="Arial" w:eastAsia="Arial" w:hAnsi="Arial"/>
                <w:sz w:val="16"/>
                <w:szCs w:val="16"/>
                <w:color w:val="auto"/>
              </w:rPr>
              <w:t>12,944</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ind w:right="141"/>
              <w:spacing w:after="0"/>
              <w:rPr>
                <w:sz w:val="20"/>
                <w:szCs w:val="20"/>
                <w:color w:val="auto"/>
              </w:rPr>
            </w:pPr>
            <w:r>
              <w:rPr>
                <w:rFonts w:ascii="Arial" w:cs="Arial" w:eastAsia="Arial" w:hAnsi="Arial"/>
                <w:sz w:val="16"/>
                <w:szCs w:val="16"/>
                <w:color w:val="auto"/>
              </w:rPr>
              <w:t>705</w:t>
            </w:r>
          </w:p>
        </w:tc>
        <w:tc>
          <w:tcPr>
            <w:tcW w:w="1140" w:type="dxa"/>
            <w:vAlign w:val="bottom"/>
            <w:gridSpan w:val="2"/>
            <w:vMerge w:val="restart"/>
          </w:tcPr>
          <w:p>
            <w:pPr>
              <w:jc w:val="right"/>
              <w:ind w:right="8"/>
              <w:spacing w:after="0"/>
              <w:rPr>
                <w:sz w:val="20"/>
                <w:szCs w:val="20"/>
                <w:color w:val="auto"/>
              </w:rPr>
            </w:pPr>
            <w:r>
              <w:rPr>
                <w:rFonts w:ascii="Arial" w:cs="Arial" w:eastAsia="Arial" w:hAnsi="Arial"/>
                <w:sz w:val="16"/>
                <w:szCs w:val="16"/>
                <w:color w:val="auto"/>
              </w:rPr>
              <w:t>5 %</w:t>
            </w:r>
          </w:p>
        </w:tc>
        <w:tc>
          <w:tcPr>
            <w:tcW w:w="10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ind w:right="181"/>
              <w:spacing w:after="0"/>
              <w:rPr>
                <w:sz w:val="20"/>
                <w:szCs w:val="20"/>
                <w:color w:val="auto"/>
              </w:rPr>
            </w:pPr>
            <w:r>
              <w:rPr>
                <w:rFonts w:ascii="Arial" w:cs="Arial" w:eastAsia="Arial" w:hAnsi="Arial"/>
                <w:sz w:val="16"/>
                <w:szCs w:val="16"/>
                <w:color w:val="auto"/>
              </w:rPr>
              <w:t>1,104</w:t>
            </w:r>
          </w:p>
        </w:tc>
        <w:tc>
          <w:tcPr>
            <w:tcW w:w="1140" w:type="dxa"/>
            <w:vAlign w:val="bottom"/>
            <w:gridSpan w:val="2"/>
            <w:vMerge w:val="restart"/>
          </w:tcPr>
          <w:p>
            <w:pPr>
              <w:jc w:val="right"/>
              <w:ind w:right="8"/>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194"/>
        </w:trPr>
        <w:tc>
          <w:tcPr>
            <w:tcW w:w="3080" w:type="dxa"/>
            <w:vAlign w:val="bottom"/>
          </w:tcPr>
          <w:p>
            <w:pPr>
              <w:ind w:left="180"/>
              <w:spacing w:after="0"/>
              <w:rPr>
                <w:sz w:val="20"/>
                <w:szCs w:val="20"/>
                <w:color w:val="auto"/>
              </w:rPr>
            </w:pPr>
            <w:r>
              <w:rPr>
                <w:rFonts w:ascii="Arial" w:cs="Arial" w:eastAsia="Arial" w:hAnsi="Arial"/>
                <w:sz w:val="16"/>
                <w:szCs w:val="16"/>
                <w:color w:val="auto"/>
              </w:rPr>
              <w:t>cost)</w:t>
            </w:r>
          </w:p>
        </w:tc>
        <w:tc>
          <w:tcPr>
            <w:tcW w:w="26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080" w:type="dxa"/>
            <w:vAlign w:val="bottom"/>
          </w:tcPr>
          <w:p>
            <w:pPr>
              <w:ind w:left="20"/>
              <w:spacing w:after="0" w:line="162" w:lineRule="exact"/>
              <w:rPr>
                <w:sz w:val="20"/>
                <w:szCs w:val="20"/>
                <w:color w:val="auto"/>
              </w:rPr>
            </w:pPr>
            <w:r>
              <w:rPr>
                <w:rFonts w:ascii="Arial" w:cs="Arial" w:eastAsia="Arial" w:hAnsi="Arial"/>
                <w:sz w:val="16"/>
                <w:szCs w:val="16"/>
                <w:color w:val="auto"/>
              </w:rPr>
              <w:t>Yield (net investment income as a % of</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4.94 %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4.86 %</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5.12 %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0.08 %</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(0.26 %)</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080" w:type="dxa"/>
            <w:vAlign w:val="bottom"/>
          </w:tcPr>
          <w:p>
            <w:pPr>
              <w:ind w:left="180"/>
              <w:spacing w:after="0"/>
              <w:rPr>
                <w:sz w:val="20"/>
                <w:szCs w:val="20"/>
                <w:color w:val="auto"/>
              </w:rPr>
            </w:pPr>
            <w:r>
              <w:rPr>
                <w:rFonts w:ascii="Arial" w:cs="Arial" w:eastAsia="Arial" w:hAnsi="Arial"/>
                <w:sz w:val="16"/>
                <w:szCs w:val="16"/>
                <w:color w:val="auto"/>
              </w:rPr>
              <w:t>average invested assets)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20"/>
              <w:spacing w:after="0"/>
              <w:rPr>
                <w:sz w:val="20"/>
                <w:szCs w:val="20"/>
                <w:color w:val="auto"/>
              </w:rPr>
            </w:pPr>
            <w:r>
              <w:rPr>
                <w:rFonts w:ascii="Arial" w:cs="Arial" w:eastAsia="Arial" w:hAnsi="Arial"/>
                <w:sz w:val="16"/>
                <w:szCs w:val="16"/>
                <w:color w:val="auto"/>
              </w:rPr>
              <w:t>Tax equivalent yield (*)</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5.01 %</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4.96 %</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5.25 %</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0.05 %</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(0.29 %)</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00" w:hanging="392"/>
        <w:spacing w:after="0"/>
        <w:tabs>
          <w:tab w:leader="none" w:pos="4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Adjusts the yield on equity securities and tax-exempt bonds to the fully taxable equivalent yield.</w:t>
      </w:r>
    </w:p>
    <w:p>
      <w:pPr>
        <w:spacing w:after="0" w:line="250"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The increase in the property and casualty insurance segment’s net investment income in 2023 compared to 2022 reflects the impact of higher yields on fixed maturity investments and higher balances of invested assets, partially offset by lower returns on AFG’s alternative investments portfolio (partnerships and similar investments and AFG-managed CLOs) as compared to the very strong performance of this portfolio in the prior year period. The property and casualty insurance segment’s overall yield on investments (net investment income as a percentage of average invested assets) was 4.94% in 2023 compared to 4.86% in 2022, an increase of 0.08 percentage points reflecting higher yields on fixed maturity investments, partially offset by lower returns on alternative investments. The annualized return earned on alternative investments was 7.0% in 2023 compared to 13.2% in 2022.</w:t>
      </w:r>
    </w:p>
    <w:p>
      <w:pPr>
        <w:spacing w:after="0" w:line="209"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The increase in net investment income in 2022 compared to 2021 reflects higher average investments and higher yields on fixed maturities, partially offset by lower returns on AFG’s alternative investments as compared to the very strong performance of alternative investments in the prior year. The property and casualty insurance segment’s overall yield on investments was 4.86% in 2022 compared to 5.12% in 2021, a decrease of</w:t>
      </w:r>
    </w:p>
    <w:p>
      <w:pPr>
        <w:spacing w:after="0" w:line="2" w:lineRule="exact"/>
        <w:rPr>
          <w:sz w:val="20"/>
          <w:szCs w:val="20"/>
          <w:color w:val="auto"/>
        </w:rPr>
      </w:pPr>
    </w:p>
    <w:p>
      <w:pPr>
        <w:ind w:right="620"/>
        <w:spacing w:after="0" w:line="264" w:lineRule="auto"/>
        <w:rPr>
          <w:sz w:val="20"/>
          <w:szCs w:val="20"/>
          <w:color w:val="auto"/>
        </w:rPr>
      </w:pPr>
      <w:r>
        <w:rPr>
          <w:rFonts w:ascii="Arial" w:cs="Arial" w:eastAsia="Arial" w:hAnsi="Arial"/>
          <w:sz w:val="17"/>
          <w:szCs w:val="17"/>
          <w:color w:val="auto"/>
        </w:rPr>
        <w:t>0.26 percentage points as higher yields on fixed maturity investments were more than offset by lower returns on alternative investments. The annualized return earned on alternative investments was 13.2% in 2022 compared to 25.3%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8" w:name="page79"/>
    <w:bookmarkEnd w:id="7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Property and Casualty Other Income and Expenses, Net</w:t>
      </w:r>
    </w:p>
    <w:p>
      <w:pPr>
        <w:spacing w:after="0" w:line="3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Other income and expenses, net for AFG’s property and casualty insurance operations was a net expense of $56 million in 2023, $40 million in 2022 and $6 million in 2021, an increase of $16 million (40%) in 2023 compared to 2022 and an increase of $34 million (567%) in 2022 compared to 2021. The table below details the items included in other income and expenses, net for AFG’s property and casualty insurance operations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2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4"/>
                <w:szCs w:val="14"/>
                <w:color w:val="auto"/>
              </w:rPr>
              <w:t>Year ended December 31,</w:t>
            </w:r>
          </w:p>
        </w:tc>
        <w:tc>
          <w:tcPr>
            <w:tcW w:w="980" w:type="dxa"/>
            <w:vAlign w:val="bottom"/>
            <w:tcBorders>
              <w:bottom w:val="single" w:sz="8" w:color="auto"/>
            </w:tcBorders>
          </w:tcPr>
          <w:p>
            <w:pPr>
              <w:spacing w:after="0"/>
              <w:rPr>
                <w:sz w:val="16"/>
                <w:szCs w:val="16"/>
                <w:color w:val="auto"/>
              </w:rPr>
            </w:pPr>
          </w:p>
        </w:tc>
      </w:tr>
      <w:tr>
        <w:trPr>
          <w:trHeight w:val="196"/>
        </w:trPr>
        <w:tc>
          <w:tcPr>
            <w:tcW w:w="72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color w:val="auto"/>
              </w:rPr>
              <w:t>2023</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2021</w:t>
            </w:r>
          </w:p>
        </w:tc>
      </w:tr>
      <w:tr>
        <w:trPr>
          <w:trHeight w:val="200"/>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w:t>
            </w: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5"/>
        </w:trPr>
        <w:tc>
          <w:tcPr>
            <w:tcW w:w="7220" w:type="dxa"/>
            <w:vAlign w:val="bottom"/>
          </w:tcPr>
          <w:p>
            <w:pPr>
              <w:ind w:left="260"/>
              <w:spacing w:after="0"/>
              <w:rPr>
                <w:sz w:val="20"/>
                <w:szCs w:val="20"/>
                <w:color w:val="auto"/>
              </w:rPr>
            </w:pPr>
            <w:r>
              <w:rPr>
                <w:rFonts w:ascii="Arial" w:cs="Arial" w:eastAsia="Arial" w:hAnsi="Arial"/>
                <w:sz w:val="16"/>
                <w:szCs w:val="16"/>
                <w:color w:val="auto"/>
              </w:rPr>
              <w:t>Income related to the sale of real estate</w:t>
            </w:r>
          </w:p>
        </w:tc>
        <w:tc>
          <w:tcPr>
            <w:tcW w:w="880" w:type="dxa"/>
            <w:vAlign w:val="bottom"/>
          </w:tcPr>
          <w:p>
            <w:pPr>
              <w:jc w:val="right"/>
              <w:ind w:right="702"/>
              <w:spacing w:after="0"/>
              <w:rPr>
                <w:sz w:val="20"/>
                <w:szCs w:val="20"/>
                <w:color w:val="auto"/>
              </w:rPr>
            </w:pPr>
            <w:r>
              <w:rPr>
                <w:rFonts w:ascii="Arial" w:cs="Arial" w:eastAsia="Arial" w:hAnsi="Arial"/>
                <w:sz w:val="16"/>
                <w:szCs w:val="16"/>
                <w:color w:val="auto"/>
                <w:w w:val="89"/>
              </w:rPr>
              <w:t>$</w:t>
            </w: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7"/>
        </w:trPr>
        <w:tc>
          <w:tcPr>
            <w:tcW w:w="72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w:t>
            </w:r>
          </w:p>
        </w:tc>
        <w:tc>
          <w:tcPr>
            <w:tcW w:w="8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09"/>
        </w:trPr>
        <w:tc>
          <w:tcPr>
            <w:tcW w:w="72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other income</w:t>
            </w:r>
          </w:p>
        </w:tc>
        <w:tc>
          <w:tcPr>
            <w:tcW w:w="8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r>
      <w:tr>
        <w:trPr>
          <w:trHeight w:val="197"/>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expenses:</w:t>
            </w: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5"/>
        </w:trPr>
        <w:tc>
          <w:tcPr>
            <w:tcW w:w="7220" w:type="dxa"/>
            <w:vAlign w:val="bottom"/>
          </w:tcPr>
          <w:p>
            <w:pPr>
              <w:ind w:left="260"/>
              <w:spacing w:after="0"/>
              <w:rPr>
                <w:sz w:val="20"/>
                <w:szCs w:val="20"/>
                <w:color w:val="auto"/>
              </w:rPr>
            </w:pPr>
            <w:r>
              <w:rPr>
                <w:rFonts w:ascii="Arial" w:cs="Arial" w:eastAsia="Arial" w:hAnsi="Arial"/>
                <w:sz w:val="16"/>
                <w:szCs w:val="16"/>
                <w:color w:val="auto"/>
              </w:rPr>
              <w:t>Amortization of intangibles</w:t>
            </w:r>
          </w:p>
        </w:tc>
        <w:tc>
          <w:tcPr>
            <w:tcW w:w="8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7"/>
        </w:trPr>
        <w:tc>
          <w:tcPr>
            <w:tcW w:w="72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Interest expense on funds withheld</w:t>
            </w: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5"/>
        </w:trPr>
        <w:tc>
          <w:tcPr>
            <w:tcW w:w="7220" w:type="dxa"/>
            <w:vAlign w:val="bottom"/>
          </w:tcPr>
          <w:p>
            <w:pPr>
              <w:ind w:left="260"/>
              <w:spacing w:after="0"/>
              <w:rPr>
                <w:sz w:val="20"/>
                <w:szCs w:val="20"/>
                <w:color w:val="auto"/>
              </w:rPr>
            </w:pPr>
            <w:r>
              <w:rPr>
                <w:rFonts w:ascii="Arial" w:cs="Arial" w:eastAsia="Arial" w:hAnsi="Arial"/>
                <w:sz w:val="16"/>
                <w:szCs w:val="16"/>
                <w:color w:val="auto"/>
              </w:rPr>
              <w:t>Acquisition expenses related to CRS</w:t>
            </w:r>
          </w:p>
        </w:tc>
        <w:tc>
          <w:tcPr>
            <w:tcW w:w="8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2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 (*)</w:t>
            </w:r>
          </w:p>
        </w:tc>
        <w:tc>
          <w:tcPr>
            <w:tcW w:w="8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9"/>
        </w:trPr>
        <w:tc>
          <w:tcPr>
            <w:tcW w:w="72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other expenses</w:t>
            </w:r>
          </w:p>
        </w:tc>
        <w:tc>
          <w:tcPr>
            <w:tcW w:w="8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r>
      <w:tr>
        <w:trPr>
          <w:trHeight w:val="235"/>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and expenses, net</w:t>
            </w:r>
          </w:p>
        </w:tc>
        <w:tc>
          <w:tcPr>
            <w:tcW w:w="880" w:type="dxa"/>
            <w:vAlign w:val="bottom"/>
            <w:tcBorders>
              <w:bottom w:val="single" w:sz="8" w:color="auto"/>
            </w:tcBorders>
            <w:shd w:val="clear" w:color="auto" w:fill="CCEEFF"/>
          </w:tcPr>
          <w:p>
            <w:pPr>
              <w:jc w:val="right"/>
              <w:ind w:right="702"/>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400" w:hanging="392"/>
        <w:spacing w:after="0"/>
        <w:tabs>
          <w:tab w:leader="none" w:pos="4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Includes $9 million of expenses in both 2023 and 2022 related to certain technology initiatives.</w:t>
      </w:r>
    </w:p>
    <w:p>
      <w:pPr>
        <w:spacing w:after="0" w:line="250" w:lineRule="exact"/>
        <w:rPr>
          <w:sz w:val="20"/>
          <w:szCs w:val="20"/>
          <w:color w:val="auto"/>
        </w:rPr>
      </w:pPr>
    </w:p>
    <w:p>
      <w:pPr>
        <w:jc w:val="both"/>
        <w:ind w:right="260"/>
        <w:spacing w:after="0" w:line="266" w:lineRule="auto"/>
        <w:rPr>
          <w:sz w:val="20"/>
          <w:szCs w:val="20"/>
          <w:color w:val="auto"/>
        </w:rPr>
      </w:pPr>
      <w:r>
        <w:rPr>
          <w:rFonts w:ascii="Arial" w:cs="Arial" w:eastAsia="Arial" w:hAnsi="Arial"/>
          <w:sz w:val="17"/>
          <w:szCs w:val="17"/>
          <w:color w:val="auto"/>
        </w:rPr>
        <w:t>The higher amortization of intangibles in 2023 compared to 2022 and 2022 compared to 2021 reflects the acquisition of CRS in July 2023 and the acquisition of Verikai in December 2021, respectively. The $12 million (41%) increase in interest expense on funds withheld in 2023 compared to 2022 reflects the impact of higher interest rates.</w:t>
      </w:r>
    </w:p>
    <w:p>
      <w:pPr>
        <w:spacing w:after="0" w:line="212" w:lineRule="exact"/>
        <w:rPr>
          <w:sz w:val="20"/>
          <w:szCs w:val="20"/>
          <w:color w:val="auto"/>
        </w:rPr>
      </w:pPr>
    </w:p>
    <w:p>
      <w:pPr>
        <w:spacing w:after="0"/>
        <w:rPr>
          <w:sz w:val="20"/>
          <w:szCs w:val="20"/>
          <w:color w:val="auto"/>
        </w:rPr>
      </w:pPr>
      <w:r>
        <w:rPr>
          <w:rFonts w:ascii="Arial" w:cs="Arial" w:eastAsia="Arial" w:hAnsi="Arial"/>
          <w:sz w:val="25"/>
          <w:szCs w:val="25"/>
          <w:b w:val="1"/>
          <w:bCs w:val="1"/>
          <w:color w:val="00274E"/>
        </w:rPr>
        <w:t>Holding Company, Other and Unallocated — Results of Operations</w:t>
      </w:r>
    </w:p>
    <w:p>
      <w:pPr>
        <w:spacing w:after="0" w:line="28" w:lineRule="exact"/>
        <w:rPr>
          <w:sz w:val="20"/>
          <w:szCs w:val="20"/>
          <w:color w:val="auto"/>
        </w:rPr>
      </w:pPr>
    </w:p>
    <w:p>
      <w:pPr>
        <w:jc w:val="both"/>
        <w:ind w:right="280"/>
        <w:spacing w:after="0" w:line="256" w:lineRule="auto"/>
        <w:rPr>
          <w:sz w:val="20"/>
          <w:szCs w:val="20"/>
          <w:color w:val="auto"/>
        </w:rPr>
      </w:pPr>
      <w:r>
        <w:rPr>
          <w:rFonts w:ascii="Arial" w:cs="Arial" w:eastAsia="Arial" w:hAnsi="Arial"/>
          <w:sz w:val="17"/>
          <w:szCs w:val="17"/>
          <w:color w:val="auto"/>
        </w:rPr>
        <w:t>AFG’s net GAAP pretax loss outside of its property and casualty insurance segment (excluding realized gains and losses) totaled $191 million in 2023 compared to $180 million in 2022, an increase of $11 million (6%). AFG’s net core pretax loss outside of its property and casualty insurance segment (excluding realized gains and losses) totaled $177 million in 2023 compared to $171 million in 2022, an increase of $6 million (4%).</w:t>
      </w:r>
    </w:p>
    <w:p>
      <w:pPr>
        <w:spacing w:after="0" w:line="222"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AFG’s net GAAP pretax loss outside of its property and casualty insurance segment (excluding realized gains and losses) totaled $180 million in 2022 compared to $219 million in 2021, a decrease of $39 million (18%). AFG’s net core pretax loss outside of its property and casualty insurance segment (excluding realized gains and losses) totaled $171 million in 2022 compared to $208 million in 2021, a decrease of $37 million (18%).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9" w:name="page80"/>
    <w:bookmarkEnd w:id="7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60"/>
        <w:spacing w:after="0" w:line="281" w:lineRule="auto"/>
        <w:rPr>
          <w:sz w:val="20"/>
          <w:szCs w:val="20"/>
          <w:color w:val="auto"/>
        </w:rPr>
      </w:pPr>
      <w:r>
        <w:rPr>
          <w:rFonts w:ascii="Arial" w:cs="Arial" w:eastAsia="Arial" w:hAnsi="Arial"/>
          <w:sz w:val="17"/>
          <w:szCs w:val="17"/>
          <w:color w:val="auto"/>
        </w:rPr>
        <w:t>The following table details AFG’s GAAP and core loss from continuing operations before income taxes from operations outside of its property and casualty insurance segment in 2023, 2022 and 2021 (dollars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7"/>
          </w:tcPr>
          <w:p>
            <w:pPr>
              <w:jc w:val="right"/>
              <w:ind w:right="400"/>
              <w:spacing w:after="0"/>
              <w:rPr>
                <w:sz w:val="20"/>
                <w:szCs w:val="20"/>
                <w:color w:val="auto"/>
              </w:rPr>
            </w:pPr>
            <w:r>
              <w:rPr>
                <w:rFonts w:ascii="Arial" w:cs="Arial" w:eastAsia="Arial" w:hAnsi="Arial"/>
                <w:sz w:val="14"/>
                <w:szCs w:val="14"/>
                <w:color w:val="auto"/>
              </w:rPr>
              <w:t>Year ended December 31,</w:t>
            </w:r>
          </w:p>
        </w:tc>
        <w:tc>
          <w:tcPr>
            <w:tcW w:w="100" w:type="dxa"/>
            <w:vAlign w:val="bottom"/>
          </w:tcPr>
          <w:p>
            <w:pPr>
              <w:spacing w:after="0"/>
              <w:rPr>
                <w:sz w:val="16"/>
                <w:szCs w:val="16"/>
                <w:color w:val="auto"/>
              </w:rPr>
            </w:pPr>
          </w:p>
        </w:tc>
        <w:tc>
          <w:tcPr>
            <w:tcW w:w="2520" w:type="dxa"/>
            <w:vAlign w:val="bottom"/>
            <w:tcBorders>
              <w:bottom w:val="single" w:sz="8" w:color="auto"/>
            </w:tcBorders>
            <w:gridSpan w:val="3"/>
          </w:tcPr>
          <w:p>
            <w:pPr>
              <w:jc w:val="right"/>
              <w:ind w:right="84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96"/>
        </w:trPr>
        <w:tc>
          <w:tcPr>
            <w:tcW w:w="6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180"/>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160"/>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160"/>
              <w:spacing w:after="0"/>
              <w:rPr>
                <w:sz w:val="20"/>
                <w:szCs w:val="20"/>
                <w:color w:val="auto"/>
              </w:rPr>
            </w:pPr>
            <w:r>
              <w:rPr>
                <w:rFonts w:ascii="Arial" w:cs="Arial" w:eastAsia="Arial" w:hAnsi="Arial"/>
                <w:sz w:val="14"/>
                <w:szCs w:val="14"/>
                <w:color w:val="auto"/>
              </w:rPr>
              <w:t>2021</w:t>
            </w:r>
          </w:p>
        </w:tc>
        <w:tc>
          <w:tcPr>
            <w:tcW w:w="1320" w:type="dxa"/>
            <w:vAlign w:val="bottom"/>
            <w:gridSpan w:val="2"/>
          </w:tcPr>
          <w:p>
            <w:pPr>
              <w:jc w:val="right"/>
              <w:ind w:right="162"/>
              <w:spacing w:after="0"/>
              <w:rPr>
                <w:sz w:val="20"/>
                <w:szCs w:val="20"/>
                <w:color w:val="auto"/>
              </w:rPr>
            </w:pPr>
            <w:r>
              <w:rPr>
                <w:rFonts w:ascii="Arial" w:cs="Arial" w:eastAsia="Arial" w:hAnsi="Arial"/>
                <w:sz w:val="14"/>
                <w:szCs w:val="14"/>
                <w:color w:val="auto"/>
              </w:rPr>
              <w:t>2023 - 2022</w:t>
            </w:r>
          </w:p>
        </w:tc>
        <w:tc>
          <w:tcPr>
            <w:tcW w:w="80" w:type="dxa"/>
            <w:vAlign w:val="bottom"/>
          </w:tcPr>
          <w:p>
            <w:pPr>
              <w:spacing w:after="0"/>
              <w:rPr>
                <w:sz w:val="17"/>
                <w:szCs w:val="17"/>
                <w:color w:val="auto"/>
              </w:rPr>
            </w:pPr>
          </w:p>
        </w:tc>
        <w:tc>
          <w:tcPr>
            <w:tcW w:w="1220" w:type="dxa"/>
            <w:vAlign w:val="bottom"/>
          </w:tcPr>
          <w:p>
            <w:pPr>
              <w:jc w:val="right"/>
              <w:ind w:right="140"/>
              <w:spacing w:after="0"/>
              <w:rPr>
                <w:sz w:val="20"/>
                <w:szCs w:val="20"/>
                <w:color w:val="auto"/>
              </w:rPr>
            </w:pPr>
            <w:r>
              <w:rPr>
                <w:rFonts w:ascii="Arial" w:cs="Arial" w:eastAsia="Arial" w:hAnsi="Arial"/>
                <w:sz w:val="14"/>
                <w:szCs w:val="14"/>
                <w:color w:val="auto"/>
              </w:rPr>
              <w:t>2022 - 2021</w:t>
            </w:r>
          </w:p>
        </w:tc>
        <w:tc>
          <w:tcPr>
            <w:tcW w:w="0" w:type="dxa"/>
            <w:vAlign w:val="bottom"/>
          </w:tcPr>
          <w:p>
            <w:pPr>
              <w:spacing w:after="0"/>
              <w:rPr>
                <w:sz w:val="1"/>
                <w:szCs w:val="1"/>
                <w:color w:val="auto"/>
              </w:rPr>
            </w:pPr>
          </w:p>
        </w:tc>
      </w:tr>
      <w:tr>
        <w:trPr>
          <w:trHeight w:val="200"/>
        </w:trPr>
        <w:tc>
          <w:tcPr>
            <w:tcW w:w="6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000" w:type="dxa"/>
            <w:vAlign w:val="bottom"/>
          </w:tcPr>
          <w:p>
            <w:pPr>
              <w:ind w:left="240"/>
              <w:spacing w:after="0"/>
              <w:rPr>
                <w:sz w:val="20"/>
                <w:szCs w:val="20"/>
                <w:color w:val="auto"/>
              </w:rPr>
            </w:pPr>
            <w:r>
              <w:rPr>
                <w:rFonts w:ascii="Arial" w:cs="Arial" w:eastAsia="Arial" w:hAnsi="Arial"/>
                <w:sz w:val="16"/>
                <w:szCs w:val="16"/>
                <w:color w:val="auto"/>
              </w:rPr>
              <w:t>Net investment income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36</w:t>
            </w:r>
          </w:p>
        </w:tc>
        <w:tc>
          <w:tcPr>
            <w:tcW w:w="1320" w:type="dxa"/>
            <w:vAlign w:val="bottom"/>
            <w:gridSpan w:val="2"/>
          </w:tcPr>
          <w:p>
            <w:pPr>
              <w:jc w:val="right"/>
              <w:ind w:right="2"/>
              <w:spacing w:after="0"/>
              <w:rPr>
                <w:sz w:val="20"/>
                <w:szCs w:val="20"/>
                <w:color w:val="auto"/>
              </w:rPr>
            </w:pPr>
            <w:r>
              <w:rPr>
                <w:rFonts w:ascii="Arial" w:cs="Arial" w:eastAsia="Arial" w:hAnsi="Arial"/>
                <w:sz w:val="16"/>
                <w:szCs w:val="16"/>
                <w:color w:val="auto"/>
              </w:rPr>
              <w:t>67 %</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(33 %)</w:t>
            </w:r>
          </w:p>
        </w:tc>
        <w:tc>
          <w:tcPr>
            <w:tcW w:w="0" w:type="dxa"/>
            <w:vAlign w:val="bottom"/>
          </w:tcPr>
          <w:p>
            <w:pPr>
              <w:spacing w:after="0"/>
              <w:rPr>
                <w:sz w:val="1"/>
                <w:szCs w:val="1"/>
                <w:color w:val="auto"/>
              </w:rPr>
            </w:pPr>
          </w:p>
        </w:tc>
      </w:tr>
      <w:tr>
        <w:trPr>
          <w:trHeight w:val="217"/>
        </w:trPr>
        <w:tc>
          <w:tcPr>
            <w:tcW w:w="6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income — P&amp;C fees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32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40 %</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15"/>
        </w:trPr>
        <w:tc>
          <w:tcPr>
            <w:tcW w:w="60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income</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(36 %)</w:t>
            </w:r>
          </w:p>
        </w:tc>
        <w:tc>
          <w:tcPr>
            <w:tcW w:w="8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50 %</w:t>
            </w: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revenues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32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27 %</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6 %</w:t>
            </w: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00" w:type="dxa"/>
            <w:vAlign w:val="bottom"/>
          </w:tcPr>
          <w:p>
            <w:pPr>
              <w:ind w:left="180"/>
              <w:spacing w:after="0"/>
              <w:rPr>
                <w:sz w:val="20"/>
                <w:szCs w:val="20"/>
                <w:color w:val="auto"/>
              </w:rPr>
            </w:pPr>
            <w:r>
              <w:rPr>
                <w:rFonts w:ascii="Arial" w:cs="Arial" w:eastAsia="Arial" w:hAnsi="Arial"/>
                <w:sz w:val="16"/>
                <w:szCs w:val="16"/>
                <w:color w:val="auto"/>
              </w:rPr>
              <w:t>Property and casualty insurance — loss adjustment and underwriting expenses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w:t>
            </w:r>
          </w:p>
        </w:tc>
        <w:tc>
          <w:tcPr>
            <w:tcW w:w="1320" w:type="dxa"/>
            <w:vAlign w:val="bottom"/>
            <w:gridSpan w:val="2"/>
          </w:tcPr>
          <w:p>
            <w:pPr>
              <w:jc w:val="right"/>
              <w:ind w:right="2"/>
              <w:spacing w:after="0"/>
              <w:rPr>
                <w:sz w:val="20"/>
                <w:szCs w:val="20"/>
                <w:color w:val="auto"/>
              </w:rPr>
            </w:pPr>
            <w:r>
              <w:rPr>
                <w:rFonts w:ascii="Arial" w:cs="Arial" w:eastAsia="Arial" w:hAnsi="Arial"/>
                <w:sz w:val="16"/>
                <w:szCs w:val="16"/>
                <w:color w:val="auto"/>
              </w:rPr>
              <w:t>79 %</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17"/>
        </w:trPr>
        <w:tc>
          <w:tcPr>
            <w:tcW w:w="6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expense — expenses associated with P&amp;C fees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32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12 %</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215"/>
        </w:trPr>
        <w:tc>
          <w:tcPr>
            <w:tcW w:w="60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expenses (*)</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1320" w:type="dxa"/>
            <w:vAlign w:val="bottom"/>
            <w:tcBorders>
              <w:bottom w:val="single" w:sz="8" w:color="CCEEFF"/>
            </w:tcBorders>
            <w:gridSpan w:val="2"/>
          </w:tcPr>
          <w:p>
            <w:pPr>
              <w:jc w:val="right"/>
              <w:ind w:right="2"/>
              <w:spacing w:after="0"/>
              <w:rPr>
                <w:sz w:val="20"/>
                <w:szCs w:val="20"/>
                <w:color w:val="auto"/>
              </w:rPr>
            </w:pPr>
            <w:r>
              <w:rPr>
                <w:rFonts w:ascii="Arial" w:cs="Arial" w:eastAsia="Arial" w:hAnsi="Arial"/>
                <w:sz w:val="16"/>
                <w:szCs w:val="16"/>
                <w:color w:val="auto"/>
              </w:rPr>
              <w:t>13 %</w:t>
            </w:r>
          </w:p>
        </w:tc>
        <w:tc>
          <w:tcPr>
            <w:tcW w:w="8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Costs and expenses, excluding interest charges on borrowed money</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32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24 %</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142"/>
        </w:trPr>
        <w:tc>
          <w:tcPr>
            <w:tcW w:w="6000" w:type="dxa"/>
            <w:vAlign w:val="bottom"/>
          </w:tcPr>
          <w:p>
            <w:pPr>
              <w:ind w:left="20"/>
              <w:spacing w:after="0" w:line="142" w:lineRule="exact"/>
              <w:rPr>
                <w:sz w:val="20"/>
                <w:szCs w:val="20"/>
                <w:color w:val="auto"/>
              </w:rPr>
            </w:pPr>
            <w:r>
              <w:rPr>
                <w:rFonts w:ascii="Arial" w:cs="Arial" w:eastAsia="Arial" w:hAnsi="Arial"/>
                <w:sz w:val="16"/>
                <w:szCs w:val="16"/>
                <w:color w:val="auto"/>
              </w:rPr>
              <w:t>Loss before income taxes, excluding realized gains and losses and interest</w:t>
            </w:r>
          </w:p>
        </w:tc>
        <w:tc>
          <w:tcPr>
            <w:tcW w:w="1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(101)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(114)</w:t>
            </w:r>
          </w:p>
        </w:tc>
        <w:tc>
          <w:tcPr>
            <w:tcW w:w="1320" w:type="dxa"/>
            <w:vAlign w:val="bottom"/>
            <w:gridSpan w:val="2"/>
            <w:vMerge w:val="restart"/>
          </w:tcPr>
          <w:p>
            <w:pPr>
              <w:jc w:val="right"/>
              <w:ind w:right="2"/>
              <w:spacing w:after="0"/>
              <w:rPr>
                <w:sz w:val="20"/>
                <w:szCs w:val="20"/>
                <w:color w:val="auto"/>
              </w:rPr>
            </w:pPr>
            <w:r>
              <w:rPr>
                <w:rFonts w:ascii="Arial" w:cs="Arial" w:eastAsia="Arial" w:hAnsi="Arial"/>
                <w:sz w:val="16"/>
                <w:szCs w:val="16"/>
                <w:color w:val="auto"/>
              </w:rPr>
              <w:t>17 %</w:t>
            </w:r>
          </w:p>
        </w:tc>
        <w:tc>
          <w:tcPr>
            <w:tcW w:w="8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15"/>
        </w:trPr>
        <w:tc>
          <w:tcPr>
            <w:tcW w:w="6000" w:type="dxa"/>
            <w:vAlign w:val="bottom"/>
          </w:tcPr>
          <w:p>
            <w:pPr>
              <w:ind w:left="180"/>
              <w:spacing w:after="0"/>
              <w:rPr>
                <w:sz w:val="20"/>
                <w:szCs w:val="20"/>
                <w:color w:val="auto"/>
              </w:rPr>
            </w:pPr>
            <w:r>
              <w:rPr>
                <w:rFonts w:ascii="Arial" w:cs="Arial" w:eastAsia="Arial" w:hAnsi="Arial"/>
                <w:sz w:val="16"/>
                <w:szCs w:val="16"/>
                <w:color w:val="auto"/>
              </w:rPr>
              <w:t>charges on borrowed money</w:t>
            </w:r>
          </w:p>
        </w:tc>
        <w:tc>
          <w:tcPr>
            <w:tcW w:w="1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charges on borrowed money</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142"/>
        </w:trPr>
        <w:tc>
          <w:tcPr>
            <w:tcW w:w="6000" w:type="dxa"/>
            <w:vAlign w:val="bottom"/>
          </w:tcPr>
          <w:p>
            <w:pPr>
              <w:ind w:left="20"/>
              <w:spacing w:after="0" w:line="142" w:lineRule="exact"/>
              <w:rPr>
                <w:sz w:val="20"/>
                <w:szCs w:val="20"/>
                <w:color w:val="auto"/>
              </w:rPr>
            </w:pPr>
            <w:r>
              <w:rPr>
                <w:rFonts w:ascii="Arial" w:cs="Arial" w:eastAsia="Arial" w:hAnsi="Arial"/>
                <w:sz w:val="16"/>
                <w:szCs w:val="16"/>
                <w:b w:val="1"/>
                <w:bCs w:val="1"/>
                <w:color w:val="auto"/>
              </w:rPr>
              <w:t>Core loss from continuing operations before income taxes, excluding</w:t>
            </w:r>
          </w:p>
        </w:tc>
        <w:tc>
          <w:tcPr>
            <w:tcW w:w="1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(177)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(208)</w:t>
            </w:r>
          </w:p>
        </w:tc>
        <w:tc>
          <w:tcPr>
            <w:tcW w:w="1320" w:type="dxa"/>
            <w:vAlign w:val="bottom"/>
            <w:gridSpan w:val="2"/>
            <w:vMerge w:val="restart"/>
          </w:tcPr>
          <w:p>
            <w:pPr>
              <w:jc w:val="right"/>
              <w:ind w:right="2"/>
              <w:spacing w:after="0"/>
              <w:rPr>
                <w:sz w:val="20"/>
                <w:szCs w:val="20"/>
                <w:color w:val="auto"/>
              </w:rPr>
            </w:pPr>
            <w:r>
              <w:rPr>
                <w:rFonts w:ascii="Arial" w:cs="Arial" w:eastAsia="Arial" w:hAnsi="Arial"/>
                <w:sz w:val="16"/>
                <w:szCs w:val="16"/>
                <w:color w:val="auto"/>
              </w:rPr>
              <w:t>4 %</w:t>
            </w:r>
          </w:p>
        </w:tc>
        <w:tc>
          <w:tcPr>
            <w:tcW w:w="8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16"/>
        </w:trPr>
        <w:tc>
          <w:tcPr>
            <w:tcW w:w="6000" w:type="dxa"/>
            <w:vAlign w:val="bottom"/>
          </w:tcPr>
          <w:p>
            <w:pPr>
              <w:ind w:left="180"/>
              <w:spacing w:after="0"/>
              <w:rPr>
                <w:sz w:val="20"/>
                <w:szCs w:val="20"/>
                <w:color w:val="auto"/>
              </w:rPr>
            </w:pPr>
            <w:r>
              <w:rPr>
                <w:rFonts w:ascii="Arial" w:cs="Arial" w:eastAsia="Arial" w:hAnsi="Arial"/>
                <w:sz w:val="16"/>
                <w:szCs w:val="16"/>
                <w:b w:val="1"/>
                <w:bCs w:val="1"/>
                <w:color w:val="auto"/>
              </w:rPr>
              <w:t>realized gains and losses</w:t>
            </w:r>
          </w:p>
        </w:tc>
        <w:tc>
          <w:tcPr>
            <w:tcW w:w="1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non-core special A&amp;E charge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 %</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5"/>
        </w:trPr>
        <w:tc>
          <w:tcPr>
            <w:tcW w:w="6000" w:type="dxa"/>
            <w:vAlign w:val="bottom"/>
          </w:tcPr>
          <w:p>
            <w:pPr>
              <w:ind w:left="20"/>
              <w:spacing w:after="0"/>
              <w:rPr>
                <w:sz w:val="20"/>
                <w:szCs w:val="20"/>
                <w:color w:val="auto"/>
              </w:rPr>
            </w:pPr>
            <w:r>
              <w:rPr>
                <w:rFonts w:ascii="Arial" w:cs="Arial" w:eastAsia="Arial" w:hAnsi="Arial"/>
                <w:sz w:val="16"/>
                <w:szCs w:val="16"/>
                <w:color w:val="auto"/>
              </w:rPr>
              <w:t>Pretax non-core gain (loss) on retirement of debt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(111 %)</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7"/>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non-core loss on pension settlement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 %</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142"/>
        </w:trPr>
        <w:tc>
          <w:tcPr>
            <w:tcW w:w="6000" w:type="dxa"/>
            <w:vAlign w:val="bottom"/>
          </w:tcPr>
          <w:p>
            <w:pPr>
              <w:ind w:left="20"/>
              <w:spacing w:after="0" w:line="142" w:lineRule="exact"/>
              <w:rPr>
                <w:sz w:val="20"/>
                <w:szCs w:val="20"/>
                <w:color w:val="auto"/>
              </w:rPr>
            </w:pPr>
            <w:r>
              <w:rPr>
                <w:rFonts w:ascii="Arial" w:cs="Arial" w:eastAsia="Arial" w:hAnsi="Arial"/>
                <w:sz w:val="16"/>
                <w:szCs w:val="16"/>
                <w:b w:val="1"/>
                <w:bCs w:val="1"/>
                <w:color w:val="auto"/>
              </w:rPr>
              <w:t>GAAP loss from continuing operations before income taxes, excluding</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(191)</w:t>
            </w:r>
          </w:p>
        </w:tc>
        <w:tc>
          <w:tcPr>
            <w:tcW w:w="80" w:type="dxa"/>
            <w:vAlign w:val="bottom"/>
          </w:tcPr>
          <w:p>
            <w:pPr>
              <w:spacing w:after="0"/>
              <w:rPr>
                <w:sz w:val="12"/>
                <w:szCs w:val="12"/>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2"/>
                <w:szCs w:val="12"/>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(219)</w:t>
            </w:r>
          </w:p>
        </w:tc>
        <w:tc>
          <w:tcPr>
            <w:tcW w:w="1320" w:type="dxa"/>
            <w:vAlign w:val="bottom"/>
            <w:gridSpan w:val="2"/>
            <w:vMerge w:val="restart"/>
          </w:tcPr>
          <w:p>
            <w:pPr>
              <w:jc w:val="right"/>
              <w:ind w:right="2"/>
              <w:spacing w:after="0"/>
              <w:rPr>
                <w:sz w:val="20"/>
                <w:szCs w:val="20"/>
                <w:color w:val="auto"/>
              </w:rPr>
            </w:pPr>
            <w:r>
              <w:rPr>
                <w:rFonts w:ascii="Arial" w:cs="Arial" w:eastAsia="Arial" w:hAnsi="Arial"/>
                <w:sz w:val="16"/>
                <w:szCs w:val="16"/>
                <w:color w:val="auto"/>
              </w:rPr>
              <w:t>6 %</w:t>
            </w:r>
          </w:p>
        </w:tc>
        <w:tc>
          <w:tcPr>
            <w:tcW w:w="8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194"/>
        </w:trPr>
        <w:tc>
          <w:tcPr>
            <w:tcW w:w="6000" w:type="dxa"/>
            <w:vAlign w:val="bottom"/>
          </w:tcPr>
          <w:p>
            <w:pPr>
              <w:ind w:left="180"/>
              <w:spacing w:after="0"/>
              <w:rPr>
                <w:sz w:val="20"/>
                <w:szCs w:val="20"/>
                <w:color w:val="auto"/>
              </w:rPr>
            </w:pPr>
            <w:r>
              <w:rPr>
                <w:rFonts w:ascii="Arial" w:cs="Arial" w:eastAsia="Arial" w:hAnsi="Arial"/>
                <w:sz w:val="16"/>
                <w:szCs w:val="16"/>
                <w:b w:val="1"/>
                <w:bCs w:val="1"/>
                <w:color w:val="auto"/>
              </w:rPr>
              <w:t>realized gains and losses</w:t>
            </w:r>
          </w:p>
        </w:tc>
        <w:tc>
          <w:tcPr>
            <w:tcW w:w="18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20" w:right="80" w:hanging="412"/>
        <w:spacing w:after="0" w:line="274" w:lineRule="auto"/>
        <w:tabs>
          <w:tab w:leader="none" w:pos="411" w:val="left"/>
        </w:tabs>
        <w:numPr>
          <w:ilvl w:val="0"/>
          <w:numId w:val="33"/>
        </w:numPr>
        <w:rPr>
          <w:rFonts w:ascii="Arial" w:cs="Arial" w:eastAsia="Arial" w:hAnsi="Arial"/>
          <w:sz w:val="17"/>
          <w:szCs w:val="17"/>
          <w:color w:val="auto"/>
        </w:rPr>
      </w:pPr>
      <w:r>
        <w:rPr>
          <w:rFonts w:ascii="Arial" w:cs="Arial" w:eastAsia="Arial" w:hAnsi="Arial"/>
          <w:sz w:val="17"/>
          <w:szCs w:val="17"/>
          <w:color w:val="auto"/>
        </w:rPr>
        <w:t>Excludes a pretax non-core special A&amp;E charge of $15 million and a pretax non-core gain on retirement of debt of $1 million in 2023, a pretax non-core loss on retirement of debt of $9 million in 2022 and a pretax non-core loss of $11 million related to the settlement of pension liabilities of a small former manufacturing operation in 2021.</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Holding Company and Other — Net Investment Income</w:t>
      </w:r>
    </w:p>
    <w:p>
      <w:pPr>
        <w:spacing w:after="0" w:line="30"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AFG recorded net investment income on investments held outside of its property and casualty insurance segment of $40 million, $24 million and $36 million in 2023, 2022 and 2021, respectively. The $16 million (67%) increase in 2023 compared to 2022 and the $12 million (33%) decrease in 2022 compared to 2021 reflect the impact of a small portfolio of securities held at the holding company that were carried at fair value through net investment income. These securities, all of which were sold in 2022, declined in value by $7 million in 2022 and increased in value by $14 million in 2021. Excluding the change in fair value of these equity securities, net investment income outside of AFG’s property and casualty insurance segment increased $9 million in 2023 compared to 2022 reflecting the impact of higher interest rates on cash and fixed maturity investments, partially offset by lower average investment balances and increased $9 million in 2022 compared to 2021 reflecting an increase in average investments, income from directly owned real estate investments acquired from the annuity subsidiaries in conjunction with the sale of the annuity business in May 2021 and the impact of higher interest rates.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Holding Company and Other — P&amp;C Fees and Related Expenses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Summit, a workers’ compensation insurance subsidiary, collects fees from a small group of unaffiliated insurers for providing underwriting, policy</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administration and claims services. In addition, certain of AFG’s property and casualty insurance businesses collect fees from customers for ancillary</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services such as workplace safety programs and premium financing. In 2023, AFG collected $91 million in fees for these services compared to</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$82 million in 2022 and $73 million in 2021. Management views this fee income, net of the $57 million in 2023, $51 million in 2022 and $47 million in</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2021, in expenses incurred to generate such fees, as a reduction in the cost of underwriting its property and casualty insurance policies. In addition,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AFG’s property and casualty insurance businesses earned $34 million in fees as compensation for providing services during the second half of 2023</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related to the administration of crop insurance business generated by CRS for its former owner prior to the acquisition date and $7 million in fees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from AFG’s disposed annuity operations in both 2022 and 2021 as compensation for certain services provided under a transition services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agreement. The expenses related to providing such services are embedded in property and casualty underwriting expenses. Consistent with internal</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management reporting, these fees and the related expenses are netted and recorded as a reduction of loss adjustment and other underwriting</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expenses in AFG’s segmented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0" w:name="page81"/>
    <w:bookmarkEnd w:id="8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Holding Company and Other — Other Income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Other income in the table above includes $16 million in 2023, $17 million in 2022 and $16 million in 2021, in management fees paid to AFG by the</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AFG-managed CLOs (AFG’s consolidated managed investment entities). The management fees are eliminated in consolidation — see the other</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income line in the Consolidated MIEs column under </w:t>
      </w:r>
      <w:r>
        <w:rPr>
          <w:rFonts w:ascii="Arial" w:cs="Arial" w:eastAsia="Arial" w:hAnsi="Arial"/>
          <w:sz w:val="17"/>
          <w:szCs w:val="17"/>
          <w:i w:val="1"/>
          <w:iCs w:val="1"/>
          <w:color w:val="auto"/>
        </w:rPr>
        <w:t>“Results of Operations — Segmented Statement of Earnings.”</w:t>
      </w:r>
      <w:r>
        <w:rPr>
          <w:rFonts w:ascii="Arial" w:cs="Arial" w:eastAsia="Arial" w:hAnsi="Arial"/>
          <w:sz w:val="17"/>
          <w:szCs w:val="17"/>
          <w:color w:val="auto"/>
        </w:rPr>
        <w:t xml:space="preserve"> Excluding amounts eliminated in</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consolidation, AFG recorded other income outside of its property and casualty insurance segment of $5 million in 2023, $16 million in 2022 and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$6 million in 2021. The decrease in 2023 compared to 2022 and the increase in 2022 compared to 2021 is due primarily to income from the sale of</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real estate in 2022.</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Holding Company and Other — Other Expenses</w:t>
      </w:r>
    </w:p>
    <w:p>
      <w:pPr>
        <w:spacing w:after="0" w:line="17"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Excluding the non-core special A&amp;E charge and the non-core gain (loss) on retirement of debt discussed below, AFG’s holding companies and other operations outside of its property and casualty insurance segment recorded other expenses of $162 million in 2023 compared to $143 million in 2022, an increase of $19 million (13%) reflecting the favorable impact of poor stock market performance in 2022 on expenses related to deferred compensation obligations to employees that are tied to stock market performance. To mitigate the impact of fair value changes related to the equity components of these obligations, AFG entered into a total return swap in the second half of 2022.</w:t>
      </w:r>
    </w:p>
    <w:p>
      <w:pPr>
        <w:spacing w:after="0" w:line="210"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Excluding the non-core loss on retirement of debt and the non-core loss on pension settlement discussed below, AFG’s holding companies and other operations outside of its property and casualty insurance segment recorded other expenses of $143 million in 2022 compared to $172 million in 2021, a decrease of $29 million (17%). This decrease reflects lower holding company expenses related to deferred compensation obligations to employees that are tied to stock market performance, partially offset by higher charges (included in AFG’s core operating earnings) to increase the liabilities related to the A&amp;E exposures of AFG’s former railroad and manufacturing operations.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Holding Company and Other — Interest Charges on Borrowed Money</w:t>
      </w:r>
    </w:p>
    <w:p>
      <w:pPr>
        <w:spacing w:after="0" w:line="30" w:lineRule="exact"/>
        <w:rPr>
          <w:sz w:val="20"/>
          <w:szCs w:val="20"/>
          <w:color w:val="auto"/>
        </w:rPr>
      </w:pPr>
    </w:p>
    <w:p>
      <w:pPr>
        <w:ind w:right="180"/>
        <w:spacing w:after="0" w:line="254" w:lineRule="auto"/>
        <w:rPr>
          <w:sz w:val="20"/>
          <w:szCs w:val="20"/>
          <w:color w:val="auto"/>
        </w:rPr>
      </w:pPr>
      <w:r>
        <w:rPr>
          <w:rFonts w:ascii="Arial" w:cs="Arial" w:eastAsia="Arial" w:hAnsi="Arial"/>
          <w:sz w:val="17"/>
          <w:szCs w:val="17"/>
          <w:color w:val="auto"/>
        </w:rPr>
        <w:t>AFG’s holding companies and other operations outside of its property and casualty insurance segment recorded interest expense of $76 million in 2023, $85 million in 2022 and $94 million in 2021. The $9 million (11%) decrease in interest expense in 2023 compared to 2022 and the $9 million (10%) decrease in interest expense in 2022 compared to 2021 is due primarily to the retirement of AFG’s $425 million principal amount of 3.50% Senior Notes during the first six months of 2022.</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Holding Company and Other — Special A&amp;E Charge</w:t>
      </w:r>
    </w:p>
    <w:p>
      <w:pPr>
        <w:spacing w:after="0" w:line="17"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 xml:space="preserve">As a result of the in-depth internal reviews of A&amp;E exposures discussed under </w:t>
      </w:r>
      <w:r>
        <w:rPr>
          <w:rFonts w:ascii="Arial" w:cs="Arial" w:eastAsia="Arial" w:hAnsi="Arial"/>
          <w:sz w:val="17"/>
          <w:szCs w:val="17"/>
          <w:i w:val="1"/>
          <w:iCs w:val="1"/>
          <w:color w:val="auto"/>
        </w:rPr>
        <w:t>“Uncertainties — Asbestos and Environmental-related (“A&amp;E”)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Insurance Reserves,” </w:t>
      </w:r>
      <w:r>
        <w:rPr>
          <w:rFonts w:ascii="Arial" w:cs="Arial" w:eastAsia="Arial" w:hAnsi="Arial"/>
          <w:sz w:val="17"/>
          <w:szCs w:val="17"/>
          <w:color w:val="auto"/>
        </w:rPr>
        <w:t>AFG’s holding companies and other operations outside of its property and casualty insurance segment recorded a pretax non-core special charge of $15 million in 2023 and minor charges in 2022 and 2021 (included in AFG’s core operating earnings) to increase liabilities related to the A&amp;E exposures of AFG’s former railroad and manufacturing operations. The 2023 charge reflects changes in the scope and costs of investigation and an increase in estimated remediation costs at a limited number of sites. AFG has also increased its reserve for asbestos and toxic substance exposures arising out of these operations. Total charges recorded to increase liabilities for A&amp;E exposures of AFG’s former railroad and manufacturing operations (included in other expenses) were $22 million in 2023, $17 million in 2022 and $9 million in 2021.</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Holding Company and Other — Gain (Loss) on Retirement of Debt</w:t>
      </w:r>
    </w:p>
    <w:p>
      <w:pPr>
        <w:spacing w:after="0" w:line="30"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During the first six months of 2023, AFG repurchased $23 million principal amount of its senior notes, which resulted in a $2 million pretax non-core gain and recorded a $1 million pretax non-core loss related to the write-off of debt issue costs associated with its previous revolving credit facility, which was replaced in June 2023. During 2022, AFG retired $472 million principal amount of its senior notes, which resulted in a $9 million pretax non-core loss.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Holding Company and Other — Loss on Pension Settlement</w:t>
      </w:r>
    </w:p>
    <w:p>
      <w:pPr>
        <w:spacing w:after="0" w:line="17"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color w:val="auto"/>
        </w:rPr>
        <w:t>In the second quarter of 2021, AFG settled pension liabilities related to a small former manufacturing operation resulting in a pretax non-core loss of $11 million.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81" w:name="page82"/>
    <w:bookmarkEnd w:id="8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5"/>
          <w:szCs w:val="25"/>
          <w:b w:val="1"/>
          <w:bCs w:val="1"/>
          <w:color w:val="00274E"/>
        </w:rPr>
        <w:t>Realized Gains (Losses) on Securities</w:t>
      </w:r>
    </w:p>
    <w:p>
      <w:pPr>
        <w:spacing w:after="0" w:line="28"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AFG’s realized gains (losses) on securities were net losses of $36 million in 2023 compared to $116 million in 2022, a decrease of $80 million (69%). AFG’s consolidated realized gains (losses) on securities were net losses of $116 million in 2022 compared to net gains of $110 million in 2021, a change of $226 million (205%). Realized gains (losses) on securities consisted of the following (in millions):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ind w:right="59"/>
              <w:spacing w:after="0"/>
              <w:rPr>
                <w:sz w:val="20"/>
                <w:szCs w:val="20"/>
                <w:color w:val="auto"/>
              </w:rPr>
            </w:pPr>
            <w:r>
              <w:rPr>
                <w:rFonts w:ascii="Arial" w:cs="Arial" w:eastAsia="Arial" w:hAnsi="Arial"/>
                <w:sz w:val="14"/>
                <w:szCs w:val="14"/>
                <w:color w:val="auto"/>
              </w:rPr>
              <w:t>Year ended December 31,</w:t>
            </w:r>
          </w:p>
        </w:tc>
        <w:tc>
          <w:tcPr>
            <w:tcW w:w="920" w:type="dxa"/>
            <w:vAlign w:val="bottom"/>
            <w:tcBorders>
              <w:bottom w:val="single" w:sz="8" w:color="auto"/>
            </w:tcBorders>
          </w:tcPr>
          <w:p>
            <w:pPr>
              <w:spacing w:after="0"/>
              <w:rPr>
                <w:sz w:val="16"/>
                <w:szCs w:val="16"/>
                <w:color w:val="auto"/>
              </w:rPr>
            </w:pPr>
          </w:p>
        </w:tc>
      </w:tr>
      <w:tr>
        <w:trPr>
          <w:trHeight w:val="196"/>
        </w:trPr>
        <w:tc>
          <w:tcPr>
            <w:tcW w:w="74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2021</w:t>
            </w:r>
          </w:p>
        </w:tc>
      </w:tr>
      <w:tr>
        <w:trPr>
          <w:trHeight w:val="200"/>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Realized gains (losses) before impairment allowances: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5"/>
        </w:trPr>
        <w:tc>
          <w:tcPr>
            <w:tcW w:w="7440" w:type="dxa"/>
            <w:vAlign w:val="bottom"/>
          </w:tcPr>
          <w:p>
            <w:pPr>
              <w:ind w:left="360"/>
              <w:spacing w:after="0"/>
              <w:rPr>
                <w:sz w:val="20"/>
                <w:szCs w:val="20"/>
                <w:color w:val="auto"/>
              </w:rPr>
            </w:pPr>
            <w:r>
              <w:rPr>
                <w:rFonts w:ascii="Arial" w:cs="Arial" w:eastAsia="Arial" w:hAnsi="Arial"/>
                <w:sz w:val="16"/>
                <w:szCs w:val="16"/>
                <w:color w:val="auto"/>
              </w:rPr>
              <w:t>Disposals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7"/>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the fair value of equity securities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r>
      <w:tr>
        <w:trPr>
          <w:trHeight w:val="215"/>
        </w:trPr>
        <w:tc>
          <w:tcPr>
            <w:tcW w:w="7440" w:type="dxa"/>
            <w:vAlign w:val="bottom"/>
          </w:tcPr>
          <w:p>
            <w:pPr>
              <w:ind w:left="360"/>
              <w:spacing w:after="0"/>
              <w:rPr>
                <w:sz w:val="20"/>
                <w:szCs w:val="20"/>
                <w:color w:val="auto"/>
              </w:rPr>
            </w:pPr>
            <w:r>
              <w:rPr>
                <w:rFonts w:ascii="Arial" w:cs="Arial" w:eastAsia="Arial" w:hAnsi="Arial"/>
                <w:sz w:val="16"/>
                <w:szCs w:val="16"/>
                <w:color w:val="auto"/>
              </w:rPr>
              <w:t>Change in the fair value of derivatives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74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w:t>
            </w:r>
          </w:p>
        </w:tc>
      </w:tr>
      <w:tr>
        <w:trPr>
          <w:trHeight w:val="197"/>
        </w:trPr>
        <w:tc>
          <w:tcPr>
            <w:tcW w:w="7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5"/>
        </w:trPr>
        <w:tc>
          <w:tcPr>
            <w:tcW w:w="74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Change in allowance for impairments on securities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35"/>
        </w:trPr>
        <w:tc>
          <w:tcPr>
            <w:tcW w:w="74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Realized gains (losses) on securities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The $33 million net realized loss from disposals in 2023 includes losses of $15 million from the sale of investments in banks and $5 million from the sale of municipal bonds.</w:t>
      </w:r>
    </w:p>
    <w:p>
      <w:pPr>
        <w:spacing w:after="0" w:line="185" w:lineRule="exact"/>
        <w:rPr>
          <w:sz w:val="20"/>
          <w:szCs w:val="20"/>
          <w:color w:val="auto"/>
        </w:rPr>
      </w:pPr>
    </w:p>
    <w:p>
      <w:pPr>
        <w:jc w:val="both"/>
        <w:ind w:right="260"/>
        <w:spacing w:after="0" w:line="266" w:lineRule="auto"/>
        <w:rPr>
          <w:sz w:val="20"/>
          <w:szCs w:val="20"/>
          <w:color w:val="auto"/>
        </w:rPr>
      </w:pPr>
      <w:r>
        <w:rPr>
          <w:rFonts w:ascii="Arial" w:cs="Arial" w:eastAsia="Arial" w:hAnsi="Arial"/>
          <w:sz w:val="17"/>
          <w:szCs w:val="17"/>
          <w:color w:val="auto"/>
        </w:rPr>
        <w:t>The $10 million net realized gain from the change in the fair value of equity securities in 2023 includes gains of $8 million on investments in retail companies, $7 million on investments in banks and financing companies, $5 million on investments in capital goods companies and $4 million on investments in natural gas companies, partially offset by losses of $8 million on investments in media companies and $6 million on investments in energy companies.</w:t>
      </w:r>
    </w:p>
    <w:p>
      <w:pPr>
        <w:spacing w:after="0" w:line="200"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The $96 million net realized loss from the change in the fair value of equity securities in 2022 includes losses of $51 million on investments in banks and financing companies, $21 million on investments in media companies, $14 million on investments in healthcare companies, $7 million on investments in technology companies and $3 million on investments in retail companies, partially offset by gains of $17 million on investments in energy and natural gas companies.</w:t>
      </w:r>
    </w:p>
    <w:p>
      <w:pPr>
        <w:spacing w:after="0" w:line="206"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The $110 million net realized gain from the change in the fair value of equity securities in 2021 includes gains of $29 million on investments in energy and natural gas companies, $18 million on investments in banks and financing companies, $17 million on investments in media companies, $14 million on investments in healthcare companies and $9 million on investments in capital goods companies.</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00274E"/>
        </w:rPr>
        <w:t>Realized Gain (Loss) on Subsidiaries</w:t>
      </w:r>
    </w:p>
    <w:p>
      <w:pPr>
        <w:spacing w:after="0" w:line="28"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 xml:space="preserve">In the third quarter of 2023, AFG recorded a realized loss on subsidiary of $4 million, consisting of a $26 million goodwill impairment charge, partially offset by a $22 million reduction in the fair value of a contingent consideration liability, both related to AFG’s investment in Verikai. See </w:t>
      </w:r>
      <w:r>
        <w:rPr>
          <w:rFonts w:ascii="Arial" w:cs="Arial" w:eastAsia="Arial" w:hAnsi="Arial"/>
          <w:sz w:val="17"/>
          <w:szCs w:val="17"/>
          <w:i w:val="1"/>
          <w:iCs w:val="1"/>
          <w:color w:val="auto"/>
        </w:rPr>
        <w:t>Note E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“Fair Value Measurements” </w:t>
      </w:r>
      <w:r>
        <w:rPr>
          <w:rFonts w:ascii="Arial" w:cs="Arial" w:eastAsia="Arial" w:hAnsi="Arial"/>
          <w:sz w:val="17"/>
          <w:szCs w:val="17"/>
          <w:color w:val="auto"/>
        </w:rPr>
        <w:t>and</w:t>
      </w:r>
      <w:r>
        <w:rPr>
          <w:rFonts w:ascii="Arial" w:cs="Arial" w:eastAsia="Arial" w:hAnsi="Arial"/>
          <w:sz w:val="17"/>
          <w:szCs w:val="17"/>
          <w:i w:val="1"/>
          <w:iCs w:val="1"/>
          <w:color w:val="auto"/>
        </w:rPr>
        <w:t xml:space="preserve"> Note I — “Goodwill and Other Intangibles” </w:t>
      </w:r>
      <w:r>
        <w:rPr>
          <w:rFonts w:ascii="Arial" w:cs="Arial" w:eastAsia="Arial" w:hAnsi="Arial"/>
          <w:sz w:val="17"/>
          <w:szCs w:val="17"/>
          <w:color w:val="auto"/>
        </w:rPr>
        <w:t>to the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In 2021, AFG recognized a pretax gain on sale of subsidiary of $4 million related to contingent consideration received on the sale of Neon.</w:t>
      </w:r>
    </w:p>
    <w:p>
      <w:pPr>
        <w:spacing w:after="0" w:line="248" w:lineRule="exact"/>
        <w:rPr>
          <w:sz w:val="20"/>
          <w:szCs w:val="20"/>
          <w:color w:val="auto"/>
        </w:rPr>
      </w:pPr>
    </w:p>
    <w:p>
      <w:pPr>
        <w:spacing w:after="0"/>
        <w:rPr>
          <w:sz w:val="20"/>
          <w:szCs w:val="20"/>
          <w:color w:val="auto"/>
        </w:rPr>
      </w:pPr>
      <w:r>
        <w:rPr>
          <w:rFonts w:ascii="Arial" w:cs="Arial" w:eastAsia="Arial" w:hAnsi="Arial"/>
          <w:sz w:val="25"/>
          <w:szCs w:val="25"/>
          <w:b w:val="1"/>
          <w:bCs w:val="1"/>
          <w:color w:val="00274E"/>
        </w:rPr>
        <w:t>Consolidated Income Taxes on Continuing Operations</w:t>
      </w:r>
    </w:p>
    <w:p>
      <w:pPr>
        <w:spacing w:after="0" w:line="41"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 xml:space="preserve">AFG’s consolidated provision for income taxes on continuing operations was $221 million in 2023 compared to $225 million in 2022, a decrease of $4 million (2%). AFG’s consolidated provision for income taxes on continuing operations was $225 million in 2022 compared to $254 million in 2021, a decrease of $29 million (11%). See </w:t>
      </w:r>
      <w:r>
        <w:rPr>
          <w:rFonts w:ascii="Arial" w:cs="Arial" w:eastAsia="Arial" w:hAnsi="Arial"/>
          <w:sz w:val="17"/>
          <w:szCs w:val="17"/>
          <w:i w:val="1"/>
          <w:iCs w:val="1"/>
          <w:color w:val="auto"/>
        </w:rPr>
        <w:t>Note M — “Income Taxes”</w:t>
      </w:r>
      <w:r>
        <w:rPr>
          <w:rFonts w:ascii="Arial" w:cs="Arial" w:eastAsia="Arial" w:hAnsi="Arial"/>
          <w:sz w:val="17"/>
          <w:szCs w:val="17"/>
          <w:color w:val="auto"/>
        </w:rPr>
        <w:t xml:space="preserve"> to the financial statements for an analysis of items affecting AFG’s effective tax rate.</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00274E"/>
        </w:rPr>
        <w:t>Real Estate Entities Acquired from the Annuity Operations</w:t>
      </w:r>
    </w:p>
    <w:p>
      <w:pPr>
        <w:spacing w:after="0" w:line="41"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The results of AFG’s disposed annuity businesses are reported as discontinued operations. Prior to the completion of the sale, AFG’s property and casualty insurance operations acquired certain real estate-related partnerships and AFG parent acquired certain directly owned real estate from those operations. GAAP pretax earnings from continuing operations includes the earnings from these entities through the May 31, 2021 effective date of the sale and certain other expenses that were retained from the annuity operations. The retained real estate entities contributed $51 million in GAAP pretax earnings through the May 31, 2021 effective date of the sale.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2" w:name="page83"/>
    <w:bookmarkEnd w:id="8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00274E"/>
        </w:rPr>
        <w:t>Discontinued Annuity Operations</w:t>
      </w:r>
    </w:p>
    <w:p>
      <w:pPr>
        <w:spacing w:after="0" w:line="28" w:lineRule="exact"/>
        <w:rPr>
          <w:sz w:val="20"/>
          <w:szCs w:val="20"/>
          <w:color w:val="auto"/>
        </w:rPr>
      </w:pPr>
    </w:p>
    <w:p>
      <w:pPr>
        <w:ind w:right="140"/>
        <w:spacing w:after="0" w:line="281" w:lineRule="auto"/>
        <w:rPr>
          <w:sz w:val="20"/>
          <w:szCs w:val="20"/>
          <w:color w:val="auto"/>
        </w:rPr>
      </w:pPr>
      <w:r>
        <w:rPr>
          <w:rFonts w:ascii="Arial" w:cs="Arial" w:eastAsia="Arial" w:hAnsi="Arial"/>
          <w:sz w:val="17"/>
          <w:szCs w:val="17"/>
          <w:color w:val="auto"/>
        </w:rPr>
        <w:t>AFG’s discontinued annuity operations, which were sold on May 31, 2021, contributed $324 million in GAAP pretax earnings (excluding the gain on the sale of the annuity operations) in 2021.</w:t>
      </w:r>
    </w:p>
    <w:p>
      <w:pPr>
        <w:spacing w:after="0" w:line="188" w:lineRule="exact"/>
        <w:rPr>
          <w:sz w:val="20"/>
          <w:szCs w:val="20"/>
          <w:color w:val="auto"/>
        </w:rPr>
      </w:pPr>
    </w:p>
    <w:p>
      <w:pPr>
        <w:ind w:right="280"/>
        <w:spacing w:after="0" w:line="284" w:lineRule="auto"/>
        <w:rPr>
          <w:sz w:val="20"/>
          <w:szCs w:val="20"/>
          <w:color w:val="auto"/>
        </w:rPr>
      </w:pPr>
      <w:r>
        <w:rPr>
          <w:rFonts w:ascii="Arial" w:cs="Arial" w:eastAsia="Arial" w:hAnsi="Arial"/>
          <w:sz w:val="17"/>
          <w:szCs w:val="17"/>
          <w:color w:val="auto"/>
        </w:rPr>
        <w:t>The following table details AFG’s earnings before and after income taxes and the gain on the sale from its discontinued annuity operations for the year ended December 31, 2021 (dollars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tcPr>
          <w:p>
            <w:pPr>
              <w:jc w:val="right"/>
              <w:ind w:right="160"/>
              <w:spacing w:after="0"/>
              <w:rPr>
                <w:sz w:val="20"/>
                <w:szCs w:val="20"/>
                <w:color w:val="auto"/>
              </w:rPr>
            </w:pPr>
            <w:r>
              <w:rPr>
                <w:rFonts w:ascii="Arial" w:cs="Arial" w:eastAsia="Arial" w:hAnsi="Arial"/>
                <w:sz w:val="14"/>
                <w:szCs w:val="14"/>
                <w:color w:val="auto"/>
              </w:rPr>
              <w:t>Year ended December 31,</w:t>
            </w:r>
          </w:p>
        </w:tc>
        <w:tc>
          <w:tcPr>
            <w:tcW w:w="0" w:type="dxa"/>
            <w:vAlign w:val="bottom"/>
          </w:tcPr>
          <w:p>
            <w:pPr>
              <w:spacing w:after="0"/>
              <w:rPr>
                <w:sz w:val="1"/>
                <w:szCs w:val="1"/>
                <w:color w:val="auto"/>
              </w:rPr>
            </w:pPr>
          </w:p>
        </w:tc>
      </w:tr>
      <w:tr>
        <w:trPr>
          <w:trHeight w:val="207"/>
        </w:trPr>
        <w:tc>
          <w:tcPr>
            <w:tcW w:w="90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760"/>
              <w:spacing w:after="0"/>
              <w:rPr>
                <w:sz w:val="20"/>
                <w:szCs w:val="20"/>
                <w:color w:val="auto"/>
              </w:rPr>
            </w:pPr>
            <w:r>
              <w:rPr>
                <w:rFonts w:ascii="Arial" w:cs="Arial" w:eastAsia="Arial" w:hAnsi="Arial"/>
                <w:sz w:val="14"/>
                <w:szCs w:val="14"/>
                <w:color w:val="auto"/>
              </w:rPr>
              <w:t>2021 (*)</w:t>
            </w:r>
          </w:p>
        </w:tc>
        <w:tc>
          <w:tcPr>
            <w:tcW w:w="0" w:type="dxa"/>
            <w:vAlign w:val="bottom"/>
          </w:tcPr>
          <w:p>
            <w:pPr>
              <w:spacing w:after="0"/>
              <w:rPr>
                <w:sz w:val="1"/>
                <w:szCs w:val="1"/>
                <w:color w:val="auto"/>
              </w:rPr>
            </w:pPr>
          </w:p>
        </w:tc>
      </w:tr>
      <w:tr>
        <w:trPr>
          <w:trHeight w:val="200"/>
        </w:trPr>
        <w:tc>
          <w:tcPr>
            <w:tcW w:w="9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Pretax annuity earnings historically reported as core operating earnings:</w:t>
            </w:r>
          </w:p>
        </w:tc>
        <w:tc>
          <w:tcPr>
            <w:tcW w:w="18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9060" w:type="dxa"/>
            <w:vAlign w:val="bottom"/>
          </w:tcPr>
          <w:p>
            <w:pPr>
              <w:ind w:left="180"/>
              <w:spacing w:after="0"/>
              <w:rPr>
                <w:sz w:val="20"/>
                <w:szCs w:val="20"/>
                <w:color w:val="auto"/>
              </w:rPr>
            </w:pPr>
            <w:r>
              <w:rPr>
                <w:rFonts w:ascii="Arial" w:cs="Arial" w:eastAsia="Arial" w:hAnsi="Arial"/>
                <w:sz w:val="16"/>
                <w:szCs w:val="16"/>
                <w:color w:val="auto"/>
              </w:rPr>
              <w:t>Pretax annuity earnings before items below</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2000" w:type="dxa"/>
            <w:vAlign w:val="bottom"/>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17"/>
        </w:trPr>
        <w:tc>
          <w:tcPr>
            <w:tcW w:w="9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Earnings on partnerships and similar investments</w:t>
            </w:r>
          </w:p>
        </w:tc>
        <w:tc>
          <w:tcPr>
            <w:tcW w:w="18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09"/>
        </w:trPr>
        <w:tc>
          <w:tcPr>
            <w:tcW w:w="9060" w:type="dxa"/>
            <w:vAlign w:val="bottom"/>
          </w:tcPr>
          <w:p>
            <w:pPr>
              <w:ind w:left="400"/>
              <w:spacing w:after="0"/>
              <w:rPr>
                <w:sz w:val="20"/>
                <w:szCs w:val="20"/>
                <w:color w:val="auto"/>
              </w:rPr>
            </w:pPr>
            <w:r>
              <w:rPr>
                <w:rFonts w:ascii="Arial" w:cs="Arial" w:eastAsia="Arial" w:hAnsi="Arial"/>
                <w:sz w:val="16"/>
                <w:szCs w:val="16"/>
                <w:color w:val="auto"/>
              </w:rPr>
              <w:t>Total pretax annuity earnings historically reported as core operating earnings</w:t>
            </w:r>
          </w:p>
        </w:tc>
        <w:tc>
          <w:tcPr>
            <w:tcW w:w="1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163"/>
        </w:trPr>
        <w:tc>
          <w:tcPr>
            <w:tcW w:w="9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060" w:type="dxa"/>
            <w:vAlign w:val="bottom"/>
          </w:tcPr>
          <w:p>
            <w:pPr>
              <w:ind w:left="20"/>
              <w:spacing w:after="0"/>
              <w:rPr>
                <w:sz w:val="20"/>
                <w:szCs w:val="20"/>
                <w:color w:val="auto"/>
              </w:rPr>
            </w:pPr>
            <w:r>
              <w:rPr>
                <w:rFonts w:ascii="Arial" w:cs="Arial" w:eastAsia="Arial" w:hAnsi="Arial"/>
                <w:sz w:val="16"/>
                <w:szCs w:val="16"/>
                <w:b w:val="1"/>
                <w:bCs w:val="1"/>
                <w:color w:val="auto"/>
              </w:rPr>
              <w:t>Pretax amounts previously reported outside of annuity core earnings:</w:t>
            </w:r>
          </w:p>
        </w:tc>
        <w:tc>
          <w:tcPr>
            <w:tcW w:w="1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906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color w:val="auto"/>
              </w:rPr>
              <w:t>Impact of reinsurance, derivatives related to fixed indexed annuities (“FIAs”) and other impacts of changes in the stock</w:t>
            </w:r>
          </w:p>
        </w:tc>
        <w:tc>
          <w:tcPr>
            <w:tcW w:w="180" w:type="dxa"/>
            <w:vAlign w:val="bottom"/>
            <w:shd w:val="clear" w:color="auto" w:fill="CCEEFF"/>
          </w:tcPr>
          <w:p>
            <w:pPr>
              <w:spacing w:after="0"/>
              <w:rPr>
                <w:sz w:val="14"/>
                <w:szCs w:val="14"/>
                <w:color w:val="auto"/>
              </w:rPr>
            </w:pPr>
          </w:p>
        </w:tc>
        <w:tc>
          <w:tcPr>
            <w:tcW w:w="2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market and interest rates on FIAs over or under option costs</w:t>
            </w:r>
          </w:p>
        </w:tc>
        <w:tc>
          <w:tcPr>
            <w:tcW w:w="180" w:type="dxa"/>
            <w:vAlign w:val="bottom"/>
            <w:shd w:val="clear" w:color="auto" w:fill="CCEEFF"/>
          </w:tcPr>
          <w:p>
            <w:pPr>
              <w:spacing w:after="0"/>
              <w:rPr>
                <w:sz w:val="18"/>
                <w:szCs w:val="18"/>
                <w:color w:val="auto"/>
              </w:rPr>
            </w:pPr>
          </w:p>
        </w:tc>
        <w:tc>
          <w:tcPr>
            <w:tcW w:w="2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0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Realized gains on securities</w:t>
            </w:r>
          </w:p>
        </w:tc>
        <w:tc>
          <w:tcPr>
            <w:tcW w:w="1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10"/>
        </w:trPr>
        <w:tc>
          <w:tcPr>
            <w:tcW w:w="90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Total pretax amounts previously reported outside of annuity core earnings</w:t>
            </w:r>
          </w:p>
        </w:tc>
        <w:tc>
          <w:tcPr>
            <w:tcW w:w="18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142"/>
        </w:trPr>
        <w:tc>
          <w:tcPr>
            <w:tcW w:w="9060" w:type="dxa"/>
            <w:vAlign w:val="bottom"/>
          </w:tcPr>
          <w:p>
            <w:pPr>
              <w:ind w:left="20"/>
              <w:spacing w:after="0" w:line="142" w:lineRule="exact"/>
              <w:rPr>
                <w:sz w:val="20"/>
                <w:szCs w:val="20"/>
                <w:color w:val="auto"/>
              </w:rPr>
            </w:pPr>
            <w:r>
              <w:rPr>
                <w:rFonts w:ascii="Arial" w:cs="Arial" w:eastAsia="Arial" w:hAnsi="Arial"/>
                <w:sz w:val="16"/>
                <w:szCs w:val="16"/>
                <w:b w:val="1"/>
                <w:bCs w:val="1"/>
                <w:color w:val="auto"/>
              </w:rPr>
              <w:t>GAAP pretax earnings from discontinued annuity operations, excluding the gain on the sale of the discontinued</w:t>
            </w:r>
          </w:p>
        </w:tc>
        <w:tc>
          <w:tcPr>
            <w:tcW w:w="180" w:type="dxa"/>
            <w:vAlign w:val="bottom"/>
          </w:tcPr>
          <w:p>
            <w:pPr>
              <w:spacing w:after="0"/>
              <w:rPr>
                <w:sz w:val="12"/>
                <w:szCs w:val="12"/>
                <w:color w:val="auto"/>
              </w:rPr>
            </w:pPr>
          </w:p>
        </w:tc>
        <w:tc>
          <w:tcPr>
            <w:tcW w:w="2000" w:type="dxa"/>
            <w:vAlign w:val="bottom"/>
            <w:vMerge w:val="restart"/>
          </w:tcPr>
          <w:p>
            <w:pPr>
              <w:jc w:val="right"/>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16"/>
        </w:trPr>
        <w:tc>
          <w:tcPr>
            <w:tcW w:w="9060" w:type="dxa"/>
            <w:vAlign w:val="bottom"/>
          </w:tcPr>
          <w:p>
            <w:pPr>
              <w:ind w:left="180"/>
              <w:spacing w:after="0"/>
              <w:rPr>
                <w:sz w:val="20"/>
                <w:szCs w:val="20"/>
                <w:color w:val="auto"/>
              </w:rPr>
            </w:pPr>
            <w:r>
              <w:rPr>
                <w:rFonts w:ascii="Arial" w:cs="Arial" w:eastAsia="Arial" w:hAnsi="Arial"/>
                <w:sz w:val="16"/>
                <w:szCs w:val="16"/>
                <w:b w:val="1"/>
                <w:bCs w:val="1"/>
                <w:color w:val="auto"/>
              </w:rPr>
              <w:t>annuity operations</w:t>
            </w:r>
          </w:p>
        </w:tc>
        <w:tc>
          <w:tcPr>
            <w:tcW w:w="180" w:type="dxa"/>
            <w:vAlign w:val="bottom"/>
          </w:tcPr>
          <w:p>
            <w:pPr>
              <w:spacing w:after="0"/>
              <w:rPr>
                <w:sz w:val="18"/>
                <w:szCs w:val="18"/>
                <w:color w:val="auto"/>
              </w:rPr>
            </w:pPr>
          </w:p>
        </w:tc>
        <w:tc>
          <w:tcPr>
            <w:tcW w:w="2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8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0"/>
        </w:trPr>
        <w:tc>
          <w:tcPr>
            <w:tcW w:w="9060" w:type="dxa"/>
            <w:vAlign w:val="bottom"/>
          </w:tcPr>
          <w:p>
            <w:pPr>
              <w:ind w:left="20"/>
              <w:spacing w:after="0"/>
              <w:rPr>
                <w:sz w:val="20"/>
                <w:szCs w:val="20"/>
                <w:color w:val="auto"/>
              </w:rPr>
            </w:pPr>
            <w:r>
              <w:rPr>
                <w:rFonts w:ascii="Arial" w:cs="Arial" w:eastAsia="Arial" w:hAnsi="Arial"/>
                <w:sz w:val="16"/>
                <w:szCs w:val="16"/>
                <w:b w:val="1"/>
                <w:bCs w:val="1"/>
                <w:color w:val="auto"/>
              </w:rPr>
              <w:t>GAAP net earnings from discontinued annuity operations, excluding the sale of the discontinued annuity operations</w:t>
            </w:r>
          </w:p>
        </w:tc>
        <w:tc>
          <w:tcPr>
            <w:tcW w:w="1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15"/>
        </w:trPr>
        <w:tc>
          <w:tcPr>
            <w:tcW w:w="9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sale of discontinued annuity operations, net of tax</w:t>
            </w:r>
          </w:p>
        </w:tc>
        <w:tc>
          <w:tcPr>
            <w:tcW w:w="18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w:t>
            </w:r>
          </w:p>
        </w:tc>
        <w:tc>
          <w:tcPr>
            <w:tcW w:w="0" w:type="dxa"/>
            <w:vAlign w:val="bottom"/>
          </w:tcPr>
          <w:p>
            <w:pPr>
              <w:spacing w:after="0"/>
              <w:rPr>
                <w:sz w:val="1"/>
                <w:szCs w:val="1"/>
                <w:color w:val="auto"/>
              </w:rPr>
            </w:pPr>
          </w:p>
        </w:tc>
      </w:tr>
      <w:tr>
        <w:trPr>
          <w:trHeight w:val="210"/>
        </w:trPr>
        <w:tc>
          <w:tcPr>
            <w:tcW w:w="9060" w:type="dxa"/>
            <w:vAlign w:val="bottom"/>
          </w:tcPr>
          <w:p>
            <w:pPr>
              <w:ind w:left="20"/>
              <w:spacing w:after="0"/>
              <w:rPr>
                <w:sz w:val="20"/>
                <w:szCs w:val="20"/>
                <w:color w:val="auto"/>
              </w:rPr>
            </w:pPr>
            <w:r>
              <w:rPr>
                <w:rFonts w:ascii="Arial" w:cs="Arial" w:eastAsia="Arial" w:hAnsi="Arial"/>
                <w:sz w:val="16"/>
                <w:szCs w:val="16"/>
                <w:b w:val="1"/>
                <w:bCs w:val="1"/>
                <w:color w:val="auto"/>
              </w:rPr>
              <w:t>GAAP net earnings from discontinued annuity operations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914</w:t>
            </w:r>
          </w:p>
        </w:tc>
        <w:tc>
          <w:tcPr>
            <w:tcW w:w="0" w:type="dxa"/>
            <w:vAlign w:val="bottom"/>
          </w:tcPr>
          <w:p>
            <w:pPr>
              <w:spacing w:after="0"/>
              <w:rPr>
                <w:sz w:val="1"/>
                <w:szCs w:val="1"/>
                <w:color w:val="auto"/>
              </w:rPr>
            </w:pPr>
          </w:p>
        </w:tc>
      </w:tr>
      <w:tr>
        <w:trPr>
          <w:trHeight w:val="21"/>
        </w:trPr>
        <w:tc>
          <w:tcPr>
            <w:tcW w:w="9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00" w:hanging="392"/>
        <w:spacing w:after="0"/>
        <w:tabs>
          <w:tab w:leader="none" w:pos="4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Results through the May 31, 2021 effective date of the sale.</w:t>
      </w:r>
    </w:p>
    <w:p>
      <w:pPr>
        <w:spacing w:after="0" w:line="319" w:lineRule="exact"/>
        <w:rPr>
          <w:sz w:val="20"/>
          <w:szCs w:val="20"/>
          <w:color w:val="auto"/>
        </w:rPr>
      </w:pPr>
    </w:p>
    <w:p>
      <w:pPr>
        <w:spacing w:after="0"/>
        <w:rPr>
          <w:sz w:val="20"/>
          <w:szCs w:val="20"/>
          <w:color w:val="auto"/>
        </w:rPr>
      </w:pPr>
      <w:r>
        <w:rPr>
          <w:rFonts w:ascii="Arial" w:cs="Arial" w:eastAsia="Arial" w:hAnsi="Arial"/>
          <w:sz w:val="29"/>
          <w:szCs w:val="29"/>
          <w:b w:val="1"/>
          <w:bCs w:val="1"/>
          <w:color w:val="00274E"/>
        </w:rPr>
        <w:t>ACCOUNTING STANDARDS TO BE ADOPTED</w:t>
      </w:r>
    </w:p>
    <w:p>
      <w:pPr>
        <w:spacing w:after="0" w:line="259"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 xml:space="preserve">In November 2023, the Financial Accounting Standards Board (“FASB”) issued Accounting Standards Update No. 2023-07 (“ASU 2023-07”), </w:t>
      </w:r>
      <w:r>
        <w:rPr>
          <w:rFonts w:ascii="Arial" w:cs="Arial" w:eastAsia="Arial" w:hAnsi="Arial"/>
          <w:sz w:val="17"/>
          <w:szCs w:val="17"/>
          <w:i w:val="1"/>
          <w:iCs w:val="1"/>
          <w:color w:val="auto"/>
        </w:rPr>
        <w:t>Improvements to Reportable Segment Disclosures</w:t>
      </w:r>
      <w:r>
        <w:rPr>
          <w:rFonts w:ascii="Arial" w:cs="Arial" w:eastAsia="Arial" w:hAnsi="Arial"/>
          <w:sz w:val="17"/>
          <w:szCs w:val="17"/>
          <w:color w:val="auto"/>
        </w:rPr>
        <w:t>. ASU 2023-07 will require enhanced disclosures about significant segment expenses and a</w:t>
      </w:r>
      <w:r>
        <w:rPr>
          <w:rFonts w:ascii="Arial" w:cs="Arial" w:eastAsia="Arial" w:hAnsi="Arial"/>
          <w:sz w:val="17"/>
          <w:szCs w:val="17"/>
          <w:i w:val="1"/>
          <w:iCs w:val="1"/>
          <w:color w:val="auto"/>
        </w:rPr>
        <w:t xml:space="preserve"> </w:t>
      </w:r>
      <w:r>
        <w:rPr>
          <w:rFonts w:ascii="Arial" w:cs="Arial" w:eastAsia="Arial" w:hAnsi="Arial"/>
          <w:sz w:val="17"/>
          <w:szCs w:val="17"/>
          <w:color w:val="auto"/>
        </w:rPr>
        <w:t>description of the composition of other segment expenses by business segment. ASU 2023-07 also requires disclosure of the title and position of the chief operating decision maker (“CODM”) and an explanation of how the CODM uses the reported measures of segment profit or loss in assessing segment performance and deciding how to allocate resources. ASU 2023-07 is effective for fiscal years beginning after December 15, 2023, and interim periods within fiscal years beginning after December 15, 2024, with early adoption permitted, and are to be applied on a retrospective basis. As of December 31, 2023, AFG has not adopted ASU 2023-07. Management is evaluating the impact of the standard to the segment reporting disclosures. Since ASU 2023-07 only requires additional disclosure, the adoption of this guidance will not have an impact on AFG’s results of operations or financial condition.</w:t>
      </w:r>
    </w:p>
    <w:p>
      <w:pPr>
        <w:spacing w:after="0" w:line="209"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 xml:space="preserve">In December 2023, the FASB issued ASU No. 2023-09 (“ASU 2023-09”), </w:t>
      </w:r>
      <w:r>
        <w:rPr>
          <w:rFonts w:ascii="Arial" w:cs="Arial" w:eastAsia="Arial" w:hAnsi="Arial"/>
          <w:sz w:val="17"/>
          <w:szCs w:val="17"/>
          <w:i w:val="1"/>
          <w:iCs w:val="1"/>
          <w:color w:val="auto"/>
        </w:rPr>
        <w:t>Improvements to Income Tax Disclosures</w:t>
      </w:r>
      <w:r>
        <w:rPr>
          <w:rFonts w:ascii="Arial" w:cs="Arial" w:eastAsia="Arial" w:hAnsi="Arial"/>
          <w:sz w:val="17"/>
          <w:szCs w:val="17"/>
          <w:color w:val="auto"/>
        </w:rPr>
        <w:t>. ASU 2023-09 is intended to improve income tax disclosures by requiring (i) consistent categories and greater disaggregation of information in the rate reconciliation presented in both dollar and percentage terms; (ii) the disaggregation of income taxes paid (net of refunds received), income (loss) before income taxes and income taxes by jurisdiction (federal, state and foreign taxes); and (iii) further disaggregation of income taxes paid by any individual jurisdiction equal to or exceeding five percent of total income taxes paid. ASU 2023-09 is effective for fiscal years beginning after December 15, 2024, with early adoption permitted, and is required to be applied prospectively with the option of retrospective application. As of December 31, 2023, AFG has not adopted ASU 2023-09. Management is evaluating the impact of the standard to the income tax disclosures. Since ASU 2023-09 only requires additional disclosure, the adoption of this guidance will not have an impact on AFG’s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3" w:name="page84"/>
    <w:bookmarkEnd w:id="8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500"/>
        <w:spacing w:after="0" w:line="297" w:lineRule="auto"/>
        <w:rPr>
          <w:sz w:val="20"/>
          <w:szCs w:val="20"/>
          <w:color w:val="auto"/>
        </w:rPr>
      </w:pPr>
      <w:r>
        <w:rPr>
          <w:rFonts w:ascii="Arial" w:cs="Arial" w:eastAsia="Arial" w:hAnsi="Arial"/>
          <w:sz w:val="36"/>
          <w:szCs w:val="36"/>
          <w:b w:val="1"/>
          <w:bCs w:val="1"/>
          <w:color w:val="00274E"/>
        </w:rPr>
        <w:t>Item 7A. Quantitative and Qualitative Disclosures about Market Risk</w:t>
      </w:r>
    </w:p>
    <w:p>
      <w:pPr>
        <w:spacing w:after="0" w:line="84"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Market risk represents the potential economic loss arising from adverse changes in the fair value of financial instruments. AFG’s exposures to market risk relate primarily to its investment portfolio, which is exposed to interest rate risk and, to a lesser extent, equity price risk. To a much lesser extent, AFG’s long-term debt is also exposed to interest rate risk.</w:t>
      </w:r>
    </w:p>
    <w:p>
      <w:pPr>
        <w:spacing w:after="0" w:line="215" w:lineRule="exact"/>
        <w:rPr>
          <w:sz w:val="20"/>
          <w:szCs w:val="20"/>
          <w:color w:val="auto"/>
        </w:rPr>
      </w:pPr>
    </w:p>
    <w:p>
      <w:pPr>
        <w:ind w:right="80"/>
        <w:spacing w:after="0" w:line="247" w:lineRule="auto"/>
        <w:rPr>
          <w:sz w:val="20"/>
          <w:szCs w:val="20"/>
          <w:color w:val="auto"/>
        </w:rPr>
      </w:pPr>
      <w:r>
        <w:rPr>
          <w:rFonts w:ascii="Arial" w:cs="Arial" w:eastAsia="Arial" w:hAnsi="Arial"/>
          <w:sz w:val="20"/>
          <w:szCs w:val="20"/>
          <w:b w:val="1"/>
          <w:bCs w:val="1"/>
          <w:i w:val="1"/>
          <w:iCs w:val="1"/>
          <w:color w:val="00274E"/>
        </w:rPr>
        <w:t xml:space="preserve">Fixed Maturity Interest Rate Risk </w:t>
      </w:r>
      <w:r>
        <w:rPr>
          <w:rFonts w:ascii="Arial" w:cs="Arial" w:eastAsia="Arial" w:hAnsi="Arial"/>
          <w:sz w:val="17"/>
          <w:szCs w:val="17"/>
          <w:color w:val="000000"/>
        </w:rPr>
        <w:t>In general, the fair value of AFG’s fixed maturity investments is inversely correlated to changes in interest</w:t>
      </w:r>
      <w:r>
        <w:rPr>
          <w:rFonts w:ascii="Arial" w:cs="Arial" w:eastAsia="Arial" w:hAnsi="Arial"/>
          <w:sz w:val="20"/>
          <w:szCs w:val="20"/>
          <w:b w:val="1"/>
          <w:bCs w:val="1"/>
          <w:i w:val="1"/>
          <w:iCs w:val="1"/>
          <w:color w:val="00274E"/>
        </w:rPr>
        <w:t xml:space="preserve"> </w:t>
      </w:r>
      <w:r>
        <w:rPr>
          <w:rFonts w:ascii="Arial" w:cs="Arial" w:eastAsia="Arial" w:hAnsi="Arial"/>
          <w:sz w:val="17"/>
          <w:szCs w:val="17"/>
          <w:color w:val="000000"/>
        </w:rPr>
        <w:t>rates. AFG’s fixed maturity portfolio is comprised of primarily fixed-rate investments with intermediate-term maturities. This practice is designed to allow flexibility in reacting to fluctuations of interest rates. The portfolios of AFG’s insurance operations are managed with an attempt to achieve an adequate risk-adjusted return while maintaining sufficient liquidity to meet policyholder obligations.</w:t>
      </w:r>
    </w:p>
    <w:p>
      <w:pPr>
        <w:spacing w:after="0" w:line="217"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 xml:space="preserve">Consistent with the discussion in </w:t>
      </w:r>
      <w:r>
        <w:rPr>
          <w:rFonts w:ascii="Arial" w:cs="Arial" w:eastAsia="Arial" w:hAnsi="Arial"/>
          <w:sz w:val="17"/>
          <w:szCs w:val="17"/>
          <w:i w:val="1"/>
          <w:iCs w:val="1"/>
          <w:color w:val="auto"/>
        </w:rPr>
        <w:t>Item 7 — Management’s Discussion and Analysis — “Investments,”</w:t>
      </w:r>
      <w:r>
        <w:rPr>
          <w:rFonts w:ascii="Arial" w:cs="Arial" w:eastAsia="Arial" w:hAnsi="Arial"/>
          <w:sz w:val="17"/>
          <w:szCs w:val="17"/>
          <w:color w:val="auto"/>
        </w:rPr>
        <w:t xml:space="preserve"> the following table demonstrates the sensitivity of the fair value of AFG’s fixed maturity portfolio to reasonably likely changes in interest rates by illustrating the estimated effect on AFG’s fixed maturity portfolio that an immediate increase of 100 basis points in the interest rate yield curve would have at December 31 (based on the duration of the portfolio, dollars in millions). Effects of increases or decreases from the 100 basis points illustrated would be approximately proportional.</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3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color w:val="auto"/>
              </w:rPr>
              <w:t>2023</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color w:val="auto"/>
              </w:rPr>
              <w:t>2022</w:t>
            </w:r>
          </w:p>
        </w:tc>
      </w:tr>
      <w:tr>
        <w:trPr>
          <w:trHeight w:val="214"/>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fixed maturity portfolio</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10,434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10,127</w:t>
            </w:r>
          </w:p>
        </w:tc>
      </w:tr>
      <w:tr>
        <w:trPr>
          <w:trHeight w:val="215"/>
        </w:trPr>
        <w:tc>
          <w:tcPr>
            <w:tcW w:w="8360" w:type="dxa"/>
            <w:vAlign w:val="bottom"/>
          </w:tcPr>
          <w:p>
            <w:pPr>
              <w:ind w:left="20"/>
              <w:spacing w:after="0"/>
              <w:rPr>
                <w:sz w:val="20"/>
                <w:szCs w:val="20"/>
                <w:color w:val="auto"/>
              </w:rPr>
            </w:pPr>
            <w:r>
              <w:rPr>
                <w:rFonts w:ascii="Arial" w:cs="Arial" w:eastAsia="Arial" w:hAnsi="Arial"/>
                <w:sz w:val="16"/>
                <w:szCs w:val="16"/>
                <w:color w:val="auto"/>
              </w:rPr>
              <w:t>Percentage impact on fair value of 100 bps increase in interest rates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(3.0 %)</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(3.0 %)</w:t>
            </w:r>
          </w:p>
        </w:tc>
      </w:tr>
      <w:tr>
        <w:trPr>
          <w:trHeight w:val="217"/>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impact on fair value of fixed maturity portfolio</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(313)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(304)</w:t>
            </w:r>
          </w:p>
        </w:tc>
      </w:tr>
    </w:tbl>
    <w:p>
      <w:pPr>
        <w:spacing w:after="0" w:line="316" w:lineRule="exact"/>
        <w:rPr>
          <w:sz w:val="20"/>
          <w:szCs w:val="20"/>
          <w:color w:val="auto"/>
        </w:rPr>
      </w:pPr>
    </w:p>
    <w:p>
      <w:pPr>
        <w:ind w:right="120"/>
        <w:spacing w:after="0" w:line="233" w:lineRule="auto"/>
        <w:rPr>
          <w:sz w:val="20"/>
          <w:szCs w:val="20"/>
          <w:color w:val="auto"/>
        </w:rPr>
      </w:pPr>
      <w:r>
        <w:rPr>
          <w:rFonts w:ascii="Arial" w:cs="Arial" w:eastAsia="Arial" w:hAnsi="Arial"/>
          <w:sz w:val="20"/>
          <w:szCs w:val="20"/>
          <w:b w:val="1"/>
          <w:bCs w:val="1"/>
          <w:i w:val="1"/>
          <w:iCs w:val="1"/>
          <w:color w:val="00274E"/>
        </w:rPr>
        <w:t xml:space="preserve">Equity Price Risk </w:t>
      </w:r>
      <w:r>
        <w:rPr>
          <w:rFonts w:ascii="Arial" w:cs="Arial" w:eastAsia="Arial" w:hAnsi="Arial"/>
          <w:sz w:val="17"/>
          <w:szCs w:val="17"/>
          <w:color w:val="000000"/>
        </w:rPr>
        <w:t>AFG’s equity securities are reported at fair value with holding gains and losses recognized in net earnings. At December 31,</w:t>
      </w:r>
      <w:r>
        <w:rPr>
          <w:rFonts w:ascii="Arial" w:cs="Arial" w:eastAsia="Arial" w:hAnsi="Arial"/>
          <w:sz w:val="20"/>
          <w:szCs w:val="20"/>
          <w:b w:val="1"/>
          <w:bCs w:val="1"/>
          <w:i w:val="1"/>
          <w:iCs w:val="1"/>
          <w:color w:val="00274E"/>
        </w:rPr>
        <w:t xml:space="preserve"> </w:t>
      </w:r>
      <w:r>
        <w:rPr>
          <w:rFonts w:ascii="Arial" w:cs="Arial" w:eastAsia="Arial" w:hAnsi="Arial"/>
          <w:sz w:val="17"/>
          <w:szCs w:val="17"/>
          <w:color w:val="000000"/>
        </w:rPr>
        <w:t>2023 and 2022, the fair value of AFG’s equity securities totaled $1.02 billion and $1.01 billion, respectively. These investments are exposed to price risk, which is the potential loss arising from decreases in fair value. Market prices of equity securities, in general, are subject to fluctuations, which could cause future values to differ significantly from the current reported values. General economic swings influence the performance of the underlying industries and companies within those industries. Industry and company-specific risks also have the potential to substantially affect the value of AFG’s portfolio.</w:t>
      </w:r>
    </w:p>
    <w:p>
      <w:pPr>
        <w:spacing w:after="0" w:line="211"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AFG utilizes a total return swap to offset changes in liabilities related to the equity price risk of certain deferred compensation arrangements. Gains or losses from changes in fair value of the total return swap are generally offset by changes in the carrying value of the related liabilities, both of which are included in other expenses.</w:t>
      </w:r>
    </w:p>
    <w:p>
      <w:pPr>
        <w:spacing w:after="0" w:line="215" w:lineRule="exact"/>
        <w:rPr>
          <w:sz w:val="20"/>
          <w:szCs w:val="20"/>
          <w:color w:val="auto"/>
        </w:rPr>
      </w:pPr>
    </w:p>
    <w:p>
      <w:pPr>
        <w:ind w:right="160"/>
        <w:spacing w:after="0" w:line="236" w:lineRule="auto"/>
        <w:rPr>
          <w:sz w:val="20"/>
          <w:szCs w:val="20"/>
          <w:color w:val="auto"/>
        </w:rPr>
      </w:pPr>
      <w:r>
        <w:rPr>
          <w:rFonts w:ascii="Arial" w:cs="Arial" w:eastAsia="Arial" w:hAnsi="Arial"/>
          <w:sz w:val="20"/>
          <w:szCs w:val="20"/>
          <w:b w:val="1"/>
          <w:bCs w:val="1"/>
          <w:i w:val="1"/>
          <w:iCs w:val="1"/>
          <w:color w:val="00274E"/>
        </w:rPr>
        <w:t xml:space="preserve">Long-Term Debt </w:t>
      </w:r>
      <w:r>
        <w:rPr>
          <w:rFonts w:ascii="Arial" w:cs="Arial" w:eastAsia="Arial" w:hAnsi="Arial"/>
          <w:sz w:val="17"/>
          <w:szCs w:val="17"/>
          <w:color w:val="000000"/>
        </w:rPr>
        <w:t>The following table shows scheduled principal payments on fixed-rate long-term debt of AFG and its subsidiaries and related</w:t>
      </w:r>
      <w:r>
        <w:rPr>
          <w:rFonts w:ascii="Arial" w:cs="Arial" w:eastAsia="Arial" w:hAnsi="Arial"/>
          <w:sz w:val="20"/>
          <w:szCs w:val="20"/>
          <w:b w:val="1"/>
          <w:bCs w:val="1"/>
          <w:i w:val="1"/>
          <w:iCs w:val="1"/>
          <w:color w:val="00274E"/>
        </w:rPr>
        <w:t xml:space="preserve"> </w:t>
      </w:r>
      <w:r>
        <w:rPr>
          <w:rFonts w:ascii="Arial" w:cs="Arial" w:eastAsia="Arial" w:hAnsi="Arial"/>
          <w:sz w:val="17"/>
          <w:szCs w:val="17"/>
          <w:color w:val="000000"/>
        </w:rPr>
        <w:t>weighted average interest rates for each of the subsequent five years and for all years thereafter (dollars in millions):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5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color w:val="auto"/>
              </w:rPr>
              <w:t>December 31, 2023</w:t>
            </w:r>
          </w:p>
        </w:tc>
        <w:tc>
          <w:tcPr>
            <w:tcW w:w="600" w:type="dxa"/>
            <w:vAlign w:val="bottom"/>
            <w:tcBorders>
              <w:bottom w:val="single" w:sz="8" w:color="auto"/>
            </w:tcBorders>
          </w:tcPr>
          <w:p>
            <w:pPr>
              <w:spacing w:after="0"/>
              <w:rPr>
                <w:sz w:val="16"/>
                <w:szCs w:val="16"/>
                <w:color w:val="auto"/>
              </w:rPr>
            </w:pPr>
          </w:p>
        </w:tc>
        <w:tc>
          <w:tcPr>
            <w:tcW w:w="25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color w:val="auto"/>
              </w:rPr>
              <w:t>December 31, 2022</w:t>
            </w:r>
          </w:p>
        </w:tc>
        <w:tc>
          <w:tcPr>
            <w:tcW w:w="600" w:type="dxa"/>
            <w:vAlign w:val="bottom"/>
            <w:tcBorders>
              <w:bottom w:val="single" w:sz="8" w:color="auto"/>
            </w:tcBorders>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3"/>
          </w:tcPr>
          <w:p>
            <w:pPr>
              <w:jc w:val="center"/>
              <w:ind w:right="460"/>
              <w:spacing w:after="0" w:line="151" w:lineRule="exact"/>
              <w:rPr>
                <w:sz w:val="20"/>
                <w:szCs w:val="20"/>
                <w:color w:val="auto"/>
              </w:rPr>
            </w:pPr>
            <w:r>
              <w:rPr>
                <w:rFonts w:ascii="Arial" w:cs="Arial" w:eastAsia="Arial" w:hAnsi="Arial"/>
                <w:sz w:val="14"/>
                <w:szCs w:val="14"/>
                <w:color w:val="auto"/>
              </w:rPr>
              <w:t>Scheduled Principal</w:t>
            </w:r>
          </w:p>
        </w:tc>
        <w:tc>
          <w:tcPr>
            <w:tcW w:w="600" w:type="dxa"/>
            <w:vAlign w:val="bottom"/>
            <w:vMerge w:val="restart"/>
          </w:tcPr>
          <w:p>
            <w:pPr>
              <w:jc w:val="right"/>
              <w:ind w:right="180"/>
              <w:spacing w:after="0"/>
              <w:rPr>
                <w:sz w:val="20"/>
                <w:szCs w:val="20"/>
                <w:color w:val="auto"/>
              </w:rPr>
            </w:pPr>
            <w:r>
              <w:rPr>
                <w:rFonts w:ascii="Arial" w:cs="Arial" w:eastAsia="Arial" w:hAnsi="Arial"/>
                <w:sz w:val="14"/>
                <w:szCs w:val="14"/>
                <w:color w:val="auto"/>
              </w:rPr>
              <w:t>Rate</w:t>
            </w:r>
          </w:p>
        </w:tc>
        <w:tc>
          <w:tcPr>
            <w:tcW w:w="2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gridSpan w:val="3"/>
          </w:tcPr>
          <w:p>
            <w:pPr>
              <w:jc w:val="center"/>
              <w:ind w:right="480"/>
              <w:spacing w:after="0" w:line="151" w:lineRule="exact"/>
              <w:rPr>
                <w:sz w:val="20"/>
                <w:szCs w:val="20"/>
                <w:color w:val="auto"/>
              </w:rPr>
            </w:pPr>
            <w:r>
              <w:rPr>
                <w:rFonts w:ascii="Arial" w:cs="Arial" w:eastAsia="Arial" w:hAnsi="Arial"/>
                <w:sz w:val="14"/>
                <w:szCs w:val="14"/>
                <w:color w:val="auto"/>
              </w:rPr>
              <w:t>Scheduled Principal</w:t>
            </w:r>
          </w:p>
        </w:tc>
        <w:tc>
          <w:tcPr>
            <w:tcW w:w="1680" w:type="dxa"/>
            <w:vAlign w:val="bottom"/>
            <w:gridSpan w:val="2"/>
            <w:vMerge w:val="restart"/>
          </w:tcPr>
          <w:p>
            <w:pPr>
              <w:ind w:left="40"/>
              <w:spacing w:after="0"/>
              <w:rPr>
                <w:sz w:val="20"/>
                <w:szCs w:val="20"/>
                <w:color w:val="auto"/>
              </w:rPr>
            </w:pPr>
            <w:r>
              <w:rPr>
                <w:rFonts w:ascii="Arial" w:cs="Arial" w:eastAsia="Arial" w:hAnsi="Arial"/>
                <w:sz w:val="14"/>
                <w:szCs w:val="14"/>
                <w:color w:val="auto"/>
              </w:rPr>
              <w:t>Rate</w:t>
            </w:r>
          </w:p>
        </w:tc>
        <w:tc>
          <w:tcPr>
            <w:tcW w:w="0" w:type="dxa"/>
            <w:vAlign w:val="bottom"/>
          </w:tcPr>
          <w:p>
            <w:pPr>
              <w:spacing w:after="0"/>
              <w:rPr>
                <w:sz w:val="1"/>
                <w:szCs w:val="1"/>
                <w:color w:val="auto"/>
              </w:rPr>
            </w:pPr>
          </w:p>
        </w:tc>
      </w:tr>
      <w:tr>
        <w:trPr>
          <w:trHeight w:val="185"/>
        </w:trPr>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3"/>
          </w:tcPr>
          <w:p>
            <w:pPr>
              <w:jc w:val="center"/>
              <w:ind w:right="460"/>
              <w:spacing w:after="0"/>
              <w:rPr>
                <w:sz w:val="20"/>
                <w:szCs w:val="20"/>
                <w:color w:val="auto"/>
              </w:rPr>
            </w:pPr>
            <w:r>
              <w:rPr>
                <w:rFonts w:ascii="Arial" w:cs="Arial" w:eastAsia="Arial" w:hAnsi="Arial"/>
                <w:sz w:val="14"/>
                <w:szCs w:val="14"/>
                <w:color w:val="auto"/>
              </w:rPr>
              <w:t>Payments</w:t>
            </w:r>
          </w:p>
        </w:tc>
        <w:tc>
          <w:tcPr>
            <w:tcW w:w="600" w:type="dxa"/>
            <w:vAlign w:val="bottom"/>
            <w:vMerge w:val="continue"/>
          </w:tcPr>
          <w:p>
            <w:pPr>
              <w:spacing w:after="0"/>
              <w:rPr>
                <w:sz w:val="16"/>
                <w:szCs w:val="16"/>
                <w:color w:val="auto"/>
              </w:rPr>
            </w:pPr>
          </w:p>
        </w:tc>
        <w:tc>
          <w:tcPr>
            <w:tcW w:w="2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gridSpan w:val="3"/>
          </w:tcPr>
          <w:p>
            <w:pPr>
              <w:jc w:val="center"/>
              <w:ind w:right="480"/>
              <w:spacing w:after="0"/>
              <w:rPr>
                <w:sz w:val="20"/>
                <w:szCs w:val="20"/>
                <w:color w:val="auto"/>
              </w:rPr>
            </w:pPr>
            <w:r>
              <w:rPr>
                <w:rFonts w:ascii="Arial" w:cs="Arial" w:eastAsia="Arial" w:hAnsi="Arial"/>
                <w:sz w:val="14"/>
                <w:szCs w:val="14"/>
                <w:color w:val="auto"/>
              </w:rPr>
              <w:t>Payments</w:t>
            </w:r>
          </w:p>
        </w:tc>
        <w:tc>
          <w:tcPr>
            <w:tcW w:w="16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00" w:type="dxa"/>
            <w:vAlign w:val="bottom"/>
            <w:tcBorders>
              <w:top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2560" w:type="dxa"/>
            <w:vAlign w:val="bottom"/>
            <w:tcBorders>
              <w:top w:val="single" w:sz="8" w:color="CCEEFF"/>
            </w:tcBorders>
            <w:shd w:val="clear" w:color="auto" w:fill="CCEEFF"/>
          </w:tcPr>
          <w:p>
            <w:pPr>
              <w:ind w:left="1080"/>
              <w:spacing w:after="0"/>
              <w:rPr>
                <w:sz w:val="20"/>
                <w:szCs w:val="20"/>
                <w:color w:val="auto"/>
              </w:rPr>
            </w:pPr>
            <w:r>
              <w:rPr>
                <w:rFonts w:ascii="Arial" w:cs="Arial" w:eastAsia="Arial" w:hAnsi="Arial"/>
                <w:sz w:val="16"/>
                <w:szCs w:val="16"/>
                <w:color w:val="auto"/>
              </w:rPr>
              <w:t>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0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00" w:type="dxa"/>
            <w:vAlign w:val="bottom"/>
          </w:tcPr>
          <w:p>
            <w:pPr>
              <w:ind w:left="1060"/>
              <w:spacing w:after="0"/>
              <w:rPr>
                <w:sz w:val="20"/>
                <w:szCs w:val="20"/>
                <w:color w:val="auto"/>
              </w:rPr>
            </w:pPr>
            <w:r>
              <w:rPr>
                <w:rFonts w:ascii="Arial" w:cs="Arial" w:eastAsia="Arial" w:hAnsi="Arial"/>
                <w:sz w:val="16"/>
                <w:szCs w:val="16"/>
                <w:color w:val="auto"/>
              </w:rPr>
              <w:t>2025</w:t>
            </w:r>
          </w:p>
        </w:tc>
        <w:tc>
          <w:tcPr>
            <w:tcW w:w="120" w:type="dxa"/>
            <w:vAlign w:val="bottom"/>
          </w:tcPr>
          <w:p>
            <w:pPr>
              <w:spacing w:after="0"/>
              <w:rPr>
                <w:sz w:val="18"/>
                <w:szCs w:val="18"/>
                <w:color w:val="auto"/>
              </w:rPr>
            </w:pPr>
          </w:p>
        </w:tc>
        <w:tc>
          <w:tcPr>
            <w:tcW w:w="1820" w:type="dxa"/>
            <w:vAlign w:val="bottom"/>
            <w:gridSpan w:val="3"/>
          </w:tcPr>
          <w:p>
            <w:pPr>
              <w:jc w:val="right"/>
              <w:ind w:right="4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 %</w:t>
            </w:r>
          </w:p>
        </w:tc>
        <w:tc>
          <w:tcPr>
            <w:tcW w:w="2560" w:type="dxa"/>
            <w:vAlign w:val="bottom"/>
          </w:tcPr>
          <w:p>
            <w:pPr>
              <w:ind w:left="1080"/>
              <w:spacing w:after="0"/>
              <w:rPr>
                <w:sz w:val="20"/>
                <w:szCs w:val="20"/>
                <w:color w:val="auto"/>
              </w:rPr>
            </w:pPr>
            <w:r>
              <w:rPr>
                <w:rFonts w:ascii="Arial" w:cs="Arial" w:eastAsia="Arial" w:hAnsi="Arial"/>
                <w:sz w:val="16"/>
                <w:szCs w:val="16"/>
                <w:color w:val="auto"/>
              </w:rPr>
              <w:t>2024</w:t>
            </w:r>
          </w:p>
        </w:tc>
        <w:tc>
          <w:tcPr>
            <w:tcW w:w="140" w:type="dxa"/>
            <w:vAlign w:val="bottom"/>
          </w:tcPr>
          <w:p>
            <w:pPr>
              <w:spacing w:after="0"/>
              <w:rPr>
                <w:sz w:val="18"/>
                <w:szCs w:val="18"/>
                <w:color w:val="auto"/>
              </w:rPr>
            </w:pPr>
          </w:p>
        </w:tc>
        <w:tc>
          <w:tcPr>
            <w:tcW w:w="180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110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7"/>
        </w:trPr>
        <w:tc>
          <w:tcPr>
            <w:tcW w:w="2500" w:type="dxa"/>
            <w:vAlign w:val="bottom"/>
            <w:shd w:val="clear" w:color="auto" w:fill="CCEEFF"/>
          </w:tcPr>
          <w:p>
            <w:pPr>
              <w:ind w:left="1060"/>
              <w:spacing w:after="0"/>
              <w:rPr>
                <w:sz w:val="20"/>
                <w:szCs w:val="20"/>
                <w:color w:val="auto"/>
              </w:rPr>
            </w:pPr>
            <w:r>
              <w:rPr>
                <w:rFonts w:ascii="Arial" w:cs="Arial" w:eastAsia="Arial" w:hAnsi="Arial"/>
                <w:sz w:val="16"/>
                <w:szCs w:val="16"/>
                <w:color w:val="auto"/>
              </w:rPr>
              <w:t>2026</w:t>
            </w:r>
          </w:p>
        </w:tc>
        <w:tc>
          <w:tcPr>
            <w:tcW w:w="1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256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2025</w:t>
            </w:r>
          </w:p>
        </w:tc>
        <w:tc>
          <w:tcPr>
            <w:tcW w:w="1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CCEEFF"/>
          </w:tcPr>
          <w:p>
            <w:pPr>
              <w:jc w:val="right"/>
              <w:ind w:right="110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5"/>
        </w:trPr>
        <w:tc>
          <w:tcPr>
            <w:tcW w:w="2500" w:type="dxa"/>
            <w:vAlign w:val="bottom"/>
          </w:tcPr>
          <w:p>
            <w:pPr>
              <w:ind w:left="1060"/>
              <w:spacing w:after="0"/>
              <w:rPr>
                <w:sz w:val="20"/>
                <w:szCs w:val="20"/>
                <w:color w:val="auto"/>
              </w:rPr>
            </w:pPr>
            <w:r>
              <w:rPr>
                <w:rFonts w:ascii="Arial" w:cs="Arial" w:eastAsia="Arial" w:hAnsi="Arial"/>
                <w:sz w:val="16"/>
                <w:szCs w:val="16"/>
                <w:color w:val="auto"/>
              </w:rPr>
              <w:t>2027</w:t>
            </w:r>
          </w:p>
        </w:tc>
        <w:tc>
          <w:tcPr>
            <w:tcW w:w="120" w:type="dxa"/>
            <w:vAlign w:val="bottom"/>
          </w:tcPr>
          <w:p>
            <w:pPr>
              <w:spacing w:after="0"/>
              <w:rPr>
                <w:sz w:val="18"/>
                <w:szCs w:val="18"/>
                <w:color w:val="auto"/>
              </w:rPr>
            </w:pPr>
          </w:p>
        </w:tc>
        <w:tc>
          <w:tcPr>
            <w:tcW w:w="1820" w:type="dxa"/>
            <w:vAlign w:val="bottom"/>
            <w:gridSpan w:val="3"/>
          </w:tcPr>
          <w:p>
            <w:pPr>
              <w:jc w:val="right"/>
              <w:ind w:right="4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 %</w:t>
            </w:r>
          </w:p>
        </w:tc>
        <w:tc>
          <w:tcPr>
            <w:tcW w:w="2560" w:type="dxa"/>
            <w:vAlign w:val="bottom"/>
          </w:tcPr>
          <w:p>
            <w:pPr>
              <w:ind w:left="1080"/>
              <w:spacing w:after="0"/>
              <w:rPr>
                <w:sz w:val="20"/>
                <w:szCs w:val="20"/>
                <w:color w:val="auto"/>
              </w:rPr>
            </w:pPr>
            <w:r>
              <w:rPr>
                <w:rFonts w:ascii="Arial" w:cs="Arial" w:eastAsia="Arial" w:hAnsi="Arial"/>
                <w:sz w:val="16"/>
                <w:szCs w:val="16"/>
                <w:color w:val="auto"/>
              </w:rPr>
              <w:t>2026</w:t>
            </w:r>
          </w:p>
        </w:tc>
        <w:tc>
          <w:tcPr>
            <w:tcW w:w="140" w:type="dxa"/>
            <w:vAlign w:val="bottom"/>
          </w:tcPr>
          <w:p>
            <w:pPr>
              <w:spacing w:after="0"/>
              <w:rPr>
                <w:sz w:val="18"/>
                <w:szCs w:val="18"/>
                <w:color w:val="auto"/>
              </w:rPr>
            </w:pPr>
          </w:p>
        </w:tc>
        <w:tc>
          <w:tcPr>
            <w:tcW w:w="180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110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7"/>
        </w:trPr>
        <w:tc>
          <w:tcPr>
            <w:tcW w:w="2500" w:type="dxa"/>
            <w:vAlign w:val="bottom"/>
            <w:shd w:val="clear" w:color="auto" w:fill="CCEEFF"/>
          </w:tcPr>
          <w:p>
            <w:pPr>
              <w:ind w:left="1060"/>
              <w:spacing w:after="0"/>
              <w:rPr>
                <w:sz w:val="20"/>
                <w:szCs w:val="20"/>
                <w:color w:val="auto"/>
              </w:rPr>
            </w:pPr>
            <w:r>
              <w:rPr>
                <w:rFonts w:ascii="Arial" w:cs="Arial" w:eastAsia="Arial" w:hAnsi="Arial"/>
                <w:sz w:val="16"/>
                <w:szCs w:val="16"/>
                <w:color w:val="auto"/>
              </w:rPr>
              <w:t>2028</w:t>
            </w:r>
          </w:p>
        </w:tc>
        <w:tc>
          <w:tcPr>
            <w:tcW w:w="1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256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2027</w:t>
            </w:r>
          </w:p>
        </w:tc>
        <w:tc>
          <w:tcPr>
            <w:tcW w:w="14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CCEEFF"/>
          </w:tcPr>
          <w:p>
            <w:pPr>
              <w:jc w:val="right"/>
              <w:ind w:right="110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5"/>
        </w:trPr>
        <w:tc>
          <w:tcPr>
            <w:tcW w:w="2500" w:type="dxa"/>
            <w:vAlign w:val="bottom"/>
            <w:tcBorders>
              <w:bottom w:val="single" w:sz="8" w:color="CCEEFF"/>
            </w:tcBorders>
          </w:tcPr>
          <w:p>
            <w:pPr>
              <w:ind w:left="1060"/>
              <w:spacing w:after="0"/>
              <w:rPr>
                <w:sz w:val="20"/>
                <w:szCs w:val="20"/>
                <w:color w:val="auto"/>
              </w:rPr>
            </w:pPr>
            <w:r>
              <w:rPr>
                <w:rFonts w:ascii="Arial" w:cs="Arial" w:eastAsia="Arial" w:hAnsi="Arial"/>
                <w:sz w:val="16"/>
                <w:szCs w:val="16"/>
                <w:color w:val="auto"/>
              </w:rPr>
              <w:t>Thereafter</w:t>
            </w: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1,498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4.9 %</w:t>
            </w:r>
          </w:p>
        </w:tc>
        <w:tc>
          <w:tcPr>
            <w:tcW w:w="2560" w:type="dxa"/>
            <w:vAlign w:val="bottom"/>
            <w:tcBorders>
              <w:bottom w:val="single" w:sz="8" w:color="CCEEFF"/>
            </w:tcBorders>
          </w:tcPr>
          <w:p>
            <w:pPr>
              <w:ind w:left="1080"/>
              <w:spacing w:after="0"/>
              <w:rPr>
                <w:sz w:val="20"/>
                <w:szCs w:val="20"/>
                <w:color w:val="auto"/>
              </w:rPr>
            </w:pPr>
            <w:r>
              <w:rPr>
                <w:rFonts w:ascii="Arial" w:cs="Arial" w:eastAsia="Arial" w:hAnsi="Arial"/>
                <w:sz w:val="16"/>
                <w:szCs w:val="16"/>
                <w:color w:val="auto"/>
              </w:rPr>
              <w:t>Thereafter</w:t>
            </w: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1,521</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4.9 %</w:t>
            </w:r>
          </w:p>
        </w:tc>
        <w:tc>
          <w:tcPr>
            <w:tcW w:w="10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50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1,498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4.9 %</w:t>
            </w:r>
          </w:p>
        </w:tc>
        <w:tc>
          <w:tcPr>
            <w:tcW w:w="25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1,521</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4.9 %</w:t>
            </w: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250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Fair Value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1,345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25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6"/>
                <w:szCs w:val="16"/>
                <w:color w:val="auto"/>
              </w:rPr>
              <w:t>Fair Value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1,302</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4" w:name="page85"/>
    <w:bookmarkEnd w:id="8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36"/>
          <w:szCs w:val="36"/>
          <w:b w:val="1"/>
          <w:bCs w:val="1"/>
          <w:color w:val="00274E"/>
        </w:rPr>
        <w:t>Item 8. Financial Statements and Supplementary Data</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0780" w:type="dxa"/>
            <w:vAlign w:val="bottom"/>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Page</w:t>
            </w:r>
          </w:p>
        </w:tc>
      </w:tr>
      <w:tr>
        <w:trPr>
          <w:trHeight w:val="234"/>
        </w:trPr>
        <w:tc>
          <w:tcPr>
            <w:tcW w:w="10780" w:type="dxa"/>
            <w:vAlign w:val="bottom"/>
          </w:tcPr>
          <w:p>
            <w:pPr>
              <w:spacing w:after="0"/>
              <w:rPr>
                <w:sz w:val="20"/>
                <w:szCs w:val="20"/>
                <w:color w:val="auto"/>
              </w:rPr>
            </w:pPr>
            <w:r>
              <w:rPr>
                <w:rFonts w:ascii="Arial" w:cs="Arial" w:eastAsia="Arial" w:hAnsi="Arial"/>
                <w:sz w:val="16"/>
                <w:szCs w:val="16"/>
                <w:color w:val="auto"/>
              </w:rPr>
              <w:t>Report of Independent Registered Public Accounting Firm (PCAOB ID: 42)</w:t>
            </w:r>
          </w:p>
        </w:tc>
        <w:tc>
          <w:tcPr>
            <w:tcW w:w="400" w:type="dxa"/>
            <w:vAlign w:val="bottom"/>
          </w:tcPr>
          <w:p>
            <w:pPr>
              <w:jc w:val="right"/>
              <w:spacing w:after="0"/>
              <w:rPr>
                <w:sz w:val="20"/>
                <w:szCs w:val="20"/>
                <w:color w:val="auto"/>
              </w:rPr>
            </w:pPr>
            <w:r>
              <w:rPr>
                <w:rFonts w:ascii="Arial" w:cs="Arial" w:eastAsia="Arial" w:hAnsi="Arial"/>
                <w:sz w:val="16"/>
                <w:szCs w:val="16"/>
                <w:color w:val="0000FF"/>
              </w:rPr>
              <w:t>F-</w:t>
            </w:r>
            <w:r>
              <w:rPr>
                <w:rFonts w:ascii="Arial" w:cs="Arial" w:eastAsia="Arial" w:hAnsi="Arial"/>
                <w:sz w:val="16"/>
                <w:szCs w:val="16"/>
                <w:color w:val="0E32E1"/>
              </w:rPr>
              <w:t>1</w:t>
            </w:r>
          </w:p>
        </w:tc>
      </w:tr>
      <w:tr>
        <w:trPr>
          <w:trHeight w:val="216"/>
        </w:trPr>
        <w:tc>
          <w:tcPr>
            <w:tcW w:w="10780" w:type="dxa"/>
            <w:vAlign w:val="bottom"/>
          </w:tcPr>
          <w:p>
            <w:pPr>
              <w:spacing w:after="0"/>
              <w:rPr>
                <w:sz w:val="20"/>
                <w:szCs w:val="20"/>
                <w:color w:val="auto"/>
              </w:rPr>
            </w:pPr>
            <w:r>
              <w:rPr>
                <w:rFonts w:ascii="Arial" w:cs="Arial" w:eastAsia="Arial" w:hAnsi="Arial"/>
                <w:sz w:val="16"/>
                <w:szCs w:val="16"/>
                <w:color w:val="auto"/>
              </w:rPr>
              <w:t>Consolidated Balance Sheet as of December 31, 2023 and 2022</w:t>
            </w:r>
          </w:p>
        </w:tc>
        <w:tc>
          <w:tcPr>
            <w:tcW w:w="400" w:type="dxa"/>
            <w:vAlign w:val="bottom"/>
          </w:tcPr>
          <w:p>
            <w:pPr>
              <w:jc w:val="right"/>
              <w:spacing w:after="0"/>
              <w:rPr>
                <w:sz w:val="20"/>
                <w:szCs w:val="20"/>
                <w:color w:val="auto"/>
              </w:rPr>
            </w:pPr>
            <w:r>
              <w:rPr>
                <w:rFonts w:ascii="Arial" w:cs="Arial" w:eastAsia="Arial" w:hAnsi="Arial"/>
                <w:sz w:val="16"/>
                <w:szCs w:val="16"/>
                <w:color w:val="0E32E1"/>
              </w:rPr>
              <w:t>F-3</w:t>
            </w:r>
          </w:p>
        </w:tc>
      </w:tr>
      <w:tr>
        <w:trPr>
          <w:trHeight w:val="216"/>
        </w:trPr>
        <w:tc>
          <w:tcPr>
            <w:tcW w:w="10780" w:type="dxa"/>
            <w:vAlign w:val="bottom"/>
          </w:tcPr>
          <w:p>
            <w:pPr>
              <w:spacing w:after="0"/>
              <w:rPr>
                <w:sz w:val="20"/>
                <w:szCs w:val="20"/>
                <w:color w:val="auto"/>
              </w:rPr>
            </w:pPr>
            <w:r>
              <w:rPr>
                <w:rFonts w:ascii="Arial" w:cs="Arial" w:eastAsia="Arial" w:hAnsi="Arial"/>
                <w:sz w:val="16"/>
                <w:szCs w:val="16"/>
                <w:color w:val="auto"/>
              </w:rPr>
              <w:t>Consolidated Statement of Earnings for the years ended December 31, 2023, 2022 and 2021</w:t>
            </w:r>
          </w:p>
        </w:tc>
        <w:tc>
          <w:tcPr>
            <w:tcW w:w="400" w:type="dxa"/>
            <w:vAlign w:val="bottom"/>
          </w:tcPr>
          <w:p>
            <w:pPr>
              <w:jc w:val="right"/>
              <w:spacing w:after="0"/>
              <w:rPr>
                <w:sz w:val="20"/>
                <w:szCs w:val="20"/>
                <w:color w:val="auto"/>
              </w:rPr>
            </w:pPr>
            <w:r>
              <w:rPr>
                <w:rFonts w:ascii="Arial" w:cs="Arial" w:eastAsia="Arial" w:hAnsi="Arial"/>
                <w:sz w:val="16"/>
                <w:szCs w:val="16"/>
                <w:color w:val="0E32E1"/>
              </w:rPr>
              <w:t>F-4</w:t>
            </w:r>
          </w:p>
        </w:tc>
      </w:tr>
      <w:tr>
        <w:trPr>
          <w:trHeight w:val="216"/>
        </w:trPr>
        <w:tc>
          <w:tcPr>
            <w:tcW w:w="10780" w:type="dxa"/>
            <w:vAlign w:val="bottom"/>
          </w:tcPr>
          <w:p>
            <w:pPr>
              <w:spacing w:after="0"/>
              <w:rPr>
                <w:sz w:val="20"/>
                <w:szCs w:val="20"/>
                <w:color w:val="auto"/>
              </w:rPr>
            </w:pPr>
            <w:r>
              <w:rPr>
                <w:rFonts w:ascii="Arial" w:cs="Arial" w:eastAsia="Arial" w:hAnsi="Arial"/>
                <w:sz w:val="16"/>
                <w:szCs w:val="16"/>
                <w:color w:val="auto"/>
              </w:rPr>
              <w:t>Consolidated Statement of Comprehensive Income for the years ended December 31, 2023, 2022 and 2021</w:t>
            </w:r>
          </w:p>
        </w:tc>
        <w:tc>
          <w:tcPr>
            <w:tcW w:w="400" w:type="dxa"/>
            <w:vAlign w:val="bottom"/>
          </w:tcPr>
          <w:p>
            <w:pPr>
              <w:jc w:val="right"/>
              <w:spacing w:after="0"/>
              <w:rPr>
                <w:sz w:val="20"/>
                <w:szCs w:val="20"/>
                <w:color w:val="auto"/>
              </w:rPr>
            </w:pPr>
            <w:r>
              <w:rPr>
                <w:rFonts w:ascii="Arial" w:cs="Arial" w:eastAsia="Arial" w:hAnsi="Arial"/>
                <w:sz w:val="16"/>
                <w:szCs w:val="16"/>
                <w:color w:val="0E32E1"/>
              </w:rPr>
              <w:t>F-5</w:t>
            </w:r>
          </w:p>
        </w:tc>
      </w:tr>
      <w:tr>
        <w:trPr>
          <w:trHeight w:val="216"/>
        </w:trPr>
        <w:tc>
          <w:tcPr>
            <w:tcW w:w="10780" w:type="dxa"/>
            <w:vAlign w:val="bottom"/>
          </w:tcPr>
          <w:p>
            <w:pPr>
              <w:spacing w:after="0"/>
              <w:rPr>
                <w:sz w:val="20"/>
                <w:szCs w:val="20"/>
                <w:color w:val="auto"/>
              </w:rPr>
            </w:pPr>
            <w:r>
              <w:rPr>
                <w:rFonts w:ascii="Arial" w:cs="Arial" w:eastAsia="Arial" w:hAnsi="Arial"/>
                <w:sz w:val="16"/>
                <w:szCs w:val="16"/>
                <w:color w:val="auto"/>
              </w:rPr>
              <w:t>Consolidated Statement of Changes in Equity for the years ended December 31, 2023, 2022 and 2021</w:t>
            </w:r>
          </w:p>
        </w:tc>
        <w:tc>
          <w:tcPr>
            <w:tcW w:w="400" w:type="dxa"/>
            <w:vAlign w:val="bottom"/>
          </w:tcPr>
          <w:p>
            <w:pPr>
              <w:jc w:val="right"/>
              <w:spacing w:after="0"/>
              <w:rPr>
                <w:sz w:val="20"/>
                <w:szCs w:val="20"/>
                <w:color w:val="auto"/>
              </w:rPr>
            </w:pPr>
            <w:r>
              <w:rPr>
                <w:rFonts w:ascii="Arial" w:cs="Arial" w:eastAsia="Arial" w:hAnsi="Arial"/>
                <w:sz w:val="16"/>
                <w:szCs w:val="16"/>
                <w:color w:val="0000FF"/>
              </w:rPr>
              <w:t>F-</w:t>
            </w:r>
            <w:r>
              <w:rPr>
                <w:rFonts w:ascii="Arial" w:cs="Arial" w:eastAsia="Arial" w:hAnsi="Arial"/>
                <w:sz w:val="16"/>
                <w:szCs w:val="16"/>
                <w:color w:val="0E32E1"/>
              </w:rPr>
              <w:t>6</w:t>
            </w:r>
          </w:p>
        </w:tc>
      </w:tr>
      <w:tr>
        <w:trPr>
          <w:trHeight w:val="216"/>
        </w:trPr>
        <w:tc>
          <w:tcPr>
            <w:tcW w:w="10780" w:type="dxa"/>
            <w:vAlign w:val="bottom"/>
          </w:tcPr>
          <w:p>
            <w:pPr>
              <w:spacing w:after="0"/>
              <w:rPr>
                <w:sz w:val="20"/>
                <w:szCs w:val="20"/>
                <w:color w:val="auto"/>
              </w:rPr>
            </w:pPr>
            <w:r>
              <w:rPr>
                <w:rFonts w:ascii="Arial" w:cs="Arial" w:eastAsia="Arial" w:hAnsi="Arial"/>
                <w:sz w:val="16"/>
                <w:szCs w:val="16"/>
                <w:color w:val="auto"/>
              </w:rPr>
              <w:t>Consolidated Statement of Cash Flows for the years ended December 31, 2023, 2022 and 2021</w:t>
            </w:r>
          </w:p>
        </w:tc>
        <w:tc>
          <w:tcPr>
            <w:tcW w:w="400" w:type="dxa"/>
            <w:vAlign w:val="bottom"/>
          </w:tcPr>
          <w:p>
            <w:pPr>
              <w:jc w:val="right"/>
              <w:spacing w:after="0"/>
              <w:rPr>
                <w:sz w:val="20"/>
                <w:szCs w:val="20"/>
                <w:color w:val="auto"/>
              </w:rPr>
            </w:pPr>
            <w:r>
              <w:rPr>
                <w:rFonts w:ascii="Arial" w:cs="Arial" w:eastAsia="Arial" w:hAnsi="Arial"/>
                <w:sz w:val="16"/>
                <w:szCs w:val="16"/>
                <w:color w:val="0000FF"/>
              </w:rPr>
              <w:t>F-</w:t>
            </w:r>
            <w:r>
              <w:rPr>
                <w:rFonts w:ascii="Arial" w:cs="Arial" w:eastAsia="Arial" w:hAnsi="Arial"/>
                <w:sz w:val="16"/>
                <w:szCs w:val="16"/>
                <w:color w:val="0E32E1"/>
              </w:rPr>
              <w:t>7</w:t>
            </w:r>
          </w:p>
        </w:tc>
      </w:tr>
      <w:tr>
        <w:trPr>
          <w:trHeight w:val="216"/>
        </w:trPr>
        <w:tc>
          <w:tcPr>
            <w:tcW w:w="10780" w:type="dxa"/>
            <w:vAlign w:val="bottom"/>
          </w:tcPr>
          <w:p>
            <w:pPr>
              <w:spacing w:after="0"/>
              <w:rPr>
                <w:sz w:val="20"/>
                <w:szCs w:val="20"/>
                <w:color w:val="auto"/>
              </w:rPr>
            </w:pPr>
            <w:r>
              <w:rPr>
                <w:rFonts w:ascii="Arial" w:cs="Arial" w:eastAsia="Arial" w:hAnsi="Arial"/>
                <w:sz w:val="16"/>
                <w:szCs w:val="16"/>
                <w:color w:val="auto"/>
              </w:rPr>
              <w:t>Notes to Consolidated Financial Statements</w:t>
            </w:r>
          </w:p>
        </w:tc>
        <w:tc>
          <w:tcPr>
            <w:tcW w:w="400" w:type="dxa"/>
            <w:vAlign w:val="bottom"/>
          </w:tcPr>
          <w:p>
            <w:pPr>
              <w:jc w:val="right"/>
              <w:spacing w:after="0"/>
              <w:rPr>
                <w:sz w:val="20"/>
                <w:szCs w:val="20"/>
                <w:color w:val="auto"/>
              </w:rPr>
            </w:pPr>
            <w:r>
              <w:rPr>
                <w:rFonts w:ascii="Arial" w:cs="Arial" w:eastAsia="Arial" w:hAnsi="Arial"/>
                <w:sz w:val="16"/>
                <w:szCs w:val="16"/>
                <w:color w:val="0000FF"/>
              </w:rPr>
              <w:t>F-</w:t>
            </w:r>
            <w:r>
              <w:rPr>
                <w:rFonts w:ascii="Arial" w:cs="Arial" w:eastAsia="Arial" w:hAnsi="Arial"/>
                <w:sz w:val="16"/>
                <w:szCs w:val="16"/>
                <w:color w:val="0E32E1"/>
              </w:rPr>
              <w:t>8</w:t>
            </w:r>
          </w:p>
        </w:tc>
      </w:tr>
    </w:tbl>
    <w:p>
      <w:pPr>
        <w:spacing w:after="0" w:line="234" w:lineRule="exact"/>
        <w:rPr>
          <w:sz w:val="20"/>
          <w:szCs w:val="20"/>
          <w:color w:val="auto"/>
        </w:rPr>
      </w:pPr>
    </w:p>
    <w:p>
      <w:pPr>
        <w:ind w:right="960"/>
        <w:spacing w:after="0" w:line="255" w:lineRule="auto"/>
        <w:rPr>
          <w:sz w:val="20"/>
          <w:szCs w:val="20"/>
          <w:color w:val="auto"/>
        </w:rPr>
      </w:pPr>
      <w:r>
        <w:rPr>
          <w:rFonts w:ascii="Arial" w:cs="Arial" w:eastAsia="Arial" w:hAnsi="Arial"/>
          <w:sz w:val="36"/>
          <w:szCs w:val="36"/>
          <w:b w:val="1"/>
          <w:bCs w:val="1"/>
          <w:color w:val="00274E"/>
        </w:rPr>
        <w:t>Item 9. Changes in and Disagreements with Accountants on Accounting and Financial Disclosure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45" w:lineRule="exact"/>
        <w:rPr>
          <w:sz w:val="20"/>
          <w:szCs w:val="20"/>
          <w:color w:val="auto"/>
        </w:rPr>
      </w:pPr>
    </w:p>
    <w:p>
      <w:pPr>
        <w:spacing w:after="0"/>
        <w:rPr>
          <w:sz w:val="20"/>
          <w:szCs w:val="20"/>
          <w:color w:val="auto"/>
        </w:rPr>
      </w:pPr>
      <w:r>
        <w:rPr>
          <w:rFonts w:ascii="Arial" w:cs="Arial" w:eastAsia="Arial" w:hAnsi="Arial"/>
          <w:sz w:val="36"/>
          <w:szCs w:val="36"/>
          <w:b w:val="1"/>
          <w:bCs w:val="1"/>
          <w:color w:val="00274E"/>
        </w:rPr>
        <w:t>Item 9A. Controls and Procedures</w:t>
      </w:r>
    </w:p>
    <w:p>
      <w:pPr>
        <w:spacing w:after="0" w:line="36"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AFG’s management, with participation of its Co-Chief Executive Officers and its Chief Financial Officer, has evaluated AFG’s disclosure controls and procedures (as defined in Exchange Act Rule 13a-15) as of the end of the period covered by this report. Based on that evaluation, AFG’s Co-CEOs and CFO concluded that the controls and procedures are effective. There have been no changes in AFG’s internal control over financial reporting during the fourth fiscal quarter of 2023 that materially affected, or are reasonably likely to materially affect, AFG’s internal control over financial reporting.</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00274E"/>
        </w:rPr>
        <w:t>MANAGEMENT’S REPORT ON INTERNAL CONTROL OVER FINANCIAL REPORTING</w:t>
      </w:r>
    </w:p>
    <w:p>
      <w:pPr>
        <w:spacing w:after="0" w:line="257"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AFG’s management is responsible for establishing and maintaining adequate internal control over financial reporting, as such term is defined in Securities Exchange Act Rules 13a-15(f). Under the supervision and with the participation of management, including AFG’s Co-Chief Executive Officers and Chief Financial Officer, AFG conducted an evaluation of the effectiveness of internal control over financial reporting as of December 31, 2023, based on the criteria set forth in “Internal Control — Integrated Framework” issued in 2013 by the Committee of Sponsoring Organizations of the Treadway Commission.</w:t>
      </w:r>
    </w:p>
    <w:p>
      <w:pPr>
        <w:spacing w:after="0" w:line="206"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 xml:space="preserve">In conducting AFG’s evaluation of the effectiveness of its internal control over financial reporting, AFG has not included Crop Risk Services (“CRS”), which was acquired in 2023. CRS constituted less than 1% of total assets and total net assets as of December 31, 2023 and less than 1% of total revenues and net earnings for the year then ended. CRS’ operations will be included in AFG’s assessment as of December 31, 2024. Refer to </w:t>
      </w:r>
      <w:r>
        <w:rPr>
          <w:rFonts w:ascii="Arial" w:cs="Arial" w:eastAsia="Arial" w:hAnsi="Arial"/>
          <w:sz w:val="17"/>
          <w:szCs w:val="17"/>
          <w:i w:val="1"/>
          <w:iCs w:val="1"/>
          <w:color w:val="auto"/>
        </w:rPr>
        <w:t>Note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 — “Acquisitions and Sale of Businesses” </w:t>
      </w:r>
      <w:r>
        <w:rPr>
          <w:rFonts w:ascii="Arial" w:cs="Arial" w:eastAsia="Arial" w:hAnsi="Arial"/>
          <w:sz w:val="17"/>
          <w:szCs w:val="17"/>
          <w:color w:val="auto"/>
        </w:rPr>
        <w:t>to the consolidated financial statements for further discussion of this acquisition.</w:t>
      </w:r>
    </w:p>
    <w:p>
      <w:pPr>
        <w:spacing w:after="0" w:line="20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There are inherent limitations to the effectiveness of any system of internal controls and procedures, including the possibility of human error and the circumvention or overriding of the controls and procedures. Accordingly, even effective internal controls and procedures can only provide reasonable assurance of achieving their control objectives.</w:t>
      </w:r>
    </w:p>
    <w:p>
      <w:pPr>
        <w:spacing w:after="0" w:line="201"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Based on AFG’s evaluation, management concluded that internal control over financial reporting was effective as of December 31, 2023. The attestation report of AFG’s independent registered public accounting firm on AFG’s internal control over financial reporting as of December 31, 2023, is set forth on page 84.</w:t>
      </w:r>
    </w:p>
    <w:p>
      <w:pPr>
        <w:spacing w:after="0" w:line="192" w:lineRule="exact"/>
        <w:rPr>
          <w:sz w:val="20"/>
          <w:szCs w:val="20"/>
          <w:color w:val="auto"/>
        </w:rPr>
      </w:pPr>
    </w:p>
    <w:p>
      <w:pPr>
        <w:spacing w:after="0"/>
        <w:rPr>
          <w:sz w:val="20"/>
          <w:szCs w:val="20"/>
          <w:color w:val="auto"/>
        </w:rPr>
      </w:pPr>
      <w:r>
        <w:rPr>
          <w:rFonts w:ascii="Arial" w:cs="Arial" w:eastAsia="Arial" w:hAnsi="Arial"/>
          <w:sz w:val="36"/>
          <w:szCs w:val="36"/>
          <w:b w:val="1"/>
          <w:bCs w:val="1"/>
          <w:color w:val="00274E"/>
        </w:rPr>
        <w:t>Item 9B. Other Information</w:t>
      </w:r>
    </w:p>
    <w:p>
      <w:pPr>
        <w:spacing w:after="0" w:line="36" w:lineRule="exact"/>
        <w:rPr>
          <w:sz w:val="20"/>
          <w:szCs w:val="20"/>
          <w:color w:val="auto"/>
        </w:rPr>
      </w:pPr>
    </w:p>
    <w:p>
      <w:pPr>
        <w:ind w:right="300"/>
        <w:spacing w:after="0" w:line="264" w:lineRule="auto"/>
        <w:rPr>
          <w:sz w:val="20"/>
          <w:szCs w:val="20"/>
          <w:color w:val="auto"/>
        </w:rPr>
      </w:pPr>
      <w:r>
        <w:rPr>
          <w:rFonts w:ascii="Arial" w:cs="Arial" w:eastAsia="Arial" w:hAnsi="Arial"/>
          <w:sz w:val="17"/>
          <w:szCs w:val="17"/>
          <w:color w:val="auto"/>
        </w:rPr>
        <w:t>During the three months ended December 31, 2023, none of the Company’s directors or officers adopted, terminated or modified a “Rule 10b5-1 trading arrangement” or “non-Rule 10b5-1 trading arrangement,” as those terms are defined in Regulation S-K, Item 408.</w:t>
      </w:r>
    </w:p>
    <w:p>
      <w:pPr>
        <w:spacing w:after="0" w:line="200" w:lineRule="exact"/>
        <w:rPr>
          <w:sz w:val="20"/>
          <w:szCs w:val="20"/>
          <w:color w:val="auto"/>
        </w:rPr>
      </w:pPr>
    </w:p>
    <w:p>
      <w:pPr>
        <w:ind w:right="40"/>
        <w:spacing w:after="0" w:line="255" w:lineRule="auto"/>
        <w:rPr>
          <w:sz w:val="20"/>
          <w:szCs w:val="20"/>
          <w:color w:val="auto"/>
        </w:rPr>
      </w:pPr>
      <w:r>
        <w:rPr>
          <w:rFonts w:ascii="Arial" w:cs="Arial" w:eastAsia="Arial" w:hAnsi="Arial"/>
          <w:sz w:val="36"/>
          <w:szCs w:val="36"/>
          <w:b w:val="1"/>
          <w:bCs w:val="1"/>
          <w:color w:val="00274E"/>
        </w:rPr>
        <w:t>Item 9C. Disclosure Regarding Foreign Jurisdictions that Prevent Inspections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ectPr>
          <w:pgSz w:w="11900" w:h="16838" w:orient="portrait"/>
          <w:cols w:equalWidth="0" w:num="1">
            <w:col w:w="11200"/>
          </w:cols>
          <w:pgMar w:left="320" w:top="115" w:right="37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00274E"/>
        </w:rPr>
        <w:t>REPORT OF INDEPENDENT REGISTERED PUBLIC ACCOUNTING FIRM</w:t>
      </w:r>
    </w:p>
    <w:p>
      <w:pPr>
        <w:spacing w:after="0" w:line="33"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00274E"/>
        </w:rPr>
        <w:t>ON INTERNAL CONTROL OVER FINANCIAL REPORTING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 the Shareholders and Board of Directors of American Financial Group, Inc. and subsidiaries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Internal Control Over Financial Reporting</w:t>
      </w:r>
    </w:p>
    <w:p>
      <w:pPr>
        <w:spacing w:after="0" w:line="37"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We have audited American Financial Group, Inc. and subsidiaries’ internal control over financial reporting as of December 31, 2023, based on criteria established in Internal Control-Integrated Framework issued by the Committee of Sponsoring Organizations of the Treadway Commission (2013 framework) (the “COSO criteria”). In our opinion, American Financial Group, Inc. and subsidiaries (the “Company”) maintained, in all material respects, effective internal control over financial reporting as of December 31, 2023, based on the COSO criteria.</w:t>
      </w:r>
    </w:p>
    <w:p>
      <w:pPr>
        <w:spacing w:after="0" w:line="209"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 of the Company as of December 31, 2023 and 2022, the related consolidated statements of earnings, comprehensive income, changes in equity and cash flows for each of the three years in the period ended December 31, 2023, and the related notes and financial statement schedules listed in the Index at Item 15(a)(2) and our report dated February 23, 2024 expressed an unqualified opinion thereon.</w:t>
      </w:r>
    </w:p>
    <w:p>
      <w:pPr>
        <w:spacing w:after="0" w:line="200"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As indicated in the accompanying Management’s Report on Internal Control over Financial Reporting, management’s assessment of and conclusion on the effectiveness of internal control over financial reporting did not include the internal controls of Crop Risk Services, which is included in the 2023 consolidated financial statements of the Company and constituted less than 1% of total and net assets as of December 31, 2023 and less than 1% of revenues and net income for the year then ended. Our audit of internal control over financial reporting of the Company also did not include an evaluation of the internal control over financial reporting of Crop Risk Services.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3"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ind w:right="420"/>
        <w:spacing w:after="0" w:line="284"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9" w:lineRule="exact"/>
        <w:rPr>
          <w:sz w:val="20"/>
          <w:szCs w:val="20"/>
          <w:color w:val="auto"/>
        </w:rPr>
      </w:pPr>
    </w:p>
    <w:p>
      <w:pPr>
        <w:jc w:val="both"/>
        <w:ind w:right="60"/>
        <w:spacing w:after="0" w:line="26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2"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 Ernst &amp; Young LLP</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Cincinnati, Ohio</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23, 2024</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5" w:right="399" w:bottom="1440" w:gutter="0" w:footer="0" w:header="0"/>
        </w:sectPr>
      </w:pPr>
    </w:p>
    <w:bookmarkStart w:id="86" w:name="page87"/>
    <w:bookmarkEnd w:id="8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left="2280"/>
        <w:spacing w:after="0"/>
        <w:rPr>
          <w:sz w:val="20"/>
          <w:szCs w:val="20"/>
          <w:color w:val="auto"/>
        </w:rPr>
      </w:pPr>
      <w:r>
        <w:rPr>
          <w:rFonts w:ascii="Arial" w:cs="Arial" w:eastAsia="Arial" w:hAnsi="Arial"/>
          <w:sz w:val="20"/>
          <w:szCs w:val="20"/>
          <w:b w:val="1"/>
          <w:bCs w:val="1"/>
          <w:color w:val="00274E"/>
        </w:rPr>
        <w:t>REPORT OF INDEPENDENT REGISTERED PUBLIC ACCOUNTING FIRM</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 the Shareholders and Board of Directors of American Financial Group, Inc. and subsidiaries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23"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We have audited the accompanying consolidated balance sheet of American Financial Group, Inc. and subsidiaries (the “Company”) as of December 31, 2023 and 2022, the related consolidated statements of earnings, comprehensive income, changes in equity and cash flows for each of the three years in the period ended December 31, 2023, and the related notes and financial statement schedules listed in the Index at Item 15(a)</w:t>
      </w:r>
    </w:p>
    <w:p>
      <w:pPr>
        <w:ind w:firstLine="8"/>
        <w:spacing w:after="0" w:line="261" w:lineRule="auto"/>
        <w:tabs>
          <w:tab w:leader="none" w:pos="256"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204"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23, 2024 expressed an unqualified opinion thereon.</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3"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Matters</w:t>
      </w:r>
    </w:p>
    <w:p>
      <w:pPr>
        <w:spacing w:after="0" w:line="23"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ectPr>
          <w:pgSz w:w="11900" w:h="16838" w:orient="portrait"/>
          <w:cols w:equalWidth="0" w:num="1">
            <w:col w:w="11240"/>
          </w:cols>
          <w:pgMar w:left="320" w:top="115" w:right="339" w:bottom="1440" w:gutter="0" w:footer="0" w:header="0"/>
        </w:sectPr>
      </w:pPr>
    </w:p>
    <w:p>
      <w:pPr>
        <w:spacing w:after="0" w:line="334" w:lineRule="exact"/>
        <w:rPr>
          <w:sz w:val="20"/>
          <w:szCs w:val="20"/>
          <w:color w:val="auto"/>
        </w:rPr>
      </w:pPr>
    </w:p>
    <w:p>
      <w:pPr>
        <w:ind w:left="20"/>
        <w:spacing w:after="0" w:line="236" w:lineRule="auto"/>
        <w:rPr>
          <w:sz w:val="20"/>
          <w:szCs w:val="20"/>
          <w:color w:val="auto"/>
        </w:rPr>
      </w:pPr>
      <w:r>
        <w:rPr>
          <w:rFonts w:ascii="Arial" w:cs="Arial" w:eastAsia="Arial" w:hAnsi="Arial"/>
          <w:sz w:val="17"/>
          <w:szCs w:val="17"/>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Valuation of investments in fixed maturity securities</w:t>
      </w:r>
    </w:p>
    <w:p>
      <w:pPr>
        <w:spacing w:after="0" w:line="48"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As of December 31, 2023, the fair value of the Company’s fixed maturity securities totaled $10.43 billion, a portion of which are valued based on internally developed prices, using significant inputs not based on, or corroborated by, observable market information, or which are valued based on non-binding broker quotes. The fair values of these securities are determined by management applying the methodologies outlined in Note E to the consolidated financial statements. The credit spread applied by management for internally developed fixed maturity investment values and the lack of visibility into assumptions used in non-binding broker quotes are significant unobservable inputs, which create greater subjectivity when determining the fair values. Credit spread inputs are developed based on management’s review of trade activity for comparable securities and credit spreads over the treasury yield of securities with a similar duration.</w:t>
      </w:r>
    </w:p>
    <w:p>
      <w:pPr>
        <w:spacing w:after="0" w:line="208" w:lineRule="exact"/>
        <w:rPr>
          <w:sz w:val="20"/>
          <w:szCs w:val="20"/>
          <w:color w:val="auto"/>
        </w:rPr>
      </w:pPr>
    </w:p>
    <w:p>
      <w:pPr>
        <w:jc w:val="both"/>
        <w:ind w:right="60"/>
        <w:spacing w:after="0" w:line="274" w:lineRule="auto"/>
        <w:rPr>
          <w:sz w:val="20"/>
          <w:szCs w:val="20"/>
          <w:color w:val="auto"/>
        </w:rPr>
      </w:pPr>
      <w:r>
        <w:rPr>
          <w:rFonts w:ascii="Arial" w:cs="Arial" w:eastAsia="Arial" w:hAnsi="Arial"/>
          <w:sz w:val="17"/>
          <w:szCs w:val="17"/>
          <w:color w:val="auto"/>
        </w:rPr>
        <w:t>Auditing the fair value of the fixed maturity securities that use unobservable inputs was complex and highly judgmental due to the judgment used by the Company in determining unobservable inputs and assumptions to estimate the securities’ fair value. Significant unobservable inputs and assumptions include credit spreads over the treasury yield and non-binding broker quotes.</w:t>
      </w:r>
    </w:p>
    <w:p>
      <w:pPr>
        <w:spacing w:after="0" w:line="200" w:lineRule="exact"/>
        <w:rPr>
          <w:sz w:val="20"/>
          <w:szCs w:val="20"/>
          <w:color w:val="auto"/>
        </w:rPr>
      </w:pPr>
    </w:p>
    <w:p>
      <w:pPr>
        <w:sectPr>
          <w:pgSz w:w="11900" w:h="16838" w:orient="portrait"/>
          <w:cols w:equalWidth="0" w:num="2">
            <w:col w:w="1360" w:space="260"/>
            <w:col w:w="9620"/>
          </w:cols>
          <w:pgMar w:left="320" w:top="115" w:right="339" w:bottom="1440" w:gutter="0" w:footer="0" w:header="0"/>
          <w:type w:val="continuous"/>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7"/>
          <w:szCs w:val="17"/>
          <w:b w:val="1"/>
          <w:bCs w:val="1"/>
          <w:u w:val="single" w:color="auto"/>
          <w:color w:val="0000FF"/>
        </w:rPr>
        <w:t>Table of Contents</w:t>
      </w:r>
    </w:p>
    <w:p>
      <w:pPr>
        <w:sectPr>
          <w:pgSz w:w="11900" w:h="16838" w:orient="portrait"/>
          <w:cols w:equalWidth="0" w:num="1">
            <w:col w:w="11200"/>
          </w:cols>
          <w:pgMar w:left="320" w:top="11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How We</w:t>
      </w:r>
    </w:p>
    <w:p>
      <w:pPr>
        <w:ind w:left="20"/>
        <w:spacing w:after="0" w:line="198" w:lineRule="auto"/>
        <w:rPr>
          <w:sz w:val="20"/>
          <w:szCs w:val="20"/>
          <w:color w:val="auto"/>
        </w:rPr>
      </w:pPr>
      <w:r>
        <w:rPr>
          <w:rFonts w:ascii="Arial" w:cs="Arial" w:eastAsia="Arial" w:hAnsi="Arial"/>
          <w:sz w:val="17"/>
          <w:szCs w:val="17"/>
          <w:i w:val="1"/>
          <w:iCs w:val="1"/>
          <w:color w:val="auto"/>
        </w:rPr>
        <w:t>Addressed the</w:t>
      </w:r>
    </w:p>
    <w:p>
      <w:pPr>
        <w:spacing w:after="0" w:line="1" w:lineRule="exact"/>
        <w:rPr>
          <w:sz w:val="20"/>
          <w:szCs w:val="20"/>
          <w:color w:val="auto"/>
        </w:rPr>
      </w:pPr>
    </w:p>
    <w:p>
      <w:pPr>
        <w:ind w:left="20" w:right="340"/>
        <w:spacing w:after="0" w:line="235" w:lineRule="auto"/>
        <w:rPr>
          <w:sz w:val="20"/>
          <w:szCs w:val="20"/>
          <w:color w:val="auto"/>
        </w:rPr>
      </w:pPr>
      <w:r>
        <w:rPr>
          <w:rFonts w:ascii="Arial" w:cs="Arial" w:eastAsia="Arial" w:hAnsi="Arial"/>
          <w:sz w:val="17"/>
          <w:szCs w:val="17"/>
          <w:i w:val="1"/>
          <w:iCs w:val="1"/>
          <w:color w:val="auto"/>
        </w:rPr>
        <w:t>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line="236" w:lineRule="auto"/>
        <w:rPr>
          <w:sz w:val="20"/>
          <w:szCs w:val="20"/>
          <w:color w:val="auto"/>
        </w:rPr>
      </w:pPr>
      <w:r>
        <w:rPr>
          <w:rFonts w:ascii="Arial" w:cs="Arial" w:eastAsia="Arial" w:hAnsi="Arial"/>
          <w:sz w:val="17"/>
          <w:szCs w:val="17"/>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How We</w:t>
      </w:r>
    </w:p>
    <w:p>
      <w:pPr>
        <w:ind w:left="20"/>
        <w:spacing w:after="0" w:line="215" w:lineRule="auto"/>
        <w:rPr>
          <w:sz w:val="20"/>
          <w:szCs w:val="20"/>
          <w:color w:val="auto"/>
        </w:rPr>
      </w:pPr>
      <w:r>
        <w:rPr>
          <w:rFonts w:ascii="Arial" w:cs="Arial" w:eastAsia="Arial" w:hAnsi="Arial"/>
          <w:sz w:val="17"/>
          <w:szCs w:val="17"/>
          <w:i w:val="1"/>
          <w:iCs w:val="1"/>
          <w:color w:val="auto"/>
        </w:rPr>
        <w:t>Addressed the</w:t>
      </w:r>
    </w:p>
    <w:p>
      <w:pPr>
        <w:ind w:left="20"/>
        <w:spacing w:after="0" w:line="199" w:lineRule="auto"/>
        <w:rPr>
          <w:sz w:val="20"/>
          <w:szCs w:val="20"/>
          <w:color w:val="auto"/>
        </w:rPr>
      </w:pPr>
      <w:r>
        <w:rPr>
          <w:rFonts w:ascii="Arial" w:cs="Arial" w:eastAsia="Arial" w:hAnsi="Arial"/>
          <w:sz w:val="17"/>
          <w:szCs w:val="17"/>
          <w:i w:val="1"/>
          <w:iCs w:val="1"/>
          <w:color w:val="auto"/>
        </w:rPr>
        <w:t>Matter in Our</w:t>
      </w:r>
    </w:p>
    <w:p>
      <w:pPr>
        <w:ind w:left="20"/>
        <w:spacing w:after="0"/>
        <w:rPr>
          <w:sz w:val="20"/>
          <w:szCs w:val="20"/>
          <w:color w:val="auto"/>
        </w:rPr>
      </w:pPr>
      <w:r>
        <w:rPr>
          <w:rFonts w:ascii="Arial" w:cs="Arial" w:eastAsia="Arial" w:hAnsi="Arial"/>
          <w:sz w:val="17"/>
          <w:szCs w:val="17"/>
          <w:i w:val="1"/>
          <w:iCs w:val="1"/>
          <w:color w:val="auto"/>
        </w:rPr>
        <w:t>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We obtained an understanding, evaluated the design, and tested the operating effectiveness of controls over management’s valuation process for the fixed maturity securities priced using unobservable inputs. This included, among others, testing controls over investment pricing and the development and review of significant inputs and assumptions used in determining the fair values.</w:t>
      </w:r>
    </w:p>
    <w:p>
      <w:pPr>
        <w:spacing w:after="0" w:line="159"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To test the Company’s investment fair values, our audit procedures included, among others, comparing the fair values for a sample of securities to pricing service values or internally developed cash flow models. With the assistance of our valuation specialists, we evaluated the valuation methodologies used by the Company and compared the Company’s fair value estimate to an independently calculated range of fair value estimates for a sample of securities. We evaluated information that corroborated or contradicted the Company’s fair value estimates, including observable spreads and transaction data for similar securities.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Unpaid losses and loss adjustment expenses</w:t>
      </w:r>
    </w:p>
    <w:p>
      <w:pPr>
        <w:spacing w:after="0" w:line="48"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As of December 31, 2023, the Company’s unpaid losses and loss adjustment expenses reserve liabilities net of reinsurance recoverables, net of allowance, (“reserves”) totaled $8.80 billion as disclosed in Note O to the consolidated financial statements. This liability represents management’s best estimate of the ultimate net cost of all unpaid losses and loss adjustment expenses and is determined by using case-basis evaluations, actuarial projections, and management’s judgment. Estimating the reserves is inherently judgmental and is influenced by factors that are subject to significant variation, particularly for lines of business that develop or are paid over a long period of time or that contain exposures with high potential severities, such as workers’ compensation, other liability, and asbestos and environmental.</w:t>
      </w:r>
    </w:p>
    <w:p>
      <w:pPr>
        <w:spacing w:after="0" w:line="168"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Auditing management’s best estimate of reserves was complex because it required the involvement of our actuarial specialists due to the highly judgmental nature of the assumptions used in the evaluation process. The significant judgment was primarily due to the sensitivity of management’s best estimate to the selection and weighting of actuarial methods, loss development factors, expected loss ratios, and estimated inflation. These assumptions have a significant effect on the valuation of reserves.</w:t>
      </w:r>
    </w:p>
    <w:p>
      <w:pPr>
        <w:spacing w:after="0" w:line="119" w:lineRule="exact"/>
        <w:rPr>
          <w:sz w:val="20"/>
          <w:szCs w:val="20"/>
          <w:color w:val="auto"/>
        </w:rPr>
      </w:pPr>
    </w:p>
    <w:p>
      <w:pPr>
        <w:jc w:val="both"/>
        <w:ind w:right="260"/>
        <w:spacing w:after="0" w:line="274" w:lineRule="auto"/>
        <w:rPr>
          <w:sz w:val="20"/>
          <w:szCs w:val="20"/>
          <w:color w:val="auto"/>
        </w:rPr>
      </w:pPr>
      <w:r>
        <w:rPr>
          <w:rFonts w:ascii="Arial" w:cs="Arial" w:eastAsia="Arial" w:hAnsi="Arial"/>
          <w:sz w:val="17"/>
          <w:szCs w:val="17"/>
          <w:color w:val="auto"/>
        </w:rPr>
        <w:t>We obtained an understanding, evaluated the design and tested the operating effectiveness of controls over the process for estimating reserves. This included, among others, the review and approval processes that management has in place for the methods and assumptions used in estimating the reserves.</w:t>
      </w:r>
    </w:p>
    <w:p>
      <w:pPr>
        <w:spacing w:after="0" w:line="154"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With the assistance of actuarial specialists, our audit procedures included, among others, an evaluation of the Company’s selection and weighting of actuarial methods used, including consideration of methods used in prior periods and those used in the industry for the specific types of insurance. To evaluate the significant assumptions used by management, we compared the significant assumptions, including loss development factors, expected loss ratios, and inflation, to factors historically used and current industry benchmarks. We also performed a review of the development of prior years’ reserve estimates. With the assistance of actuarial specialists, we established an independent range of reasonable reserve estimates, which we compared to management’s best estimate.</w:t>
      </w:r>
    </w:p>
    <w:p>
      <w:pPr>
        <w:spacing w:after="0" w:line="200" w:lineRule="exact"/>
        <w:rPr>
          <w:sz w:val="20"/>
          <w:szCs w:val="20"/>
          <w:color w:val="auto"/>
        </w:rPr>
      </w:pPr>
    </w:p>
    <w:p>
      <w:pPr>
        <w:sectPr>
          <w:pgSz w:w="11900" w:h="16838" w:orient="portrait"/>
          <w:cols w:equalWidth="0" w:num="2">
            <w:col w:w="1360" w:space="260"/>
            <w:col w:w="9580"/>
          </w:cols>
          <w:pgMar w:left="320" w:top="115" w:right="379" w:bottom="1440" w:gutter="0" w:footer="0" w:header="0"/>
          <w:type w:val="continuous"/>
        </w:sect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 Ernst &amp; Young LLP</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 have served as the Company’s auditor since 1961.</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Cincinnati, Ohio</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23, 2024</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left="2920"/>
        <w:spacing w:after="0"/>
        <w:rPr>
          <w:sz w:val="20"/>
          <w:szCs w:val="20"/>
          <w:color w:val="auto"/>
        </w:rPr>
      </w:pPr>
      <w:r>
        <w:rPr>
          <w:rFonts w:ascii="Arial" w:cs="Arial" w:eastAsia="Arial" w:hAnsi="Arial"/>
          <w:sz w:val="20"/>
          <w:szCs w:val="20"/>
          <w:b w:val="1"/>
          <w:bCs w:val="1"/>
          <w:color w:val="00274E"/>
        </w:rPr>
        <w:t>AMERICAN FINANCIAL GROUP, INC. AND SUBSIDIARIES</w:t>
      </w:r>
    </w:p>
    <w:p>
      <w:pPr>
        <w:spacing w:after="0" w:line="33" w:lineRule="exact"/>
        <w:rPr>
          <w:sz w:val="20"/>
          <w:szCs w:val="20"/>
          <w:color w:val="auto"/>
        </w:rPr>
      </w:pPr>
    </w:p>
    <w:p>
      <w:pPr>
        <w:ind w:left="3980"/>
        <w:spacing w:after="0"/>
        <w:rPr>
          <w:sz w:val="20"/>
          <w:szCs w:val="20"/>
          <w:color w:val="auto"/>
        </w:rPr>
      </w:pPr>
      <w:r>
        <w:rPr>
          <w:rFonts w:ascii="Arial" w:cs="Arial" w:eastAsia="Arial" w:hAnsi="Arial"/>
          <w:sz w:val="20"/>
          <w:szCs w:val="20"/>
          <w:b w:val="1"/>
          <w:bCs w:val="1"/>
          <w:color w:val="00274E"/>
        </w:rPr>
        <w:t>CONSOLIDATED BALANCE SHEET</w:t>
      </w:r>
    </w:p>
    <w:p>
      <w:pPr>
        <w:jc w:val="center"/>
        <w:spacing w:after="0"/>
        <w:rPr>
          <w:sz w:val="20"/>
          <w:szCs w:val="20"/>
          <w:color w:val="auto"/>
        </w:rPr>
      </w:pPr>
      <w:r>
        <w:rPr>
          <w:rFonts w:ascii="Arial" w:cs="Arial" w:eastAsia="Arial" w:hAnsi="Arial"/>
          <w:sz w:val="20"/>
          <w:szCs w:val="20"/>
          <w:b w:val="1"/>
          <w:bCs w:val="1"/>
          <w:color w:val="00274E"/>
        </w:rPr>
        <w:t>(Dollars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7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December 31,</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7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5"/>
                <w:szCs w:val="15"/>
                <w:color w:val="auto"/>
              </w:rPr>
              <w:t>2023</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9"/>
              <w:spacing w:after="0"/>
              <w:rPr>
                <w:sz w:val="20"/>
                <w:szCs w:val="20"/>
                <w:color w:val="auto"/>
              </w:rPr>
            </w:pPr>
            <w:r>
              <w:rPr>
                <w:rFonts w:ascii="Arial" w:cs="Arial" w:eastAsia="Arial" w:hAnsi="Arial"/>
                <w:sz w:val="15"/>
                <w:szCs w:val="15"/>
                <w:color w:val="auto"/>
                <w:w w:val="95"/>
              </w:rPr>
              <w:t>2022</w:t>
            </w:r>
          </w:p>
        </w:tc>
        <w:tc>
          <w:tcPr>
            <w:tcW w:w="0" w:type="dxa"/>
            <w:vAlign w:val="bottom"/>
          </w:tcPr>
          <w:p>
            <w:pPr>
              <w:spacing w:after="0"/>
              <w:rPr>
                <w:sz w:val="1"/>
                <w:szCs w:val="1"/>
                <w:color w:val="auto"/>
              </w:rPr>
            </w:pPr>
          </w:p>
        </w:tc>
      </w:tr>
      <w:tr>
        <w:trPr>
          <w:trHeight w:val="197"/>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720" w:type="dxa"/>
            <w:vAlign w:val="bottom"/>
          </w:tcPr>
          <w:p>
            <w:pPr>
              <w:ind w:left="36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1,225</w:t>
            </w:r>
          </w:p>
        </w:tc>
        <w:tc>
          <w:tcPr>
            <w:tcW w:w="8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872</w:t>
            </w:r>
          </w:p>
        </w:tc>
        <w:tc>
          <w:tcPr>
            <w:tcW w:w="0" w:type="dxa"/>
            <w:vAlign w:val="bottom"/>
          </w:tcPr>
          <w:p>
            <w:pPr>
              <w:spacing w:after="0"/>
              <w:rPr>
                <w:sz w:val="1"/>
                <w:szCs w:val="1"/>
                <w:color w:val="auto"/>
              </w:rPr>
            </w:pPr>
          </w:p>
        </w:tc>
      </w:tr>
      <w:tr>
        <w:trPr>
          <w:trHeight w:val="217"/>
        </w:trPr>
        <w:tc>
          <w:tcPr>
            <w:tcW w:w="8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Investments: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720" w:type="dxa"/>
            <w:vAlign w:val="bottom"/>
          </w:tcPr>
          <w:p>
            <w:pPr>
              <w:ind w:left="680"/>
              <w:spacing w:after="0" w:line="162" w:lineRule="exact"/>
              <w:rPr>
                <w:sz w:val="20"/>
                <w:szCs w:val="20"/>
                <w:color w:val="auto"/>
              </w:rPr>
            </w:pPr>
            <w:r>
              <w:rPr>
                <w:rFonts w:ascii="Arial" w:cs="Arial" w:eastAsia="Arial" w:hAnsi="Arial"/>
                <w:sz w:val="16"/>
                <w:szCs w:val="16"/>
                <w:color w:val="auto"/>
              </w:rPr>
              <w:t>Fixed maturities, available for sale at fair value (amortized cost — $10,752 and $10,736; allowance for expected</w:t>
            </w:r>
          </w:p>
        </w:tc>
        <w:tc>
          <w:tcPr>
            <w:tcW w:w="2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10,377</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10,095</w:t>
            </w:r>
          </w:p>
        </w:tc>
        <w:tc>
          <w:tcPr>
            <w:tcW w:w="0" w:type="dxa"/>
            <w:vAlign w:val="bottom"/>
          </w:tcPr>
          <w:p>
            <w:pPr>
              <w:spacing w:after="0"/>
              <w:rPr>
                <w:sz w:val="1"/>
                <w:szCs w:val="1"/>
                <w:color w:val="auto"/>
              </w:rPr>
            </w:pPr>
          </w:p>
        </w:tc>
      </w:tr>
      <w:tr>
        <w:trPr>
          <w:trHeight w:val="215"/>
        </w:trPr>
        <w:tc>
          <w:tcPr>
            <w:tcW w:w="8720" w:type="dxa"/>
            <w:vAlign w:val="bottom"/>
          </w:tcPr>
          <w:p>
            <w:pPr>
              <w:ind w:left="920"/>
              <w:spacing w:after="0"/>
              <w:rPr>
                <w:sz w:val="20"/>
                <w:szCs w:val="20"/>
                <w:color w:val="auto"/>
              </w:rPr>
            </w:pPr>
            <w:r>
              <w:rPr>
                <w:rFonts w:ascii="Arial" w:cs="Arial" w:eastAsia="Arial" w:hAnsi="Arial"/>
                <w:sz w:val="16"/>
                <w:szCs w:val="16"/>
                <w:color w:val="auto"/>
              </w:rPr>
              <w:t>credit losses of $12 and $11)</w:t>
            </w:r>
          </w:p>
        </w:tc>
        <w:tc>
          <w:tcPr>
            <w:tcW w:w="2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7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Fixed maturities, trading at fair value</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5"/>
        </w:trPr>
        <w:tc>
          <w:tcPr>
            <w:tcW w:w="8720" w:type="dxa"/>
            <w:vAlign w:val="bottom"/>
          </w:tcPr>
          <w:p>
            <w:pPr>
              <w:ind w:left="680"/>
              <w:spacing w:after="0"/>
              <w:rPr>
                <w:sz w:val="20"/>
                <w:szCs w:val="20"/>
                <w:color w:val="auto"/>
              </w:rPr>
            </w:pPr>
            <w:r>
              <w:rPr>
                <w:rFonts w:ascii="Arial" w:cs="Arial" w:eastAsia="Arial" w:hAnsi="Arial"/>
                <w:sz w:val="16"/>
                <w:szCs w:val="16"/>
                <w:color w:val="auto"/>
              </w:rPr>
              <w:t>Equity securities, at fair value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1,018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1,010</w:t>
            </w:r>
          </w:p>
        </w:tc>
        <w:tc>
          <w:tcPr>
            <w:tcW w:w="0" w:type="dxa"/>
            <w:vAlign w:val="bottom"/>
          </w:tcPr>
          <w:p>
            <w:pPr>
              <w:spacing w:after="0"/>
              <w:rPr>
                <w:sz w:val="1"/>
                <w:szCs w:val="1"/>
                <w:color w:val="auto"/>
              </w:rPr>
            </w:pPr>
          </w:p>
        </w:tc>
      </w:tr>
      <w:tr>
        <w:trPr>
          <w:trHeight w:val="217"/>
        </w:trPr>
        <w:tc>
          <w:tcPr>
            <w:tcW w:w="87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Investments accounted for using the equity method</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w:t>
            </w:r>
          </w:p>
        </w:tc>
        <w:tc>
          <w:tcPr>
            <w:tcW w:w="0" w:type="dxa"/>
            <w:vAlign w:val="bottom"/>
          </w:tcPr>
          <w:p>
            <w:pPr>
              <w:spacing w:after="0"/>
              <w:rPr>
                <w:sz w:val="1"/>
                <w:szCs w:val="1"/>
                <w:color w:val="auto"/>
              </w:rPr>
            </w:pPr>
          </w:p>
        </w:tc>
      </w:tr>
      <w:tr>
        <w:trPr>
          <w:trHeight w:val="215"/>
        </w:trPr>
        <w:tc>
          <w:tcPr>
            <w:tcW w:w="8720" w:type="dxa"/>
            <w:vAlign w:val="bottom"/>
          </w:tcPr>
          <w:p>
            <w:pPr>
              <w:ind w:left="680"/>
              <w:spacing w:after="0"/>
              <w:rPr>
                <w:sz w:val="20"/>
                <w:szCs w:val="20"/>
                <w:color w:val="auto"/>
              </w:rPr>
            </w:pPr>
            <w:r>
              <w:rPr>
                <w:rFonts w:ascii="Arial" w:cs="Arial" w:eastAsia="Arial" w:hAnsi="Arial"/>
                <w:sz w:val="16"/>
                <w:szCs w:val="16"/>
                <w:color w:val="auto"/>
              </w:rPr>
              <w:t>Mortgage loans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643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676</w:t>
            </w:r>
          </w:p>
        </w:tc>
        <w:tc>
          <w:tcPr>
            <w:tcW w:w="0" w:type="dxa"/>
            <w:vAlign w:val="bottom"/>
          </w:tcPr>
          <w:p>
            <w:pPr>
              <w:spacing w:after="0"/>
              <w:rPr>
                <w:sz w:val="1"/>
                <w:szCs w:val="1"/>
                <w:color w:val="auto"/>
              </w:rPr>
            </w:pPr>
          </w:p>
        </w:tc>
      </w:tr>
      <w:tr>
        <w:trPr>
          <w:trHeight w:val="217"/>
        </w:trPr>
        <w:tc>
          <w:tcPr>
            <w:tcW w:w="87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Real estate and other investments</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09"/>
        </w:trPr>
        <w:tc>
          <w:tcPr>
            <w:tcW w:w="8720" w:type="dxa"/>
            <w:vAlign w:val="bottom"/>
          </w:tcPr>
          <w:p>
            <w:pPr>
              <w:ind w:left="1440"/>
              <w:spacing w:after="0"/>
              <w:rPr>
                <w:sz w:val="20"/>
                <w:szCs w:val="20"/>
                <w:color w:val="auto"/>
              </w:rPr>
            </w:pPr>
            <w:r>
              <w:rPr>
                <w:rFonts w:ascii="Arial" w:cs="Arial" w:eastAsia="Arial" w:hAnsi="Arial"/>
                <w:sz w:val="16"/>
                <w:szCs w:val="16"/>
                <w:color w:val="auto"/>
              </w:rPr>
              <w:t>Total cash and investments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15,263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14,512</w:t>
            </w:r>
          </w:p>
        </w:tc>
        <w:tc>
          <w:tcPr>
            <w:tcW w:w="0" w:type="dxa"/>
            <w:vAlign w:val="bottom"/>
          </w:tcPr>
          <w:p>
            <w:pPr>
              <w:spacing w:after="0"/>
              <w:rPr>
                <w:sz w:val="1"/>
                <w:szCs w:val="1"/>
                <w:color w:val="auto"/>
              </w:rPr>
            </w:pPr>
          </w:p>
        </w:tc>
      </w:tr>
      <w:tr>
        <w:trPr>
          <w:trHeight w:val="217"/>
        </w:trPr>
        <w:tc>
          <w:tcPr>
            <w:tcW w:w="8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720" w:type="dxa"/>
            <w:vAlign w:val="bottom"/>
          </w:tcPr>
          <w:p>
            <w:pPr>
              <w:ind w:left="360"/>
              <w:spacing w:after="0"/>
              <w:rPr>
                <w:sz w:val="20"/>
                <w:szCs w:val="20"/>
                <w:color w:val="auto"/>
              </w:rPr>
            </w:pPr>
            <w:r>
              <w:rPr>
                <w:rFonts w:ascii="Arial" w:cs="Arial" w:eastAsia="Arial" w:hAnsi="Arial"/>
                <w:sz w:val="16"/>
                <w:szCs w:val="16"/>
                <w:color w:val="auto"/>
              </w:rPr>
              <w:t>Recoverables from reinsurers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4,477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3,977</w:t>
            </w:r>
          </w:p>
        </w:tc>
        <w:tc>
          <w:tcPr>
            <w:tcW w:w="0" w:type="dxa"/>
            <w:vAlign w:val="bottom"/>
          </w:tcPr>
          <w:p>
            <w:pPr>
              <w:spacing w:after="0"/>
              <w:rPr>
                <w:sz w:val="1"/>
                <w:szCs w:val="1"/>
                <w:color w:val="auto"/>
              </w:rPr>
            </w:pPr>
          </w:p>
        </w:tc>
      </w:tr>
      <w:tr>
        <w:trPr>
          <w:trHeight w:val="217"/>
        </w:trPr>
        <w:tc>
          <w:tcPr>
            <w:tcW w:w="8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reinsurance premiums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w:t>
            </w:r>
          </w:p>
        </w:tc>
        <w:tc>
          <w:tcPr>
            <w:tcW w:w="0" w:type="dxa"/>
            <w:vAlign w:val="bottom"/>
          </w:tcPr>
          <w:p>
            <w:pPr>
              <w:spacing w:after="0"/>
              <w:rPr>
                <w:sz w:val="1"/>
                <w:szCs w:val="1"/>
                <w:color w:val="auto"/>
              </w:rPr>
            </w:pPr>
          </w:p>
        </w:tc>
      </w:tr>
      <w:tr>
        <w:trPr>
          <w:trHeight w:val="215"/>
        </w:trPr>
        <w:tc>
          <w:tcPr>
            <w:tcW w:w="8720" w:type="dxa"/>
            <w:vAlign w:val="bottom"/>
          </w:tcPr>
          <w:p>
            <w:pPr>
              <w:ind w:left="360"/>
              <w:spacing w:after="0"/>
              <w:rPr>
                <w:sz w:val="20"/>
                <w:szCs w:val="20"/>
                <w:color w:val="auto"/>
              </w:rPr>
            </w:pPr>
            <w:r>
              <w:rPr>
                <w:rFonts w:ascii="Arial" w:cs="Arial" w:eastAsia="Arial" w:hAnsi="Arial"/>
                <w:sz w:val="16"/>
                <w:szCs w:val="16"/>
                <w:color w:val="auto"/>
              </w:rPr>
              <w:t>Agents’ balances and premiums receivable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1,471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1,339</w:t>
            </w:r>
          </w:p>
        </w:tc>
        <w:tc>
          <w:tcPr>
            <w:tcW w:w="0" w:type="dxa"/>
            <w:vAlign w:val="bottom"/>
          </w:tcPr>
          <w:p>
            <w:pPr>
              <w:spacing w:after="0"/>
              <w:rPr>
                <w:sz w:val="1"/>
                <w:szCs w:val="1"/>
                <w:color w:val="auto"/>
              </w:rPr>
            </w:pPr>
          </w:p>
        </w:tc>
      </w:tr>
      <w:tr>
        <w:trPr>
          <w:trHeight w:val="217"/>
        </w:trPr>
        <w:tc>
          <w:tcPr>
            <w:tcW w:w="8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policy acquisition costs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15"/>
        </w:trPr>
        <w:tc>
          <w:tcPr>
            <w:tcW w:w="8720" w:type="dxa"/>
            <w:vAlign w:val="bottom"/>
          </w:tcPr>
          <w:p>
            <w:pPr>
              <w:ind w:left="360"/>
              <w:spacing w:after="0"/>
              <w:rPr>
                <w:sz w:val="20"/>
                <w:szCs w:val="20"/>
                <w:color w:val="auto"/>
              </w:rPr>
            </w:pPr>
            <w:r>
              <w:rPr>
                <w:rFonts w:ascii="Arial" w:cs="Arial" w:eastAsia="Arial" w:hAnsi="Arial"/>
                <w:sz w:val="16"/>
                <w:szCs w:val="16"/>
                <w:color w:val="auto"/>
              </w:rPr>
              <w:t>Assets of managed investment entities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4,484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5,447</w:t>
            </w:r>
          </w:p>
        </w:tc>
        <w:tc>
          <w:tcPr>
            <w:tcW w:w="0" w:type="dxa"/>
            <w:vAlign w:val="bottom"/>
          </w:tcPr>
          <w:p>
            <w:pPr>
              <w:spacing w:after="0"/>
              <w:rPr>
                <w:sz w:val="1"/>
                <w:szCs w:val="1"/>
                <w:color w:val="auto"/>
              </w:rPr>
            </w:pPr>
          </w:p>
        </w:tc>
      </w:tr>
      <w:tr>
        <w:trPr>
          <w:trHeight w:val="217"/>
        </w:trPr>
        <w:tc>
          <w:tcPr>
            <w:tcW w:w="8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receivables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w:t>
            </w:r>
          </w:p>
        </w:tc>
        <w:tc>
          <w:tcPr>
            <w:tcW w:w="0" w:type="dxa"/>
            <w:vAlign w:val="bottom"/>
          </w:tcPr>
          <w:p>
            <w:pPr>
              <w:spacing w:after="0"/>
              <w:rPr>
                <w:sz w:val="1"/>
                <w:szCs w:val="1"/>
                <w:color w:val="auto"/>
              </w:rPr>
            </w:pPr>
          </w:p>
        </w:tc>
      </w:tr>
      <w:tr>
        <w:trPr>
          <w:trHeight w:val="215"/>
        </w:trPr>
        <w:tc>
          <w:tcPr>
            <w:tcW w:w="8720" w:type="dxa"/>
            <w:vAlign w:val="bottom"/>
          </w:tcPr>
          <w:p>
            <w:pPr>
              <w:ind w:left="360"/>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1,346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1,219</w:t>
            </w: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Goodwill</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10"/>
        </w:trPr>
        <w:tc>
          <w:tcPr>
            <w:tcW w:w="8720" w:type="dxa"/>
            <w:vAlign w:val="bottom"/>
          </w:tcPr>
          <w:p>
            <w:pPr>
              <w:ind w:left="144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29,787</w:t>
            </w:r>
          </w:p>
        </w:tc>
        <w:tc>
          <w:tcPr>
            <w:tcW w:w="80" w:type="dxa"/>
            <w:vAlign w:val="bottom"/>
          </w:tcPr>
          <w:p>
            <w:pPr>
              <w:spacing w:after="0"/>
              <w:rPr>
                <w:sz w:val="18"/>
                <w:szCs w:val="18"/>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28,831</w:t>
            </w:r>
          </w:p>
        </w:tc>
        <w:tc>
          <w:tcPr>
            <w:tcW w:w="0" w:type="dxa"/>
            <w:vAlign w:val="bottom"/>
          </w:tcPr>
          <w:p>
            <w:pPr>
              <w:spacing w:after="0"/>
              <w:rPr>
                <w:sz w:val="1"/>
                <w:szCs w:val="1"/>
                <w:color w:val="auto"/>
              </w:rPr>
            </w:pPr>
          </w:p>
        </w:tc>
      </w:tr>
      <w:tr>
        <w:trPr>
          <w:trHeight w:val="20"/>
        </w:trPr>
        <w:tc>
          <w:tcPr>
            <w:tcW w:w="8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7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Unpaid losses and loss adjustment expenses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13,087</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11,974</w:t>
            </w:r>
          </w:p>
        </w:tc>
        <w:tc>
          <w:tcPr>
            <w:tcW w:w="0" w:type="dxa"/>
            <w:vAlign w:val="bottom"/>
          </w:tcPr>
          <w:p>
            <w:pPr>
              <w:spacing w:after="0"/>
              <w:rPr>
                <w:sz w:val="1"/>
                <w:szCs w:val="1"/>
                <w:color w:val="auto"/>
              </w:rPr>
            </w:pPr>
          </w:p>
        </w:tc>
      </w:tr>
      <w:tr>
        <w:trPr>
          <w:trHeight w:val="215"/>
        </w:trPr>
        <w:tc>
          <w:tcPr>
            <w:tcW w:w="8720" w:type="dxa"/>
            <w:vAlign w:val="bottom"/>
          </w:tcPr>
          <w:p>
            <w:pPr>
              <w:ind w:left="360"/>
              <w:spacing w:after="0"/>
              <w:rPr>
                <w:sz w:val="20"/>
                <w:szCs w:val="20"/>
                <w:color w:val="auto"/>
              </w:rPr>
            </w:pPr>
            <w:r>
              <w:rPr>
                <w:rFonts w:ascii="Arial" w:cs="Arial" w:eastAsia="Arial" w:hAnsi="Arial"/>
                <w:sz w:val="16"/>
                <w:szCs w:val="16"/>
                <w:color w:val="auto"/>
              </w:rPr>
              <w:t>Unearned premiums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3,451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3,246</w:t>
            </w:r>
          </w:p>
        </w:tc>
        <w:tc>
          <w:tcPr>
            <w:tcW w:w="0" w:type="dxa"/>
            <w:vAlign w:val="bottom"/>
          </w:tcPr>
          <w:p>
            <w:pPr>
              <w:spacing w:after="0"/>
              <w:rPr>
                <w:sz w:val="1"/>
                <w:szCs w:val="1"/>
                <w:color w:val="auto"/>
              </w:rPr>
            </w:pPr>
          </w:p>
        </w:tc>
      </w:tr>
      <w:tr>
        <w:trPr>
          <w:trHeight w:val="217"/>
        </w:trPr>
        <w:tc>
          <w:tcPr>
            <w:tcW w:w="8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Payable to reinsurers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w:t>
            </w:r>
          </w:p>
        </w:tc>
        <w:tc>
          <w:tcPr>
            <w:tcW w:w="0" w:type="dxa"/>
            <w:vAlign w:val="bottom"/>
          </w:tcPr>
          <w:p>
            <w:pPr>
              <w:spacing w:after="0"/>
              <w:rPr>
                <w:sz w:val="1"/>
                <w:szCs w:val="1"/>
                <w:color w:val="auto"/>
              </w:rPr>
            </w:pPr>
          </w:p>
        </w:tc>
      </w:tr>
      <w:tr>
        <w:trPr>
          <w:trHeight w:val="215"/>
        </w:trPr>
        <w:tc>
          <w:tcPr>
            <w:tcW w:w="8720" w:type="dxa"/>
            <w:vAlign w:val="bottom"/>
          </w:tcPr>
          <w:p>
            <w:pPr>
              <w:ind w:left="360"/>
              <w:spacing w:after="0"/>
              <w:rPr>
                <w:sz w:val="20"/>
                <w:szCs w:val="20"/>
                <w:color w:val="auto"/>
              </w:rPr>
            </w:pPr>
            <w:r>
              <w:rPr>
                <w:rFonts w:ascii="Arial" w:cs="Arial" w:eastAsia="Arial" w:hAnsi="Arial"/>
                <w:sz w:val="16"/>
                <w:szCs w:val="16"/>
                <w:color w:val="auto"/>
              </w:rPr>
              <w:t>Liabilities of managed investment entities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4,307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5,332</w:t>
            </w:r>
          </w:p>
        </w:tc>
        <w:tc>
          <w:tcPr>
            <w:tcW w:w="0" w:type="dxa"/>
            <w:vAlign w:val="bottom"/>
          </w:tcPr>
          <w:p>
            <w:pPr>
              <w:spacing w:after="0"/>
              <w:rPr>
                <w:sz w:val="1"/>
                <w:szCs w:val="1"/>
                <w:color w:val="auto"/>
              </w:rPr>
            </w:pPr>
          </w:p>
        </w:tc>
      </w:tr>
      <w:tr>
        <w:trPr>
          <w:trHeight w:val="217"/>
        </w:trPr>
        <w:tc>
          <w:tcPr>
            <w:tcW w:w="8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Long-term debt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1,496</w:t>
            </w:r>
          </w:p>
        </w:tc>
        <w:tc>
          <w:tcPr>
            <w:tcW w:w="0" w:type="dxa"/>
            <w:vAlign w:val="bottom"/>
          </w:tcPr>
          <w:p>
            <w:pPr>
              <w:spacing w:after="0"/>
              <w:rPr>
                <w:sz w:val="1"/>
                <w:szCs w:val="1"/>
                <w:color w:val="auto"/>
              </w:rPr>
            </w:pPr>
          </w:p>
        </w:tc>
      </w:tr>
      <w:tr>
        <w:trPr>
          <w:trHeight w:val="215"/>
        </w:trPr>
        <w:tc>
          <w:tcPr>
            <w:tcW w:w="87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liabilities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2,023</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1,696</w:t>
            </w:r>
          </w:p>
        </w:tc>
        <w:tc>
          <w:tcPr>
            <w:tcW w:w="0" w:type="dxa"/>
            <w:vAlign w:val="bottom"/>
          </w:tcPr>
          <w:p>
            <w:pPr>
              <w:spacing w:after="0"/>
              <w:rPr>
                <w:sz w:val="1"/>
                <w:szCs w:val="1"/>
                <w:color w:val="auto"/>
              </w:rPr>
            </w:pPr>
          </w:p>
        </w:tc>
      </w:tr>
      <w:tr>
        <w:trPr>
          <w:trHeight w:val="210"/>
        </w:trPr>
        <w:tc>
          <w:tcPr>
            <w:tcW w:w="872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Total liabilities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25,529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24,779</w:t>
            </w:r>
          </w:p>
        </w:tc>
        <w:tc>
          <w:tcPr>
            <w:tcW w:w="0" w:type="dxa"/>
            <w:vAlign w:val="bottom"/>
          </w:tcPr>
          <w:p>
            <w:pPr>
              <w:spacing w:after="0"/>
              <w:rPr>
                <w:sz w:val="1"/>
                <w:szCs w:val="1"/>
                <w:color w:val="auto"/>
              </w:rPr>
            </w:pPr>
          </w:p>
        </w:tc>
      </w:tr>
      <w:tr>
        <w:trPr>
          <w:trHeight w:val="216"/>
        </w:trPr>
        <w:tc>
          <w:tcPr>
            <w:tcW w:w="8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Shareholders’ equity:</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720" w:type="dxa"/>
            <w:vAlign w:val="bottom"/>
          </w:tcPr>
          <w:p>
            <w:pPr>
              <w:ind w:left="680"/>
              <w:spacing w:after="0" w:line="162" w:lineRule="exact"/>
              <w:rPr>
                <w:sz w:val="20"/>
                <w:szCs w:val="20"/>
                <w:color w:val="auto"/>
              </w:rPr>
            </w:pPr>
            <w:r>
              <w:rPr>
                <w:rFonts w:ascii="Arial" w:cs="Arial" w:eastAsia="Arial" w:hAnsi="Arial"/>
                <w:sz w:val="16"/>
                <w:szCs w:val="16"/>
                <w:color w:val="auto"/>
              </w:rPr>
              <w:t>Common Stock, no par value</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20" w:type="dxa"/>
            <w:vAlign w:val="bottom"/>
          </w:tcPr>
          <w:p>
            <w:pPr>
              <w:ind w:left="680"/>
              <w:spacing w:after="0" w:line="162" w:lineRule="exact"/>
              <w:rPr>
                <w:sz w:val="20"/>
                <w:szCs w:val="20"/>
                <w:color w:val="auto"/>
              </w:rPr>
            </w:pPr>
            <w:r>
              <w:rPr>
                <w:rFonts w:ascii="Arial" w:cs="Arial" w:eastAsia="Arial" w:hAnsi="Arial"/>
                <w:sz w:val="16"/>
                <w:szCs w:val="16"/>
                <w:color w:val="auto"/>
              </w:rPr>
              <w:t>— 200,000,000 shares authorized</w:t>
            </w:r>
          </w:p>
        </w:tc>
        <w:tc>
          <w:tcPr>
            <w:tcW w:w="2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84</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5"/>
        </w:trPr>
        <w:tc>
          <w:tcPr>
            <w:tcW w:w="8720" w:type="dxa"/>
            <w:vAlign w:val="bottom"/>
          </w:tcPr>
          <w:p>
            <w:pPr>
              <w:ind w:left="680"/>
              <w:spacing w:after="0"/>
              <w:rPr>
                <w:sz w:val="20"/>
                <w:szCs w:val="20"/>
                <w:color w:val="auto"/>
              </w:rPr>
            </w:pPr>
            <w:r>
              <w:rPr>
                <w:rFonts w:ascii="Arial" w:cs="Arial" w:eastAsia="Arial" w:hAnsi="Arial"/>
                <w:sz w:val="16"/>
                <w:szCs w:val="16"/>
                <w:color w:val="auto"/>
              </w:rPr>
              <w:t>— 83,635,807 and 85,204,006 shares outstanding</w:t>
            </w:r>
          </w:p>
        </w:tc>
        <w:tc>
          <w:tcPr>
            <w:tcW w:w="2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7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Capital surplus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w:t>
            </w:r>
          </w:p>
        </w:tc>
        <w:tc>
          <w:tcPr>
            <w:tcW w:w="0" w:type="dxa"/>
            <w:vAlign w:val="bottom"/>
          </w:tcPr>
          <w:p>
            <w:pPr>
              <w:spacing w:after="0"/>
              <w:rPr>
                <w:sz w:val="1"/>
                <w:szCs w:val="1"/>
                <w:color w:val="auto"/>
              </w:rPr>
            </w:pPr>
          </w:p>
        </w:tc>
      </w:tr>
      <w:tr>
        <w:trPr>
          <w:trHeight w:val="215"/>
        </w:trPr>
        <w:tc>
          <w:tcPr>
            <w:tcW w:w="8720" w:type="dxa"/>
            <w:vAlign w:val="bottom"/>
          </w:tcPr>
          <w:p>
            <w:pPr>
              <w:ind w:left="680"/>
              <w:spacing w:after="0"/>
              <w:rPr>
                <w:sz w:val="20"/>
                <w:szCs w:val="20"/>
                <w:color w:val="auto"/>
              </w:rPr>
            </w:pPr>
            <w:r>
              <w:rPr>
                <w:rFonts w:ascii="Arial" w:cs="Arial" w:eastAsia="Arial" w:hAnsi="Arial"/>
                <w:sz w:val="16"/>
                <w:szCs w:val="16"/>
                <w:color w:val="auto"/>
              </w:rPr>
              <w:t>Retained earnings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3,121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3,142</w:t>
            </w:r>
          </w:p>
        </w:tc>
        <w:tc>
          <w:tcPr>
            <w:tcW w:w="0" w:type="dxa"/>
            <w:vAlign w:val="bottom"/>
          </w:tcPr>
          <w:p>
            <w:pPr>
              <w:spacing w:after="0"/>
              <w:rPr>
                <w:sz w:val="1"/>
                <w:szCs w:val="1"/>
                <w:color w:val="auto"/>
              </w:rPr>
            </w:pPr>
          </w:p>
        </w:tc>
      </w:tr>
      <w:tr>
        <w:trPr>
          <w:trHeight w:val="217"/>
        </w:trPr>
        <w:tc>
          <w:tcPr>
            <w:tcW w:w="87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Accumulated other comprehensive income (loss), net of tax</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0" w:type="dxa"/>
            <w:vAlign w:val="bottom"/>
          </w:tcPr>
          <w:p>
            <w:pPr>
              <w:spacing w:after="0"/>
              <w:rPr>
                <w:sz w:val="1"/>
                <w:szCs w:val="1"/>
                <w:color w:val="auto"/>
              </w:rPr>
            </w:pPr>
          </w:p>
        </w:tc>
      </w:tr>
      <w:tr>
        <w:trPr>
          <w:trHeight w:val="209"/>
        </w:trPr>
        <w:tc>
          <w:tcPr>
            <w:tcW w:w="8720" w:type="dxa"/>
            <w:vAlign w:val="bottom"/>
            <w:tcBorders>
              <w:bottom w:val="single" w:sz="8" w:color="CCEEFF"/>
            </w:tcBorders>
          </w:tcPr>
          <w:p>
            <w:pPr>
              <w:ind w:left="1440"/>
              <w:spacing w:after="0"/>
              <w:rPr>
                <w:sz w:val="20"/>
                <w:szCs w:val="20"/>
                <w:color w:val="auto"/>
              </w:rPr>
            </w:pPr>
            <w:r>
              <w:rPr>
                <w:rFonts w:ascii="Arial" w:cs="Arial" w:eastAsia="Arial" w:hAnsi="Arial"/>
                <w:sz w:val="16"/>
                <w:szCs w:val="16"/>
                <w:color w:val="auto"/>
              </w:rPr>
              <w:t>Total shareholders’ equity</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4,258</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4,052</w:t>
            </w:r>
          </w:p>
        </w:tc>
        <w:tc>
          <w:tcPr>
            <w:tcW w:w="0" w:type="dxa"/>
            <w:vAlign w:val="bottom"/>
          </w:tcPr>
          <w:p>
            <w:pPr>
              <w:spacing w:after="0"/>
              <w:rPr>
                <w:sz w:val="1"/>
                <w:szCs w:val="1"/>
                <w:color w:val="auto"/>
              </w:rPr>
            </w:pPr>
          </w:p>
        </w:tc>
      </w:tr>
      <w:tr>
        <w:trPr>
          <w:trHeight w:val="235"/>
        </w:trPr>
        <w:tc>
          <w:tcPr>
            <w:tcW w:w="872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6"/>
                <w:szCs w:val="16"/>
                <w:color w:val="auto"/>
              </w:rPr>
              <w:t>Total liabilities and shareholders’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29,787</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28,831</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9" w:name="page90"/>
    <w:bookmarkEnd w:id="8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left="2920"/>
        <w:spacing w:after="0"/>
        <w:rPr>
          <w:sz w:val="20"/>
          <w:szCs w:val="20"/>
          <w:color w:val="auto"/>
        </w:rPr>
      </w:pPr>
      <w:r>
        <w:rPr>
          <w:rFonts w:ascii="Arial" w:cs="Arial" w:eastAsia="Arial" w:hAnsi="Arial"/>
          <w:sz w:val="20"/>
          <w:szCs w:val="20"/>
          <w:b w:val="1"/>
          <w:bCs w:val="1"/>
          <w:color w:val="00274E"/>
        </w:rPr>
        <w:t>AMERICAN FINANCIAL GROUP, INC. AND SUBSIDIARIES</w:t>
      </w:r>
    </w:p>
    <w:p>
      <w:pPr>
        <w:spacing w:after="0" w:line="33" w:lineRule="exact"/>
        <w:rPr>
          <w:sz w:val="20"/>
          <w:szCs w:val="20"/>
          <w:color w:val="auto"/>
        </w:rPr>
      </w:pPr>
    </w:p>
    <w:p>
      <w:pPr>
        <w:ind w:left="3500"/>
        <w:spacing w:after="0"/>
        <w:rPr>
          <w:sz w:val="20"/>
          <w:szCs w:val="20"/>
          <w:color w:val="auto"/>
        </w:rPr>
      </w:pPr>
      <w:r>
        <w:rPr>
          <w:rFonts w:ascii="Arial" w:cs="Arial" w:eastAsia="Arial" w:hAnsi="Arial"/>
          <w:sz w:val="20"/>
          <w:szCs w:val="20"/>
          <w:b w:val="1"/>
          <w:bCs w:val="1"/>
          <w:color w:val="00274E"/>
        </w:rPr>
        <w:t>CONSOLIDATED STATEMENT OF EARNINGS</w:t>
      </w:r>
    </w:p>
    <w:p>
      <w:pPr>
        <w:jc w:val="center"/>
        <w:spacing w:after="0"/>
        <w:rPr>
          <w:sz w:val="20"/>
          <w:szCs w:val="20"/>
          <w:color w:val="auto"/>
        </w:rPr>
      </w:pPr>
      <w:r>
        <w:rPr>
          <w:rFonts w:ascii="Arial" w:cs="Arial" w:eastAsia="Arial" w:hAnsi="Arial"/>
          <w:sz w:val="20"/>
          <w:szCs w:val="20"/>
          <w:b w:val="1"/>
          <w:bCs w:val="1"/>
          <w:color w:val="00274E"/>
        </w:rPr>
        <w:t>(In Millions, Except Per Share Data)</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5"/>
                <w:szCs w:val="15"/>
                <w:color w:val="auto"/>
              </w:rPr>
              <w:t>Year ended December 31,</w:t>
            </w:r>
          </w:p>
        </w:tc>
        <w:tc>
          <w:tcPr>
            <w:tcW w:w="900" w:type="dxa"/>
            <w:vAlign w:val="bottom"/>
            <w:tcBorders>
              <w:bottom w:val="single" w:sz="8" w:color="auto"/>
            </w:tcBorders>
          </w:tcPr>
          <w:p>
            <w:pPr>
              <w:spacing w:after="0"/>
              <w:rPr>
                <w:sz w:val="17"/>
                <w:szCs w:val="17"/>
                <w:color w:val="auto"/>
              </w:rPr>
            </w:pPr>
          </w:p>
        </w:tc>
      </w:tr>
      <w:tr>
        <w:trPr>
          <w:trHeight w:val="198"/>
        </w:trPr>
        <w:tc>
          <w:tcPr>
            <w:tcW w:w="74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5"/>
                <w:szCs w:val="15"/>
                <w:color w:val="auto"/>
              </w:rPr>
              <w:t>2023</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5"/>
                <w:szCs w:val="15"/>
                <w:color w:val="auto"/>
              </w:rPr>
              <w:t>2022</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5"/>
                <w:szCs w:val="15"/>
                <w:color w:val="auto"/>
              </w:rPr>
              <w:t>2021</w:t>
            </w:r>
          </w:p>
        </w:tc>
      </w:tr>
      <w:tr>
        <w:trPr>
          <w:trHeight w:val="19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5"/>
        </w:trPr>
        <w:tc>
          <w:tcPr>
            <w:tcW w:w="7440" w:type="dxa"/>
            <w:vAlign w:val="bottom"/>
          </w:tcPr>
          <w:p>
            <w:pPr>
              <w:ind w:left="360"/>
              <w:spacing w:after="0"/>
              <w:rPr>
                <w:sz w:val="20"/>
                <w:szCs w:val="20"/>
                <w:color w:val="auto"/>
              </w:rPr>
            </w:pPr>
            <w:r>
              <w:rPr>
                <w:rFonts w:ascii="Arial" w:cs="Arial" w:eastAsia="Arial" w:hAnsi="Arial"/>
                <w:sz w:val="16"/>
                <w:szCs w:val="16"/>
                <w:color w:val="auto"/>
              </w:rPr>
              <w:t>Property and casualty insurance net earned premiums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6,531</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6,085</w:t>
            </w:r>
          </w:p>
        </w:tc>
        <w:tc>
          <w:tcPr>
            <w:tcW w:w="8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5,404</w:t>
            </w:r>
          </w:p>
        </w:tc>
      </w:tr>
      <w:tr>
        <w:trPr>
          <w:trHeight w:val="217"/>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investment income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w:t>
            </w:r>
          </w:p>
        </w:tc>
      </w:tr>
      <w:tr>
        <w:trPr>
          <w:trHeight w:val="215"/>
        </w:trPr>
        <w:tc>
          <w:tcPr>
            <w:tcW w:w="7440" w:type="dxa"/>
            <w:vAlign w:val="bottom"/>
          </w:tcPr>
          <w:p>
            <w:pPr>
              <w:ind w:left="360"/>
              <w:spacing w:after="0"/>
              <w:rPr>
                <w:sz w:val="20"/>
                <w:szCs w:val="20"/>
                <w:color w:val="auto"/>
              </w:rPr>
            </w:pPr>
            <w:r>
              <w:rPr>
                <w:rFonts w:ascii="Arial" w:cs="Arial" w:eastAsia="Arial" w:hAnsi="Arial"/>
                <w:sz w:val="16"/>
                <w:szCs w:val="16"/>
                <w:color w:val="auto"/>
              </w:rPr>
              <w:t>Realized gains (losses) on:</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7"/>
        </w:trPr>
        <w:tc>
          <w:tcPr>
            <w:tcW w:w="74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Securities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r>
      <w:tr>
        <w:trPr>
          <w:trHeight w:val="215"/>
        </w:trPr>
        <w:tc>
          <w:tcPr>
            <w:tcW w:w="7440" w:type="dxa"/>
            <w:vAlign w:val="bottom"/>
          </w:tcPr>
          <w:p>
            <w:pPr>
              <w:ind w:left="680"/>
              <w:spacing w:after="0"/>
              <w:rPr>
                <w:sz w:val="20"/>
                <w:szCs w:val="20"/>
                <w:color w:val="auto"/>
              </w:rPr>
            </w:pPr>
            <w:r>
              <w:rPr>
                <w:rFonts w:ascii="Arial" w:cs="Arial" w:eastAsia="Arial" w:hAnsi="Arial"/>
                <w:sz w:val="16"/>
                <w:szCs w:val="16"/>
                <w:color w:val="auto"/>
              </w:rPr>
              <w:t>Subsidiaries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7"/>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of managed investment entities: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5"/>
        </w:trPr>
        <w:tc>
          <w:tcPr>
            <w:tcW w:w="7440" w:type="dxa"/>
            <w:vAlign w:val="bottom"/>
          </w:tcPr>
          <w:p>
            <w:pPr>
              <w:ind w:left="680"/>
              <w:spacing w:after="0"/>
              <w:rPr>
                <w:sz w:val="20"/>
                <w:szCs w:val="20"/>
                <w:color w:val="auto"/>
              </w:rPr>
            </w:pPr>
            <w:r>
              <w:rPr>
                <w:rFonts w:ascii="Arial" w:cs="Arial" w:eastAsia="Arial" w:hAnsi="Arial"/>
                <w:sz w:val="16"/>
                <w:szCs w:val="16"/>
                <w:color w:val="auto"/>
              </w:rPr>
              <w:t>Investment income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181</w:t>
            </w:r>
          </w:p>
        </w:tc>
      </w:tr>
      <w:tr>
        <w:trPr>
          <w:trHeight w:val="217"/>
        </w:trPr>
        <w:tc>
          <w:tcPr>
            <w:tcW w:w="74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Gain (loss) on change in fair value of assets/liabilities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5"/>
        </w:trPr>
        <w:tc>
          <w:tcPr>
            <w:tcW w:w="74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income</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r>
      <w:tr>
        <w:trPr>
          <w:trHeight w:val="210"/>
        </w:trPr>
        <w:tc>
          <w:tcPr>
            <w:tcW w:w="74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revenues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6,552</w:t>
            </w:r>
          </w:p>
        </w:tc>
      </w:tr>
      <w:tr>
        <w:trPr>
          <w:trHeight w:val="216"/>
        </w:trPr>
        <w:tc>
          <w:tcPr>
            <w:tcW w:w="7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5"/>
        </w:trPr>
        <w:tc>
          <w:tcPr>
            <w:tcW w:w="7440" w:type="dxa"/>
            <w:vAlign w:val="bottom"/>
          </w:tcPr>
          <w:p>
            <w:pPr>
              <w:ind w:left="360"/>
              <w:spacing w:after="0"/>
              <w:rPr>
                <w:sz w:val="20"/>
                <w:szCs w:val="20"/>
                <w:color w:val="auto"/>
              </w:rPr>
            </w:pPr>
            <w:r>
              <w:rPr>
                <w:rFonts w:ascii="Arial" w:cs="Arial" w:eastAsia="Arial" w:hAnsi="Arial"/>
                <w:sz w:val="16"/>
                <w:szCs w:val="16"/>
                <w:color w:val="auto"/>
              </w:rPr>
              <w:t>Property and casualty insurance:</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7"/>
        </w:trPr>
        <w:tc>
          <w:tcPr>
            <w:tcW w:w="74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Losses and loss adjustment expenses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3,157</w:t>
            </w:r>
          </w:p>
        </w:tc>
      </w:tr>
      <w:tr>
        <w:trPr>
          <w:trHeight w:val="215"/>
        </w:trPr>
        <w:tc>
          <w:tcPr>
            <w:tcW w:w="7440" w:type="dxa"/>
            <w:vAlign w:val="bottom"/>
          </w:tcPr>
          <w:p>
            <w:pPr>
              <w:ind w:left="680"/>
              <w:spacing w:after="0"/>
              <w:rPr>
                <w:sz w:val="20"/>
                <w:szCs w:val="20"/>
                <w:color w:val="auto"/>
              </w:rPr>
            </w:pPr>
            <w:r>
              <w:rPr>
                <w:rFonts w:ascii="Arial" w:cs="Arial" w:eastAsia="Arial" w:hAnsi="Arial"/>
                <w:sz w:val="16"/>
                <w:szCs w:val="16"/>
                <w:color w:val="auto"/>
              </w:rPr>
              <w:t>Commissions and other underwriting expenses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1,935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1,718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1,547</w:t>
            </w:r>
          </w:p>
        </w:tc>
      </w:tr>
      <w:tr>
        <w:trPr>
          <w:trHeight w:val="217"/>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charges on borrowed money</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15"/>
        </w:trPr>
        <w:tc>
          <w:tcPr>
            <w:tcW w:w="7440" w:type="dxa"/>
            <w:vAlign w:val="bottom"/>
          </w:tcPr>
          <w:p>
            <w:pPr>
              <w:ind w:left="360"/>
              <w:spacing w:after="0"/>
              <w:rPr>
                <w:sz w:val="20"/>
                <w:szCs w:val="20"/>
                <w:color w:val="auto"/>
              </w:rPr>
            </w:pPr>
            <w:r>
              <w:rPr>
                <w:rFonts w:ascii="Arial" w:cs="Arial" w:eastAsia="Arial" w:hAnsi="Arial"/>
                <w:sz w:val="16"/>
                <w:szCs w:val="16"/>
                <w:color w:val="auto"/>
              </w:rPr>
              <w:t>Expenses of managed investment entities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17"/>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expenses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w:t>
            </w:r>
          </w:p>
        </w:tc>
      </w:tr>
      <w:tr>
        <w:trPr>
          <w:trHeight w:val="209"/>
        </w:trPr>
        <w:tc>
          <w:tcPr>
            <w:tcW w:w="74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costs and expenses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6,754</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5,917</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5,217</w:t>
            </w:r>
          </w:p>
        </w:tc>
      </w:tr>
      <w:tr>
        <w:trPr>
          <w:trHeight w:val="210"/>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from continuing operations before income taxes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1,335</w:t>
            </w:r>
          </w:p>
        </w:tc>
      </w:tr>
      <w:tr>
        <w:trPr>
          <w:trHeight w:val="215"/>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w:t>
            </w:r>
          </w:p>
        </w:tc>
      </w:tr>
      <w:tr>
        <w:trPr>
          <w:trHeight w:val="210"/>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from continuing operations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w:t>
            </w:r>
          </w:p>
        </w:tc>
      </w:tr>
      <w:tr>
        <w:trPr>
          <w:trHeight w:val="215"/>
        </w:trPr>
        <w:tc>
          <w:tcPr>
            <w:tcW w:w="7440" w:type="dxa"/>
            <w:vAlign w:val="bottom"/>
          </w:tcPr>
          <w:p>
            <w:pPr>
              <w:ind w:left="20"/>
              <w:spacing w:after="0"/>
              <w:rPr>
                <w:sz w:val="20"/>
                <w:szCs w:val="20"/>
                <w:color w:val="auto"/>
              </w:rPr>
            </w:pPr>
            <w:r>
              <w:rPr>
                <w:rFonts w:ascii="Arial" w:cs="Arial" w:eastAsia="Arial" w:hAnsi="Arial"/>
                <w:sz w:val="16"/>
                <w:szCs w:val="16"/>
                <w:color w:val="auto"/>
              </w:rPr>
              <w:t>Net earnings from discontinued operations</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914</w:t>
            </w:r>
          </w:p>
        </w:tc>
      </w:tr>
      <w:tr>
        <w:trPr>
          <w:trHeight w:val="235"/>
        </w:trPr>
        <w:tc>
          <w:tcPr>
            <w:tcW w:w="7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1,995</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per Basic Common Share from:</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5"/>
        </w:trPr>
        <w:tc>
          <w:tcPr>
            <w:tcW w:w="7440" w:type="dxa"/>
            <w:vAlign w:val="bottom"/>
          </w:tcPr>
          <w:p>
            <w:pPr>
              <w:ind w:left="360"/>
              <w:spacing w:after="0"/>
              <w:rPr>
                <w:sz w:val="20"/>
                <w:szCs w:val="20"/>
                <w:color w:val="auto"/>
              </w:rPr>
            </w:pPr>
            <w:r>
              <w:rPr>
                <w:rFonts w:ascii="Arial" w:cs="Arial" w:eastAsia="Arial" w:hAnsi="Arial"/>
                <w:sz w:val="16"/>
                <w:szCs w:val="16"/>
                <w:color w:val="auto"/>
              </w:rPr>
              <w:t>Continuing operations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10.06</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10.55</w:t>
            </w:r>
          </w:p>
        </w:tc>
        <w:tc>
          <w:tcPr>
            <w:tcW w:w="8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12.70</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Discontinued operations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w:t>
            </w:r>
          </w:p>
        </w:tc>
      </w:tr>
      <w:tr>
        <w:trPr>
          <w:trHeight w:val="210"/>
        </w:trPr>
        <w:tc>
          <w:tcPr>
            <w:tcW w:w="7440" w:type="dxa"/>
            <w:vAlign w:val="bottom"/>
          </w:tcPr>
          <w:p>
            <w:pPr>
              <w:ind w:left="460"/>
              <w:spacing w:after="0"/>
              <w:rPr>
                <w:sz w:val="20"/>
                <w:szCs w:val="20"/>
                <w:color w:val="auto"/>
              </w:rPr>
            </w:pPr>
            <w:r>
              <w:rPr>
                <w:rFonts w:ascii="Arial" w:cs="Arial" w:eastAsia="Arial" w:hAnsi="Arial"/>
                <w:sz w:val="16"/>
                <w:szCs w:val="16"/>
                <w:color w:val="auto"/>
              </w:rPr>
              <w:t>Total basic earnings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10.06</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10.55</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23.44</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3"/>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per Diluted Common Share:</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15"/>
        </w:trPr>
        <w:tc>
          <w:tcPr>
            <w:tcW w:w="7440" w:type="dxa"/>
            <w:vAlign w:val="bottom"/>
          </w:tcPr>
          <w:p>
            <w:pPr>
              <w:ind w:left="360"/>
              <w:spacing w:after="0"/>
              <w:rPr>
                <w:sz w:val="20"/>
                <w:szCs w:val="20"/>
                <w:color w:val="auto"/>
              </w:rPr>
            </w:pPr>
            <w:r>
              <w:rPr>
                <w:rFonts w:ascii="Arial" w:cs="Arial" w:eastAsia="Arial" w:hAnsi="Arial"/>
                <w:sz w:val="16"/>
                <w:szCs w:val="16"/>
                <w:color w:val="auto"/>
              </w:rPr>
              <w:t>Continuing operations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10.05</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10.53</w:t>
            </w:r>
          </w:p>
        </w:tc>
        <w:tc>
          <w:tcPr>
            <w:tcW w:w="8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12.62</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Discontinued operations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w:t>
            </w:r>
          </w:p>
        </w:tc>
      </w:tr>
      <w:tr>
        <w:trPr>
          <w:trHeight w:val="210"/>
        </w:trPr>
        <w:tc>
          <w:tcPr>
            <w:tcW w:w="7440" w:type="dxa"/>
            <w:vAlign w:val="bottom"/>
          </w:tcPr>
          <w:p>
            <w:pPr>
              <w:ind w:left="460"/>
              <w:spacing w:after="0"/>
              <w:rPr>
                <w:sz w:val="20"/>
                <w:szCs w:val="20"/>
                <w:color w:val="auto"/>
              </w:rPr>
            </w:pPr>
            <w:r>
              <w:rPr>
                <w:rFonts w:ascii="Arial" w:cs="Arial" w:eastAsia="Arial" w:hAnsi="Arial"/>
                <w:sz w:val="16"/>
                <w:szCs w:val="16"/>
                <w:color w:val="auto"/>
              </w:rPr>
              <w:t>Total diluted earnings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10.05</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10.53</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23.30</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3"/>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number of Common Shares:</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15"/>
        </w:trPr>
        <w:tc>
          <w:tcPr>
            <w:tcW w:w="7440" w:type="dxa"/>
            <w:vAlign w:val="bottom"/>
          </w:tcPr>
          <w:p>
            <w:pPr>
              <w:ind w:left="360"/>
              <w:spacing w:after="0"/>
              <w:rPr>
                <w:sz w:val="20"/>
                <w:szCs w:val="20"/>
                <w:color w:val="auto"/>
              </w:rPr>
            </w:pPr>
            <w:r>
              <w:rPr>
                <w:rFonts w:ascii="Arial" w:cs="Arial" w:eastAsia="Arial" w:hAnsi="Arial"/>
                <w:sz w:val="16"/>
                <w:szCs w:val="16"/>
                <w:color w:val="auto"/>
              </w:rPr>
              <w:t>Basic</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84.7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85.1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85.1</w:t>
            </w:r>
          </w:p>
        </w:tc>
      </w:tr>
      <w:tr>
        <w:trPr>
          <w:trHeight w:val="217"/>
        </w:trPr>
        <w:tc>
          <w:tcPr>
            <w:tcW w:w="7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w:t>
            </w:r>
          </w:p>
        </w:tc>
      </w:tr>
    </w:tbl>
    <w:p>
      <w:pPr>
        <w:spacing w:after="0" w:line="302" w:lineRule="exact"/>
        <w:rPr>
          <w:sz w:val="20"/>
          <w:szCs w:val="20"/>
          <w:color w:val="auto"/>
        </w:rPr>
      </w:pPr>
    </w:p>
    <w:p>
      <w:pPr>
        <w:spacing w:after="0"/>
        <w:rPr>
          <w:sz w:val="20"/>
          <w:szCs w:val="20"/>
          <w:color w:val="auto"/>
        </w:rPr>
      </w:pPr>
      <w:r>
        <w:rPr>
          <w:rFonts w:ascii="Arial" w:cs="Arial" w:eastAsia="Arial" w:hAnsi="Arial"/>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0" w:name="page91"/>
    <w:bookmarkEnd w:id="9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center"/>
        <w:spacing w:after="0" w:line="269" w:lineRule="auto"/>
        <w:rPr>
          <w:sz w:val="20"/>
          <w:szCs w:val="20"/>
          <w:color w:val="auto"/>
        </w:rPr>
      </w:pPr>
      <w:r>
        <w:rPr>
          <w:rFonts w:ascii="Arial" w:cs="Arial" w:eastAsia="Arial" w:hAnsi="Arial"/>
          <w:sz w:val="20"/>
          <w:szCs w:val="20"/>
          <w:b w:val="1"/>
          <w:bCs w:val="1"/>
          <w:color w:val="00274E"/>
        </w:rPr>
        <w:t>AMERICAN FINANCIAL GROUP, INC. AND SUBSIDIARIES CONSOLIDATED STATEMENT OF COMPREHENSIVE INCOME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color w:val="auto"/>
              </w:rPr>
              <w:t>Year ended December 31,</w:t>
            </w:r>
          </w:p>
        </w:tc>
        <w:tc>
          <w:tcPr>
            <w:tcW w:w="720" w:type="dxa"/>
            <w:vAlign w:val="bottom"/>
            <w:tcBorders>
              <w:bottom w:val="single" w:sz="8" w:color="auto"/>
            </w:tcBorders>
          </w:tcPr>
          <w:p>
            <w:pPr>
              <w:spacing w:after="0"/>
              <w:rPr>
                <w:sz w:val="17"/>
                <w:szCs w:val="17"/>
                <w:color w:val="auto"/>
              </w:rPr>
            </w:pPr>
          </w:p>
        </w:tc>
      </w:tr>
      <w:tr>
        <w:trPr>
          <w:trHeight w:val="198"/>
        </w:trPr>
        <w:tc>
          <w:tcPr>
            <w:tcW w:w="79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60"/>
              <w:spacing w:after="0"/>
              <w:rPr>
                <w:sz w:val="20"/>
                <w:szCs w:val="20"/>
                <w:color w:val="auto"/>
              </w:rPr>
            </w:pPr>
            <w:r>
              <w:rPr>
                <w:rFonts w:ascii="Arial" w:cs="Arial" w:eastAsia="Arial" w:hAnsi="Arial"/>
                <w:sz w:val="15"/>
                <w:szCs w:val="15"/>
                <w:color w:val="auto"/>
              </w:rPr>
              <w:t>2023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5"/>
                <w:szCs w:val="15"/>
                <w:color w:val="auto"/>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59"/>
              <w:spacing w:after="0"/>
              <w:rPr>
                <w:sz w:val="20"/>
                <w:szCs w:val="20"/>
                <w:color w:val="auto"/>
              </w:rPr>
            </w:pPr>
            <w:r>
              <w:rPr>
                <w:rFonts w:ascii="Arial" w:cs="Arial" w:eastAsia="Arial" w:hAnsi="Arial"/>
                <w:sz w:val="15"/>
                <w:szCs w:val="15"/>
                <w:color w:val="auto"/>
              </w:rPr>
              <w:t>2021</w:t>
            </w:r>
          </w:p>
        </w:tc>
      </w:tr>
      <w:tr>
        <w:trPr>
          <w:trHeight w:val="211"/>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1,995</w:t>
            </w:r>
          </w:p>
        </w:tc>
      </w:tr>
      <w:tr>
        <w:trPr>
          <w:trHeight w:val="257"/>
        </w:trPr>
        <w:tc>
          <w:tcPr>
            <w:tcW w:w="7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5"/>
        </w:trPr>
        <w:tc>
          <w:tcPr>
            <w:tcW w:w="7980" w:type="dxa"/>
            <w:vAlign w:val="bottom"/>
          </w:tcPr>
          <w:p>
            <w:pPr>
              <w:ind w:left="360"/>
              <w:spacing w:after="0"/>
              <w:rPr>
                <w:sz w:val="20"/>
                <w:szCs w:val="20"/>
                <w:color w:val="auto"/>
              </w:rPr>
            </w:pPr>
            <w:r>
              <w:rPr>
                <w:rFonts w:ascii="Arial" w:cs="Arial" w:eastAsia="Arial" w:hAnsi="Arial"/>
                <w:sz w:val="16"/>
                <w:szCs w:val="16"/>
                <w:color w:val="auto"/>
              </w:rPr>
              <w:t>Net unrealized gains (losses) on securities: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7"/>
        </w:trPr>
        <w:tc>
          <w:tcPr>
            <w:tcW w:w="79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Unrealized holding gains (losses) on securities arising during the period</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r>
      <w:tr>
        <w:trPr>
          <w:trHeight w:val="215"/>
        </w:trPr>
        <w:tc>
          <w:tcPr>
            <w:tcW w:w="7980" w:type="dxa"/>
            <w:vAlign w:val="bottom"/>
          </w:tcPr>
          <w:p>
            <w:pPr>
              <w:ind w:left="600"/>
              <w:spacing w:after="0"/>
              <w:rPr>
                <w:sz w:val="20"/>
                <w:szCs w:val="20"/>
                <w:color w:val="auto"/>
              </w:rPr>
            </w:pPr>
            <w:r>
              <w:rPr>
                <w:rFonts w:ascii="Arial" w:cs="Arial" w:eastAsia="Arial" w:hAnsi="Arial"/>
                <w:sz w:val="16"/>
                <w:szCs w:val="16"/>
                <w:color w:val="auto"/>
              </w:rPr>
              <w:t>Reclassification adjustment for realized (gains) losses included in net earnings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7"/>
        </w:trPr>
        <w:tc>
          <w:tcPr>
            <w:tcW w:w="79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Reclassification adjustment for unrealized gains of subsidiaries sold</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w:t>
            </w:r>
          </w:p>
        </w:tc>
      </w:tr>
      <w:tr>
        <w:trPr>
          <w:trHeight w:val="209"/>
        </w:trPr>
        <w:tc>
          <w:tcPr>
            <w:tcW w:w="7980" w:type="dxa"/>
            <w:vAlign w:val="bottom"/>
          </w:tcPr>
          <w:p>
            <w:pPr>
              <w:ind w:left="800"/>
              <w:spacing w:after="0"/>
              <w:rPr>
                <w:sz w:val="20"/>
                <w:szCs w:val="20"/>
                <w:color w:val="auto"/>
              </w:rPr>
            </w:pPr>
            <w:r>
              <w:rPr>
                <w:rFonts w:ascii="Arial" w:cs="Arial" w:eastAsia="Arial" w:hAnsi="Arial"/>
                <w:sz w:val="16"/>
                <w:szCs w:val="16"/>
                <w:color w:val="auto"/>
              </w:rPr>
              <w:t>Total net unrealized gains (losses) on securities</w:t>
            </w: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(633)</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(1,119)</w:t>
            </w:r>
          </w:p>
        </w:tc>
      </w:tr>
      <w:tr>
        <w:trPr>
          <w:trHeight w:val="217"/>
        </w:trPr>
        <w:tc>
          <w:tcPr>
            <w:tcW w:w="7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unrealized gains (losses) on cash flow hedges: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5"/>
        </w:trPr>
        <w:tc>
          <w:tcPr>
            <w:tcW w:w="7980" w:type="dxa"/>
            <w:vAlign w:val="bottom"/>
          </w:tcPr>
          <w:p>
            <w:pPr>
              <w:ind w:left="600"/>
              <w:spacing w:after="0"/>
              <w:rPr>
                <w:sz w:val="20"/>
                <w:szCs w:val="20"/>
                <w:color w:val="auto"/>
              </w:rPr>
            </w:pPr>
            <w:r>
              <w:rPr>
                <w:rFonts w:ascii="Arial" w:cs="Arial" w:eastAsia="Arial" w:hAnsi="Arial"/>
                <w:sz w:val="16"/>
                <w:szCs w:val="16"/>
                <w:color w:val="auto"/>
              </w:rPr>
              <w:t>Unrealized holding gains (losses) on cash flow hedges arising during the period</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79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Reclassification adjustment for investment income included in net earnings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5"/>
        </w:trPr>
        <w:tc>
          <w:tcPr>
            <w:tcW w:w="7980" w:type="dxa"/>
            <w:vAlign w:val="bottom"/>
          </w:tcPr>
          <w:p>
            <w:pPr>
              <w:ind w:left="600"/>
              <w:spacing w:after="0"/>
              <w:rPr>
                <w:sz w:val="20"/>
                <w:szCs w:val="20"/>
                <w:color w:val="auto"/>
              </w:rPr>
            </w:pPr>
            <w:r>
              <w:rPr>
                <w:rFonts w:ascii="Arial" w:cs="Arial" w:eastAsia="Arial" w:hAnsi="Arial"/>
                <w:sz w:val="16"/>
                <w:szCs w:val="16"/>
                <w:color w:val="auto"/>
              </w:rPr>
              <w:t>Reclassification adjustment for unrealized gains on cash flow hedges of subsidiaries sold</w:t>
            </w: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0"/>
        </w:trPr>
        <w:tc>
          <w:tcPr>
            <w:tcW w:w="7980" w:type="dxa"/>
            <w:vAlign w:val="bottom"/>
            <w:tcBorders>
              <w:top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Total net unrealized gains (losses) on cash flow hedges</w:t>
            </w: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15"/>
        </w:trPr>
        <w:tc>
          <w:tcPr>
            <w:tcW w:w="7980" w:type="dxa"/>
            <w:vAlign w:val="bottom"/>
          </w:tcPr>
          <w:p>
            <w:pPr>
              <w:ind w:left="360"/>
              <w:spacing w:after="0"/>
              <w:rPr>
                <w:sz w:val="20"/>
                <w:szCs w:val="20"/>
                <w:color w:val="auto"/>
              </w:rPr>
            </w:pPr>
            <w:r>
              <w:rPr>
                <w:rFonts w:ascii="Arial" w:cs="Arial" w:eastAsia="Arial" w:hAnsi="Arial"/>
                <w:sz w:val="16"/>
                <w:szCs w:val="16"/>
                <w:color w:val="auto"/>
              </w:rPr>
              <w:t>Foreign currency translation adjustments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7"/>
        </w:trPr>
        <w:tc>
          <w:tcPr>
            <w:tcW w:w="7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Pension and other postretirement plans adjustments (“OPRP”):</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5"/>
        </w:trPr>
        <w:tc>
          <w:tcPr>
            <w:tcW w:w="7980" w:type="dxa"/>
            <w:vAlign w:val="bottom"/>
          </w:tcPr>
          <w:p>
            <w:pPr>
              <w:ind w:left="600"/>
              <w:spacing w:after="0"/>
              <w:rPr>
                <w:sz w:val="20"/>
                <w:szCs w:val="20"/>
                <w:color w:val="auto"/>
              </w:rPr>
            </w:pPr>
            <w:r>
              <w:rPr>
                <w:rFonts w:ascii="Arial" w:cs="Arial" w:eastAsia="Arial" w:hAnsi="Arial"/>
                <w:sz w:val="16"/>
                <w:szCs w:val="16"/>
                <w:color w:val="auto"/>
              </w:rPr>
              <w:t>Unrealized holding gains (losses) on pension and OPRP arising during the period</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79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Reclassification adjustment for pension settlement loss included in net earnings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09"/>
        </w:trPr>
        <w:tc>
          <w:tcPr>
            <w:tcW w:w="798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pension and OPRP adjustments</w:t>
            </w: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10"/>
        </w:trPr>
        <w:tc>
          <w:tcPr>
            <w:tcW w:w="7980" w:type="dxa"/>
            <w:vAlign w:val="bottom"/>
            <w:shd w:val="clear" w:color="auto" w:fill="CCEEFF"/>
          </w:tcPr>
          <w:p>
            <w:pPr>
              <w:ind w:left="900"/>
              <w:spacing w:after="0"/>
              <w:rPr>
                <w:sz w:val="20"/>
                <w:szCs w:val="20"/>
                <w:color w:val="auto"/>
              </w:rPr>
            </w:pPr>
            <w:r>
              <w:rPr>
                <w:rFonts w:ascii="Arial" w:cs="Arial" w:eastAsia="Arial" w:hAnsi="Arial"/>
                <w:sz w:val="16"/>
                <w:szCs w:val="16"/>
                <w:color w:val="auto"/>
              </w:rPr>
              <w:t>Other comprehensive income (loss), net of tax</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(1,154)</w:t>
            </w:r>
          </w:p>
        </w:tc>
      </w:tr>
      <w:tr>
        <w:trPr>
          <w:trHeight w:val="237"/>
        </w:trPr>
        <w:tc>
          <w:tcPr>
            <w:tcW w:w="7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41"/>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1" w:name="page92"/>
    <w:bookmarkEnd w:id="9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AMERICAN FINANCIAL GROUP,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CONSOLIDATED STATEMENT OF CHANGES IN EQUITY</w:t>
      </w:r>
    </w:p>
    <w:p>
      <w:pPr>
        <w:jc w:val="center"/>
        <w:spacing w:after="0"/>
        <w:rPr>
          <w:sz w:val="20"/>
          <w:szCs w:val="20"/>
          <w:color w:val="auto"/>
        </w:rPr>
      </w:pPr>
      <w:r>
        <w:rPr>
          <w:rFonts w:ascii="Arial" w:cs="Arial" w:eastAsia="Arial" w:hAnsi="Arial"/>
          <w:sz w:val="20"/>
          <w:szCs w:val="20"/>
          <w:b w:val="1"/>
          <w:bCs w:val="1"/>
          <w:color w:val="00274E"/>
        </w:rPr>
        <w:t>(Dollars in Millions)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color w:val="auto"/>
              </w:rPr>
              <w:t>Shareholders’ Equity</w:t>
            </w: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4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3"/>
            <w:vMerge w:val="restart"/>
          </w:tcPr>
          <w:p>
            <w:pPr>
              <w:jc w:val="center"/>
              <w:ind w:right="100"/>
              <w:spacing w:after="0"/>
              <w:rPr>
                <w:sz w:val="20"/>
                <w:szCs w:val="20"/>
                <w:color w:val="auto"/>
              </w:rPr>
            </w:pPr>
            <w:r>
              <w:rPr>
                <w:rFonts w:ascii="Arial" w:cs="Arial" w:eastAsia="Arial" w:hAnsi="Arial"/>
                <w:sz w:val="14"/>
                <w:szCs w:val="14"/>
                <w:color w:val="auto"/>
              </w:rPr>
              <w:t>Common Stock and</w:t>
            </w:r>
          </w:p>
        </w:tc>
        <w:tc>
          <w:tcPr>
            <w:tcW w:w="160" w:type="dxa"/>
            <w:vAlign w:val="bottom"/>
          </w:tcPr>
          <w:p>
            <w:pPr>
              <w:spacing w:after="0"/>
              <w:rPr>
                <w:sz w:val="15"/>
                <w:szCs w:val="15"/>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color w:val="auto"/>
              </w:rPr>
              <w:t>Retained</w:t>
            </w: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color w:val="auto"/>
              </w:rPr>
              <w:t>Accumulated Other</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40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4"/>
                <w:szCs w:val="14"/>
                <w:color w:val="auto"/>
              </w:rPr>
              <w:t>Common Shares</w:t>
            </w:r>
          </w:p>
        </w:tc>
        <w:tc>
          <w:tcPr>
            <w:tcW w:w="8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rPr>
              <w:t>Comp. Income</w:t>
            </w:r>
          </w:p>
        </w:tc>
        <w:tc>
          <w:tcPr>
            <w:tcW w:w="220" w:type="dxa"/>
            <w:vAlign w:val="bottom"/>
          </w:tcPr>
          <w:p>
            <w:pPr>
              <w:spacing w:after="0"/>
              <w:rPr>
                <w:sz w:val="12"/>
                <w:szCs w:val="12"/>
                <w:color w:val="auto"/>
              </w:rPr>
            </w:pPr>
          </w:p>
        </w:tc>
        <w:tc>
          <w:tcPr>
            <w:tcW w:w="760" w:type="dxa"/>
            <w:vAlign w:val="bottom"/>
            <w:vMerge w:val="restart"/>
          </w:tcPr>
          <w:p>
            <w:pPr>
              <w:jc w:val="right"/>
              <w:ind w:right="25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5"/>
        </w:trPr>
        <w:tc>
          <w:tcPr>
            <w:tcW w:w="4780" w:type="dxa"/>
            <w:vAlign w:val="bottom"/>
          </w:tcPr>
          <w:p>
            <w:pPr>
              <w:spacing w:after="0"/>
              <w:rPr>
                <w:sz w:val="16"/>
                <w:szCs w:val="16"/>
                <w:color w:val="auto"/>
              </w:rPr>
            </w:pPr>
          </w:p>
        </w:tc>
        <w:tc>
          <w:tcPr>
            <w:tcW w:w="14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color w:val="auto"/>
              </w:rPr>
              <w:t>Capital Surplus</w:t>
            </w:r>
          </w:p>
        </w:tc>
        <w:tc>
          <w:tcPr>
            <w:tcW w:w="16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color w:val="auto"/>
              </w:rPr>
              <w:t>(Loss)</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86,345,246</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6,789</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1,995</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Dividends ($28.06 per share)</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(2,382)</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issued:</w:t>
            </w:r>
          </w:p>
        </w:tc>
        <w:tc>
          <w:tcPr>
            <w:tcW w:w="12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Exercise of stock options</w:t>
            </w:r>
          </w:p>
        </w:tc>
        <w:tc>
          <w:tcPr>
            <w:tcW w:w="1280" w:type="dxa"/>
            <w:vAlign w:val="bottom"/>
          </w:tcPr>
          <w:p>
            <w:pPr>
              <w:jc w:val="right"/>
              <w:spacing w:after="0"/>
              <w:rPr>
                <w:sz w:val="20"/>
                <w:szCs w:val="20"/>
                <w:color w:val="auto"/>
              </w:rPr>
            </w:pPr>
            <w:r>
              <w:rPr>
                <w:rFonts w:ascii="Arial" w:cs="Arial" w:eastAsia="Arial" w:hAnsi="Arial"/>
                <w:sz w:val="16"/>
                <w:szCs w:val="16"/>
                <w:color w:val="auto"/>
              </w:rPr>
              <w:t>1,208,964</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Restricted stock awards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207,020</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Other benefit plans</w:t>
            </w:r>
          </w:p>
        </w:tc>
        <w:tc>
          <w:tcPr>
            <w:tcW w:w="1280" w:type="dxa"/>
            <w:vAlign w:val="bottom"/>
          </w:tcPr>
          <w:p>
            <w:pPr>
              <w:jc w:val="right"/>
              <w:spacing w:after="0"/>
              <w:rPr>
                <w:sz w:val="20"/>
                <w:szCs w:val="20"/>
                <w:color w:val="auto"/>
              </w:rPr>
            </w:pPr>
            <w:r>
              <w:rPr>
                <w:rFonts w:ascii="Arial" w:cs="Arial" w:eastAsia="Arial" w:hAnsi="Arial"/>
                <w:sz w:val="16"/>
                <w:szCs w:val="16"/>
                <w:color w:val="auto"/>
              </w:rPr>
              <w:t>81,286</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 reinvestment plan</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69,095</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acquired and retired</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(2,777,684)</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Shares exchanged — benefit plans</w:t>
            </w:r>
          </w:p>
        </w:tc>
        <w:tc>
          <w:tcPr>
            <w:tcW w:w="1280" w:type="dxa"/>
            <w:vAlign w:val="bottom"/>
          </w:tcPr>
          <w:p>
            <w:pPr>
              <w:jc w:val="right"/>
              <w:spacing w:after="0"/>
              <w:rPr>
                <w:sz w:val="20"/>
                <w:szCs w:val="20"/>
                <w:color w:val="auto"/>
              </w:rPr>
            </w:pPr>
            <w:r>
              <w:rPr>
                <w:rFonts w:ascii="Arial" w:cs="Arial" w:eastAsia="Arial" w:hAnsi="Arial"/>
                <w:sz w:val="16"/>
                <w:szCs w:val="16"/>
                <w:color w:val="auto"/>
              </w:rPr>
              <w:t>(92,209)</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Forfeitures of restricted stock</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(120,753)</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84,920,965</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1,415</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3,478</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5,012</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($14.31 per share)</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(1,217)</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Shares issued:</w:t>
            </w:r>
          </w:p>
        </w:tc>
        <w:tc>
          <w:tcPr>
            <w:tcW w:w="12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Exercise of stock options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182,054</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Restricted stock awards</w:t>
            </w:r>
          </w:p>
        </w:tc>
        <w:tc>
          <w:tcPr>
            <w:tcW w:w="1280" w:type="dxa"/>
            <w:vAlign w:val="bottom"/>
          </w:tcPr>
          <w:p>
            <w:pPr>
              <w:jc w:val="right"/>
              <w:spacing w:after="0"/>
              <w:rPr>
                <w:sz w:val="20"/>
                <w:szCs w:val="20"/>
                <w:color w:val="auto"/>
              </w:rPr>
            </w:pPr>
            <w:r>
              <w:rPr>
                <w:rFonts w:ascii="Arial" w:cs="Arial" w:eastAsia="Arial" w:hAnsi="Arial"/>
                <w:sz w:val="16"/>
                <w:szCs w:val="16"/>
                <w:color w:val="auto"/>
              </w:rPr>
              <w:t>151,080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benefit plans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78,460</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Dividend reinvestment plan</w:t>
            </w:r>
          </w:p>
        </w:tc>
        <w:tc>
          <w:tcPr>
            <w:tcW w:w="1280" w:type="dxa"/>
            <w:vAlign w:val="bottom"/>
          </w:tcPr>
          <w:p>
            <w:pPr>
              <w:jc w:val="right"/>
              <w:spacing w:after="0"/>
              <w:rPr>
                <w:sz w:val="20"/>
                <w:szCs w:val="20"/>
                <w:color w:val="auto"/>
              </w:rPr>
            </w:pPr>
            <w:r>
              <w:rPr>
                <w:rFonts w:ascii="Arial" w:cs="Arial" w:eastAsia="Arial" w:hAnsi="Arial"/>
                <w:sz w:val="16"/>
                <w:szCs w:val="16"/>
                <w:color w:val="auto"/>
              </w:rPr>
              <w:t>33,794</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Shares acquired and retired</w:t>
            </w:r>
          </w:p>
        </w:tc>
        <w:tc>
          <w:tcPr>
            <w:tcW w:w="1280" w:type="dxa"/>
            <w:vAlign w:val="bottom"/>
          </w:tcPr>
          <w:p>
            <w:pPr>
              <w:jc w:val="right"/>
              <w:spacing w:after="0"/>
              <w:rPr>
                <w:sz w:val="20"/>
                <w:szCs w:val="20"/>
                <w:color w:val="auto"/>
              </w:rPr>
            </w:pPr>
            <w:r>
              <w:rPr>
                <w:rFonts w:ascii="Arial" w:cs="Arial" w:eastAsia="Arial" w:hAnsi="Arial"/>
                <w:sz w:val="16"/>
                <w:szCs w:val="16"/>
                <w:color w:val="auto"/>
              </w:rPr>
              <w:t>(89,368)</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exchanged — benefit plans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(57,420)</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Forfeitures of restricted stock</w:t>
            </w:r>
          </w:p>
        </w:tc>
        <w:tc>
          <w:tcPr>
            <w:tcW w:w="1280" w:type="dxa"/>
            <w:vAlign w:val="bottom"/>
          </w:tcPr>
          <w:p>
            <w:pPr>
              <w:jc w:val="right"/>
              <w:spacing w:after="0"/>
              <w:rPr>
                <w:sz w:val="20"/>
                <w:szCs w:val="20"/>
                <w:color w:val="auto"/>
              </w:rPr>
            </w:pPr>
            <w:r>
              <w:rPr>
                <w:rFonts w:ascii="Arial" w:cs="Arial" w:eastAsia="Arial" w:hAnsi="Arial"/>
                <w:sz w:val="16"/>
                <w:szCs w:val="16"/>
                <w:color w:val="auto"/>
              </w:rPr>
              <w:t>(15,559)</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2022</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85,204,006</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4,052</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852</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Dividends ($8.10 per share)</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(687)</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issued:</w:t>
            </w:r>
          </w:p>
        </w:tc>
        <w:tc>
          <w:tcPr>
            <w:tcW w:w="12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Exercise of stock options</w:t>
            </w:r>
          </w:p>
        </w:tc>
        <w:tc>
          <w:tcPr>
            <w:tcW w:w="1280" w:type="dxa"/>
            <w:vAlign w:val="bottom"/>
          </w:tcPr>
          <w:p>
            <w:pPr>
              <w:jc w:val="right"/>
              <w:spacing w:after="0"/>
              <w:rPr>
                <w:sz w:val="20"/>
                <w:szCs w:val="20"/>
                <w:color w:val="auto"/>
              </w:rPr>
            </w:pPr>
            <w:r>
              <w:rPr>
                <w:rFonts w:ascii="Arial" w:cs="Arial" w:eastAsia="Arial" w:hAnsi="Arial"/>
                <w:sz w:val="16"/>
                <w:szCs w:val="16"/>
                <w:color w:val="auto"/>
              </w:rPr>
              <w:t>96,953</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Restricted stock awards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165,513</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80" w:type="dxa"/>
            <w:vAlign w:val="bottom"/>
          </w:tcPr>
          <w:p>
            <w:pPr>
              <w:ind w:left="360"/>
              <w:spacing w:after="0"/>
              <w:rPr>
                <w:sz w:val="20"/>
                <w:szCs w:val="20"/>
                <w:color w:val="auto"/>
              </w:rPr>
            </w:pPr>
            <w:r>
              <w:rPr>
                <w:rFonts w:ascii="Arial" w:cs="Arial" w:eastAsia="Arial" w:hAnsi="Arial"/>
                <w:sz w:val="16"/>
                <w:szCs w:val="16"/>
                <w:color w:val="auto"/>
              </w:rPr>
              <w:t>Other benefit plans</w:t>
            </w:r>
          </w:p>
        </w:tc>
        <w:tc>
          <w:tcPr>
            <w:tcW w:w="1280" w:type="dxa"/>
            <w:vAlign w:val="bottom"/>
          </w:tcPr>
          <w:p>
            <w:pPr>
              <w:jc w:val="right"/>
              <w:spacing w:after="0"/>
              <w:rPr>
                <w:sz w:val="20"/>
                <w:szCs w:val="20"/>
                <w:color w:val="auto"/>
              </w:rPr>
            </w:pPr>
            <w:r>
              <w:rPr>
                <w:rFonts w:ascii="Arial" w:cs="Arial" w:eastAsia="Arial" w:hAnsi="Arial"/>
                <w:sz w:val="16"/>
                <w:szCs w:val="16"/>
                <w:color w:val="auto"/>
              </w:rPr>
              <w:t>104,207</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 reinvestment plan</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20,614</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acquired and retired</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(1,872,544)</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Shares exchanged — benefit plans</w:t>
            </w:r>
          </w:p>
        </w:tc>
        <w:tc>
          <w:tcPr>
            <w:tcW w:w="1280" w:type="dxa"/>
            <w:vAlign w:val="bottom"/>
          </w:tcPr>
          <w:p>
            <w:pPr>
              <w:jc w:val="right"/>
              <w:spacing w:after="0"/>
              <w:rPr>
                <w:sz w:val="20"/>
                <w:szCs w:val="20"/>
                <w:color w:val="auto"/>
              </w:rPr>
            </w:pPr>
            <w:r>
              <w:rPr>
                <w:rFonts w:ascii="Arial" w:cs="Arial" w:eastAsia="Arial" w:hAnsi="Arial"/>
                <w:sz w:val="16"/>
                <w:szCs w:val="16"/>
                <w:color w:val="auto"/>
              </w:rPr>
              <w:t>(64,060)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Forfeitures of restricted stock</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(18,882)</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2023</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83,635,807</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1,456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3,121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4,258</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See notes to consolidated financial statements.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2" w:name="page93"/>
    <w:bookmarkEnd w:id="9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274E"/>
        </w:rPr>
        <w:t>AMERICAN FINANCIAL GROUP, INC. AND SUBSIDIARIES</w:t>
      </w:r>
    </w:p>
    <w:p>
      <w:pPr>
        <w:jc w:val="center"/>
        <w:spacing w:after="0" w:line="219" w:lineRule="auto"/>
        <w:rPr>
          <w:sz w:val="20"/>
          <w:szCs w:val="20"/>
          <w:color w:val="auto"/>
        </w:rPr>
      </w:pPr>
      <w:r>
        <w:rPr>
          <w:rFonts w:ascii="Arial" w:cs="Arial" w:eastAsia="Arial" w:hAnsi="Arial"/>
          <w:sz w:val="18"/>
          <w:szCs w:val="18"/>
          <w:b w:val="1"/>
          <w:bCs w:val="1"/>
          <w:color w:val="00274E"/>
        </w:rPr>
        <w:t>CONSOLIDATED STATEMENT OF CASH FLOWS</w:t>
      </w:r>
    </w:p>
    <w:p>
      <w:pPr>
        <w:jc w:val="center"/>
        <w:spacing w:after="0"/>
        <w:rPr>
          <w:sz w:val="20"/>
          <w:szCs w:val="20"/>
          <w:color w:val="auto"/>
        </w:rPr>
      </w:pPr>
      <w:r>
        <w:rPr>
          <w:rFonts w:ascii="Arial" w:cs="Arial" w:eastAsia="Arial" w:hAnsi="Arial"/>
          <w:sz w:val="18"/>
          <w:szCs w:val="18"/>
          <w:b w:val="1"/>
          <w:bCs w:val="1"/>
          <w:color w:val="00274E"/>
        </w:rPr>
        <w:t>(In Millions)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right"/>
              <w:ind w:right="68"/>
              <w:spacing w:after="0"/>
              <w:rPr>
                <w:sz w:val="20"/>
                <w:szCs w:val="20"/>
                <w:color w:val="auto"/>
              </w:rPr>
            </w:pPr>
            <w:r>
              <w:rPr>
                <w:rFonts w:ascii="Arial" w:cs="Arial" w:eastAsia="Arial" w:hAnsi="Arial"/>
                <w:sz w:val="14"/>
                <w:szCs w:val="14"/>
                <w:color w:val="auto"/>
              </w:rPr>
              <w:t>Year ended December 31,</w:t>
            </w:r>
          </w:p>
        </w:tc>
        <w:tc>
          <w:tcPr>
            <w:tcW w:w="900" w:type="dxa"/>
            <w:vAlign w:val="bottom"/>
            <w:tcBorders>
              <w:bottom w:val="single" w:sz="8" w:color="auto"/>
            </w:tcBorders>
          </w:tcPr>
          <w:p>
            <w:pPr>
              <w:spacing w:after="0"/>
              <w:rPr>
                <w:sz w:val="16"/>
                <w:szCs w:val="16"/>
                <w:color w:val="auto"/>
              </w:rPr>
            </w:pPr>
          </w:p>
        </w:tc>
      </w:tr>
      <w:tr>
        <w:trPr>
          <w:trHeight w:val="192"/>
        </w:trPr>
        <w:tc>
          <w:tcPr>
            <w:tcW w:w="74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2023</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2021</w:t>
            </w:r>
          </w:p>
        </w:tc>
      </w:tr>
      <w:tr>
        <w:trPr>
          <w:trHeight w:val="187"/>
        </w:trPr>
        <w:tc>
          <w:tcPr>
            <w:tcW w:w="7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98"/>
        </w:trPr>
        <w:tc>
          <w:tcPr>
            <w:tcW w:w="7480" w:type="dxa"/>
            <w:vAlign w:val="bottom"/>
          </w:tcPr>
          <w:p>
            <w:pPr>
              <w:ind w:left="360"/>
              <w:spacing w:after="0"/>
              <w:rPr>
                <w:sz w:val="20"/>
                <w:szCs w:val="20"/>
                <w:color w:val="auto"/>
              </w:rPr>
            </w:pPr>
            <w:r>
              <w:rPr>
                <w:rFonts w:ascii="Arial" w:cs="Arial" w:eastAsia="Arial" w:hAnsi="Arial"/>
                <w:sz w:val="14"/>
                <w:szCs w:val="14"/>
                <w:color w:val="auto"/>
              </w:rPr>
              <w:t>Net earnings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852</w:t>
            </w:r>
          </w:p>
        </w:tc>
        <w:tc>
          <w:tcPr>
            <w:tcW w:w="8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898</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1,995</w:t>
            </w:r>
          </w:p>
        </w:tc>
      </w:tr>
      <w:tr>
        <w:trPr>
          <w:trHeight w:val="207"/>
        </w:trPr>
        <w:tc>
          <w:tcPr>
            <w:tcW w:w="74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Adjustments: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8"/>
        </w:trPr>
        <w:tc>
          <w:tcPr>
            <w:tcW w:w="7480" w:type="dxa"/>
            <w:vAlign w:val="bottom"/>
          </w:tcPr>
          <w:p>
            <w:pPr>
              <w:ind w:left="68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187</w:t>
            </w:r>
          </w:p>
        </w:tc>
      </w:tr>
      <w:tr>
        <w:trPr>
          <w:trHeight w:val="206"/>
        </w:trPr>
        <w:tc>
          <w:tcPr>
            <w:tcW w:w="74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Annuity benefits</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w:t>
            </w:r>
          </w:p>
        </w:tc>
      </w:tr>
      <w:tr>
        <w:trPr>
          <w:trHeight w:val="199"/>
        </w:trPr>
        <w:tc>
          <w:tcPr>
            <w:tcW w:w="7480" w:type="dxa"/>
            <w:vAlign w:val="bottom"/>
          </w:tcPr>
          <w:p>
            <w:pPr>
              <w:ind w:left="680"/>
              <w:spacing w:after="0"/>
              <w:rPr>
                <w:sz w:val="20"/>
                <w:szCs w:val="20"/>
                <w:color w:val="auto"/>
              </w:rPr>
            </w:pPr>
            <w:r>
              <w:rPr>
                <w:rFonts w:ascii="Arial" w:cs="Arial" w:eastAsia="Arial" w:hAnsi="Arial"/>
                <w:sz w:val="14"/>
                <w:szCs w:val="14"/>
                <w:color w:val="auto"/>
              </w:rPr>
              <w:t>Realized gains (losses) on investing activities</w:t>
            </w:r>
          </w:p>
        </w:tc>
        <w:tc>
          <w:tcPr>
            <w:tcW w:w="2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(1,131)</w:t>
            </w:r>
          </w:p>
        </w:tc>
      </w:tr>
      <w:tr>
        <w:trPr>
          <w:trHeight w:val="206"/>
        </w:trPr>
        <w:tc>
          <w:tcPr>
            <w:tcW w:w="74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Net (purchases) sales of trading securities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99"/>
        </w:trPr>
        <w:tc>
          <w:tcPr>
            <w:tcW w:w="7480" w:type="dxa"/>
            <w:vAlign w:val="bottom"/>
          </w:tcPr>
          <w:p>
            <w:pPr>
              <w:ind w:left="680"/>
              <w:spacing w:after="0"/>
              <w:rPr>
                <w:sz w:val="20"/>
                <w:szCs w:val="20"/>
                <w:color w:val="auto"/>
              </w:rPr>
            </w:pPr>
            <w:r>
              <w:rPr>
                <w:rFonts w:ascii="Arial" w:cs="Arial" w:eastAsia="Arial" w:hAnsi="Arial"/>
                <w:sz w:val="14"/>
                <w:szCs w:val="14"/>
                <w:color w:val="auto"/>
              </w:rPr>
              <w:t>Deferred annuity and life policy acquisition costs</w:t>
            </w:r>
          </w:p>
        </w:tc>
        <w:tc>
          <w:tcPr>
            <w:tcW w:w="28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(98)</w:t>
            </w:r>
          </w:p>
        </w:tc>
      </w:tr>
      <w:tr>
        <w:trPr>
          <w:trHeight w:val="206"/>
        </w:trPr>
        <w:tc>
          <w:tcPr>
            <w:tcW w:w="74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Change in:</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9"/>
        </w:trPr>
        <w:tc>
          <w:tcPr>
            <w:tcW w:w="7480" w:type="dxa"/>
            <w:vAlign w:val="bottom"/>
          </w:tcPr>
          <w:p>
            <w:pPr>
              <w:ind w:left="1120"/>
              <w:spacing w:after="0"/>
              <w:rPr>
                <w:sz w:val="20"/>
                <w:szCs w:val="20"/>
                <w:color w:val="auto"/>
              </w:rPr>
            </w:pPr>
            <w:r>
              <w:rPr>
                <w:rFonts w:ascii="Arial" w:cs="Arial" w:eastAsia="Arial" w:hAnsi="Arial"/>
                <w:sz w:val="14"/>
                <w:szCs w:val="14"/>
                <w:color w:val="auto"/>
              </w:rPr>
              <w:t>Reinsurance and other receivables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(794)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(644)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(350)</w:t>
            </w:r>
          </w:p>
        </w:tc>
      </w:tr>
      <w:tr>
        <w:trPr>
          <w:trHeight w:val="206"/>
        </w:trPr>
        <w:tc>
          <w:tcPr>
            <w:tcW w:w="748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Other assets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w:t>
            </w:r>
          </w:p>
        </w:tc>
      </w:tr>
      <w:tr>
        <w:trPr>
          <w:trHeight w:val="199"/>
        </w:trPr>
        <w:tc>
          <w:tcPr>
            <w:tcW w:w="7480" w:type="dxa"/>
            <w:vAlign w:val="bottom"/>
          </w:tcPr>
          <w:p>
            <w:pPr>
              <w:ind w:left="1120"/>
              <w:spacing w:after="0"/>
              <w:rPr>
                <w:sz w:val="20"/>
                <w:szCs w:val="20"/>
                <w:color w:val="auto"/>
              </w:rPr>
            </w:pPr>
            <w:r>
              <w:rPr>
                <w:rFonts w:ascii="Arial" w:cs="Arial" w:eastAsia="Arial" w:hAnsi="Arial"/>
                <w:sz w:val="14"/>
                <w:szCs w:val="14"/>
                <w:color w:val="auto"/>
              </w:rPr>
              <w:t>Insurance claims and reserves</w:t>
            </w:r>
          </w:p>
        </w:tc>
        <w:tc>
          <w:tcPr>
            <w:tcW w:w="2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1,318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1,105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912</w:t>
            </w:r>
          </w:p>
        </w:tc>
      </w:tr>
      <w:tr>
        <w:trPr>
          <w:trHeight w:val="206"/>
        </w:trPr>
        <w:tc>
          <w:tcPr>
            <w:tcW w:w="748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Payable to reinsurers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r>
      <w:tr>
        <w:trPr>
          <w:trHeight w:val="199"/>
        </w:trPr>
        <w:tc>
          <w:tcPr>
            <w:tcW w:w="7480" w:type="dxa"/>
            <w:vAlign w:val="bottom"/>
          </w:tcPr>
          <w:p>
            <w:pPr>
              <w:ind w:left="1120"/>
              <w:spacing w:after="0"/>
              <w:rPr>
                <w:sz w:val="20"/>
                <w:szCs w:val="20"/>
                <w:color w:val="auto"/>
              </w:rPr>
            </w:pPr>
            <w:r>
              <w:rPr>
                <w:rFonts w:ascii="Arial" w:cs="Arial" w:eastAsia="Arial" w:hAnsi="Arial"/>
                <w:sz w:val="14"/>
                <w:szCs w:val="14"/>
                <w:color w:val="auto"/>
              </w:rPr>
              <w:t>Other liabilities</w:t>
            </w:r>
          </w:p>
        </w:tc>
        <w:tc>
          <w:tcPr>
            <w:tcW w:w="2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206"/>
        </w:trPr>
        <w:tc>
          <w:tcPr>
            <w:tcW w:w="748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Managed investment entities’ assets/liabilities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r>
      <w:tr>
        <w:trPr>
          <w:trHeight w:val="198"/>
        </w:trPr>
        <w:tc>
          <w:tcPr>
            <w:tcW w:w="748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Other operating activities, net</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(416)</w:t>
            </w:r>
          </w:p>
        </w:tc>
      </w:tr>
      <w:tr>
        <w:trPr>
          <w:trHeight w:val="196"/>
        </w:trPr>
        <w:tc>
          <w:tcPr>
            <w:tcW w:w="748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Net cash provided by operating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1,970</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1,714</w:t>
            </w:r>
          </w:p>
        </w:tc>
      </w:tr>
      <w:tr>
        <w:trPr>
          <w:trHeight w:val="133"/>
        </w:trPr>
        <w:tc>
          <w:tcPr>
            <w:tcW w:w="7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203"/>
        </w:trPr>
        <w:tc>
          <w:tcPr>
            <w:tcW w:w="7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8"/>
        </w:trPr>
        <w:tc>
          <w:tcPr>
            <w:tcW w:w="7480" w:type="dxa"/>
            <w:vAlign w:val="bottom"/>
          </w:tcPr>
          <w:p>
            <w:pPr>
              <w:ind w:left="360"/>
              <w:spacing w:after="0"/>
              <w:rPr>
                <w:sz w:val="20"/>
                <w:szCs w:val="20"/>
                <w:color w:val="auto"/>
              </w:rPr>
            </w:pPr>
            <w:r>
              <w:rPr>
                <w:rFonts w:ascii="Arial" w:cs="Arial" w:eastAsia="Arial" w:hAnsi="Arial"/>
                <w:sz w:val="14"/>
                <w:szCs w:val="14"/>
                <w:color w:val="auto"/>
              </w:rPr>
              <w:t>Purchases of:</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7"/>
        </w:trPr>
        <w:tc>
          <w:tcPr>
            <w:tcW w:w="74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Fixed maturities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(7,978)</w:t>
            </w:r>
          </w:p>
        </w:tc>
      </w:tr>
      <w:tr>
        <w:trPr>
          <w:trHeight w:val="198"/>
        </w:trPr>
        <w:tc>
          <w:tcPr>
            <w:tcW w:w="7480" w:type="dxa"/>
            <w:vAlign w:val="bottom"/>
          </w:tcPr>
          <w:p>
            <w:pPr>
              <w:ind w:left="680"/>
              <w:spacing w:after="0"/>
              <w:rPr>
                <w:sz w:val="20"/>
                <w:szCs w:val="20"/>
                <w:color w:val="auto"/>
              </w:rPr>
            </w:pPr>
            <w:r>
              <w:rPr>
                <w:rFonts w:ascii="Arial" w:cs="Arial" w:eastAsia="Arial" w:hAnsi="Arial"/>
                <w:sz w:val="14"/>
                <w:szCs w:val="14"/>
                <w:color w:val="auto"/>
              </w:rPr>
              <w:t>Equity securities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(193)</w:t>
            </w:r>
          </w:p>
        </w:tc>
      </w:tr>
      <w:tr>
        <w:trPr>
          <w:trHeight w:val="207"/>
        </w:trPr>
        <w:tc>
          <w:tcPr>
            <w:tcW w:w="74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Mortgage loans</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r>
      <w:tr>
        <w:trPr>
          <w:trHeight w:val="198"/>
        </w:trPr>
        <w:tc>
          <w:tcPr>
            <w:tcW w:w="7480" w:type="dxa"/>
            <w:vAlign w:val="bottom"/>
          </w:tcPr>
          <w:p>
            <w:pPr>
              <w:ind w:left="680"/>
              <w:spacing w:after="0"/>
              <w:rPr>
                <w:sz w:val="20"/>
                <w:szCs w:val="20"/>
                <w:color w:val="auto"/>
              </w:rPr>
            </w:pPr>
            <w:r>
              <w:rPr>
                <w:rFonts w:ascii="Arial" w:cs="Arial" w:eastAsia="Arial" w:hAnsi="Arial"/>
                <w:sz w:val="14"/>
                <w:szCs w:val="14"/>
                <w:color w:val="auto"/>
              </w:rPr>
              <w:t>Equity index options and other investments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(391)</w:t>
            </w:r>
          </w:p>
        </w:tc>
      </w:tr>
      <w:tr>
        <w:trPr>
          <w:trHeight w:val="206"/>
        </w:trPr>
        <w:tc>
          <w:tcPr>
            <w:tcW w:w="74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Real estate, property and equipment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r>
      <w:tr>
        <w:trPr>
          <w:trHeight w:val="198"/>
        </w:trPr>
        <w:tc>
          <w:tcPr>
            <w:tcW w:w="7480" w:type="dxa"/>
            <w:vAlign w:val="bottom"/>
          </w:tcPr>
          <w:p>
            <w:pPr>
              <w:ind w:left="680"/>
              <w:spacing w:after="0"/>
              <w:rPr>
                <w:sz w:val="20"/>
                <w:szCs w:val="20"/>
                <w:color w:val="auto"/>
              </w:rPr>
            </w:pPr>
            <w:r>
              <w:rPr>
                <w:rFonts w:ascii="Arial" w:cs="Arial" w:eastAsia="Arial" w:hAnsi="Arial"/>
                <w:sz w:val="14"/>
                <w:szCs w:val="14"/>
                <w:color w:val="auto"/>
              </w:rPr>
              <w:t>Businesses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(123)</w:t>
            </w:r>
          </w:p>
        </w:tc>
      </w:tr>
      <w:tr>
        <w:trPr>
          <w:trHeight w:val="207"/>
        </w:trPr>
        <w:tc>
          <w:tcPr>
            <w:tcW w:w="74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Proceeds from:</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198"/>
        </w:trPr>
        <w:tc>
          <w:tcPr>
            <w:tcW w:w="7480" w:type="dxa"/>
            <w:vAlign w:val="bottom"/>
          </w:tcPr>
          <w:p>
            <w:pPr>
              <w:ind w:left="680"/>
              <w:spacing w:after="0"/>
              <w:rPr>
                <w:sz w:val="20"/>
                <w:szCs w:val="20"/>
                <w:color w:val="auto"/>
              </w:rPr>
            </w:pPr>
            <w:r>
              <w:rPr>
                <w:rFonts w:ascii="Arial" w:cs="Arial" w:eastAsia="Arial" w:hAnsi="Arial"/>
                <w:sz w:val="14"/>
                <w:szCs w:val="14"/>
                <w:color w:val="auto"/>
              </w:rPr>
              <w:t>Maturities and redemptions of fixed maturities</w:t>
            </w:r>
          </w:p>
        </w:tc>
        <w:tc>
          <w:tcPr>
            <w:tcW w:w="2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1,310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2,511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5,035</w:t>
            </w:r>
          </w:p>
        </w:tc>
      </w:tr>
      <w:tr>
        <w:trPr>
          <w:trHeight w:val="207"/>
        </w:trPr>
        <w:tc>
          <w:tcPr>
            <w:tcW w:w="74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Repayments of mortgage loans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r>
      <w:tr>
        <w:trPr>
          <w:trHeight w:val="198"/>
        </w:trPr>
        <w:tc>
          <w:tcPr>
            <w:tcW w:w="7480" w:type="dxa"/>
            <w:vAlign w:val="bottom"/>
          </w:tcPr>
          <w:p>
            <w:pPr>
              <w:ind w:left="680"/>
              <w:spacing w:after="0"/>
              <w:rPr>
                <w:sz w:val="20"/>
                <w:szCs w:val="20"/>
                <w:color w:val="auto"/>
              </w:rPr>
            </w:pPr>
            <w:r>
              <w:rPr>
                <w:rFonts w:ascii="Arial" w:cs="Arial" w:eastAsia="Arial" w:hAnsi="Arial"/>
                <w:sz w:val="14"/>
                <w:szCs w:val="14"/>
                <w:color w:val="auto"/>
              </w:rPr>
              <w:t>Sales of fixed maturities</w:t>
            </w:r>
          </w:p>
        </w:tc>
        <w:tc>
          <w:tcPr>
            <w:tcW w:w="2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650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1,294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745</w:t>
            </w:r>
          </w:p>
        </w:tc>
      </w:tr>
      <w:tr>
        <w:trPr>
          <w:trHeight w:val="207"/>
        </w:trPr>
        <w:tc>
          <w:tcPr>
            <w:tcW w:w="74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Sales of equity securities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w:t>
            </w:r>
          </w:p>
        </w:tc>
      </w:tr>
      <w:tr>
        <w:trPr>
          <w:trHeight w:val="198"/>
        </w:trPr>
        <w:tc>
          <w:tcPr>
            <w:tcW w:w="7480" w:type="dxa"/>
            <w:vAlign w:val="bottom"/>
          </w:tcPr>
          <w:p>
            <w:pPr>
              <w:ind w:left="680"/>
              <w:spacing w:after="0"/>
              <w:rPr>
                <w:sz w:val="20"/>
                <w:szCs w:val="20"/>
                <w:color w:val="auto"/>
              </w:rPr>
            </w:pPr>
            <w:r>
              <w:rPr>
                <w:rFonts w:ascii="Arial" w:cs="Arial" w:eastAsia="Arial" w:hAnsi="Arial"/>
                <w:sz w:val="14"/>
                <w:szCs w:val="14"/>
                <w:color w:val="auto"/>
              </w:rPr>
              <w:t>Sales and settlements of equity index options and other investments</w:t>
            </w:r>
          </w:p>
        </w:tc>
        <w:tc>
          <w:tcPr>
            <w:tcW w:w="2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584</w:t>
            </w:r>
          </w:p>
        </w:tc>
      </w:tr>
      <w:tr>
        <w:trPr>
          <w:trHeight w:val="207"/>
        </w:trPr>
        <w:tc>
          <w:tcPr>
            <w:tcW w:w="74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Sales of real estate, property and equipment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r>
      <w:tr>
        <w:trPr>
          <w:trHeight w:val="198"/>
        </w:trPr>
        <w:tc>
          <w:tcPr>
            <w:tcW w:w="7480" w:type="dxa"/>
            <w:vAlign w:val="bottom"/>
          </w:tcPr>
          <w:p>
            <w:pPr>
              <w:ind w:left="680"/>
              <w:spacing w:after="0"/>
              <w:rPr>
                <w:sz w:val="20"/>
                <w:szCs w:val="20"/>
                <w:color w:val="auto"/>
              </w:rPr>
            </w:pPr>
            <w:r>
              <w:rPr>
                <w:rFonts w:ascii="Arial" w:cs="Arial" w:eastAsia="Arial" w:hAnsi="Arial"/>
                <w:sz w:val="14"/>
                <w:szCs w:val="14"/>
                <w:color w:val="auto"/>
              </w:rPr>
              <w:t>Sales of businesses</w:t>
            </w:r>
          </w:p>
        </w:tc>
        <w:tc>
          <w:tcPr>
            <w:tcW w:w="28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3,581</w:t>
            </w:r>
          </w:p>
        </w:tc>
      </w:tr>
      <w:tr>
        <w:trPr>
          <w:trHeight w:val="207"/>
        </w:trPr>
        <w:tc>
          <w:tcPr>
            <w:tcW w:w="74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 and cash equivalents of businesses acquired and sold</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(2,058)</w:t>
            </w:r>
          </w:p>
        </w:tc>
      </w:tr>
      <w:tr>
        <w:trPr>
          <w:trHeight w:val="198"/>
        </w:trPr>
        <w:tc>
          <w:tcPr>
            <w:tcW w:w="7480" w:type="dxa"/>
            <w:vAlign w:val="bottom"/>
          </w:tcPr>
          <w:p>
            <w:pPr>
              <w:ind w:left="360"/>
              <w:spacing w:after="0"/>
              <w:rPr>
                <w:sz w:val="20"/>
                <w:szCs w:val="20"/>
                <w:color w:val="auto"/>
              </w:rPr>
            </w:pPr>
            <w:r>
              <w:rPr>
                <w:rFonts w:ascii="Arial" w:cs="Arial" w:eastAsia="Arial" w:hAnsi="Arial"/>
                <w:sz w:val="14"/>
                <w:szCs w:val="14"/>
                <w:color w:val="auto"/>
              </w:rPr>
              <w:t>Managed investment entities: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7"/>
        </w:trPr>
        <w:tc>
          <w:tcPr>
            <w:tcW w:w="74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Purchases of investments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(2,155)</w:t>
            </w:r>
          </w:p>
        </w:tc>
      </w:tr>
      <w:tr>
        <w:trPr>
          <w:trHeight w:val="198"/>
        </w:trPr>
        <w:tc>
          <w:tcPr>
            <w:tcW w:w="7480" w:type="dxa"/>
            <w:vAlign w:val="bottom"/>
          </w:tcPr>
          <w:p>
            <w:pPr>
              <w:ind w:left="680"/>
              <w:spacing w:after="0"/>
              <w:rPr>
                <w:sz w:val="20"/>
                <w:szCs w:val="20"/>
                <w:color w:val="auto"/>
              </w:rPr>
            </w:pPr>
            <w:r>
              <w:rPr>
                <w:rFonts w:ascii="Arial" w:cs="Arial" w:eastAsia="Arial" w:hAnsi="Arial"/>
                <w:sz w:val="14"/>
                <w:szCs w:val="14"/>
                <w:color w:val="auto"/>
              </w:rPr>
              <w:t>Proceeds from sales and redemptions of investments</w:t>
            </w:r>
          </w:p>
        </w:tc>
        <w:tc>
          <w:tcPr>
            <w:tcW w:w="2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2,228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1,335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2,112</w:t>
            </w:r>
          </w:p>
        </w:tc>
      </w:tr>
      <w:tr>
        <w:trPr>
          <w:trHeight w:val="207"/>
        </w:trPr>
        <w:tc>
          <w:tcPr>
            <w:tcW w:w="74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investing activities, net</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192"/>
        </w:trPr>
        <w:tc>
          <w:tcPr>
            <w:tcW w:w="748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Net cash provided by (used in) investing activities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414</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(436)</w:t>
            </w:r>
          </w:p>
        </w:tc>
      </w:tr>
      <w:tr>
        <w:trPr>
          <w:trHeight w:val="133"/>
        </w:trPr>
        <w:tc>
          <w:tcPr>
            <w:tcW w:w="7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202"/>
        </w:trPr>
        <w:tc>
          <w:tcPr>
            <w:tcW w:w="748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74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Reductions of long-term debt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7480" w:type="dxa"/>
            <w:vAlign w:val="bottom"/>
          </w:tcPr>
          <w:p>
            <w:pPr>
              <w:ind w:left="360"/>
              <w:spacing w:after="0"/>
              <w:rPr>
                <w:sz w:val="20"/>
                <w:szCs w:val="20"/>
                <w:color w:val="auto"/>
              </w:rPr>
            </w:pPr>
            <w:r>
              <w:rPr>
                <w:rFonts w:ascii="Arial" w:cs="Arial" w:eastAsia="Arial" w:hAnsi="Arial"/>
                <w:sz w:val="14"/>
                <w:szCs w:val="14"/>
                <w:color w:val="auto"/>
              </w:rPr>
              <w:t>Issuances of Common Stock</w:t>
            </w:r>
          </w:p>
        </w:tc>
        <w:tc>
          <w:tcPr>
            <w:tcW w:w="2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206"/>
        </w:trPr>
        <w:tc>
          <w:tcPr>
            <w:tcW w:w="74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Repurchases of Common Stock</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r>
      <w:tr>
        <w:trPr>
          <w:trHeight w:val="198"/>
        </w:trPr>
        <w:tc>
          <w:tcPr>
            <w:tcW w:w="7480" w:type="dxa"/>
            <w:vAlign w:val="bottom"/>
          </w:tcPr>
          <w:p>
            <w:pPr>
              <w:ind w:left="360"/>
              <w:spacing w:after="0"/>
              <w:rPr>
                <w:sz w:val="20"/>
                <w:szCs w:val="20"/>
                <w:color w:val="auto"/>
              </w:rPr>
            </w:pPr>
            <w:r>
              <w:rPr>
                <w:rFonts w:ascii="Arial" w:cs="Arial" w:eastAsia="Arial" w:hAnsi="Arial"/>
                <w:sz w:val="14"/>
                <w:szCs w:val="14"/>
                <w:color w:val="auto"/>
              </w:rPr>
              <w:t>Cash dividends paid on Common Stock</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(684)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(1,213)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(2,374)</w:t>
            </w:r>
          </w:p>
        </w:tc>
      </w:tr>
      <w:tr>
        <w:trPr>
          <w:trHeight w:val="207"/>
        </w:trPr>
        <w:tc>
          <w:tcPr>
            <w:tcW w:w="74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Annuity receipts</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2,403</w:t>
            </w:r>
          </w:p>
        </w:tc>
      </w:tr>
      <w:tr>
        <w:trPr>
          <w:trHeight w:val="198"/>
        </w:trPr>
        <w:tc>
          <w:tcPr>
            <w:tcW w:w="7480" w:type="dxa"/>
            <w:vAlign w:val="bottom"/>
          </w:tcPr>
          <w:p>
            <w:pPr>
              <w:ind w:left="360"/>
              <w:spacing w:after="0"/>
              <w:rPr>
                <w:sz w:val="20"/>
                <w:szCs w:val="20"/>
                <w:color w:val="auto"/>
              </w:rPr>
            </w:pPr>
            <w:r>
              <w:rPr>
                <w:rFonts w:ascii="Arial" w:cs="Arial" w:eastAsia="Arial" w:hAnsi="Arial"/>
                <w:sz w:val="14"/>
                <w:szCs w:val="14"/>
                <w:color w:val="auto"/>
              </w:rPr>
              <w:t>Ceded annuity receipts</w:t>
            </w:r>
          </w:p>
        </w:tc>
        <w:tc>
          <w:tcPr>
            <w:tcW w:w="28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(311)</w:t>
            </w:r>
          </w:p>
        </w:tc>
      </w:tr>
      <w:tr>
        <w:trPr>
          <w:trHeight w:val="207"/>
        </w:trPr>
        <w:tc>
          <w:tcPr>
            <w:tcW w:w="74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Annuity surrenders, benefits and withdrawals</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(1,931)</w:t>
            </w:r>
          </w:p>
        </w:tc>
      </w:tr>
      <w:tr>
        <w:trPr>
          <w:trHeight w:val="199"/>
        </w:trPr>
        <w:tc>
          <w:tcPr>
            <w:tcW w:w="7480" w:type="dxa"/>
            <w:vAlign w:val="bottom"/>
          </w:tcPr>
          <w:p>
            <w:pPr>
              <w:ind w:left="360"/>
              <w:spacing w:after="0"/>
              <w:rPr>
                <w:sz w:val="20"/>
                <w:szCs w:val="20"/>
                <w:color w:val="auto"/>
              </w:rPr>
            </w:pPr>
            <w:r>
              <w:rPr>
                <w:rFonts w:ascii="Arial" w:cs="Arial" w:eastAsia="Arial" w:hAnsi="Arial"/>
                <w:sz w:val="14"/>
                <w:szCs w:val="14"/>
                <w:color w:val="auto"/>
              </w:rPr>
              <w:t>Ceded annuity surrenders, benefits and withdrawals</w:t>
            </w:r>
          </w:p>
        </w:tc>
        <w:tc>
          <w:tcPr>
            <w:tcW w:w="28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282</w:t>
            </w:r>
          </w:p>
        </w:tc>
      </w:tr>
      <w:tr>
        <w:trPr>
          <w:trHeight w:val="206"/>
        </w:trPr>
        <w:tc>
          <w:tcPr>
            <w:tcW w:w="74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transfers from variable annuity assets</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r>
      <w:tr>
        <w:trPr>
          <w:trHeight w:val="199"/>
        </w:trPr>
        <w:tc>
          <w:tcPr>
            <w:tcW w:w="7480" w:type="dxa"/>
            <w:vAlign w:val="bottom"/>
          </w:tcPr>
          <w:p>
            <w:pPr>
              <w:ind w:left="360"/>
              <w:spacing w:after="0"/>
              <w:rPr>
                <w:sz w:val="20"/>
                <w:szCs w:val="20"/>
                <w:color w:val="auto"/>
              </w:rPr>
            </w:pPr>
            <w:r>
              <w:rPr>
                <w:rFonts w:ascii="Arial" w:cs="Arial" w:eastAsia="Arial" w:hAnsi="Arial"/>
                <w:sz w:val="14"/>
                <w:szCs w:val="14"/>
                <w:color w:val="auto"/>
              </w:rPr>
              <w:t>Issuances of managed investment entities’ liabilities</w:t>
            </w:r>
          </w:p>
        </w:tc>
        <w:tc>
          <w:tcPr>
            <w:tcW w:w="2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670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1,206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2,883</w:t>
            </w:r>
          </w:p>
        </w:tc>
      </w:tr>
      <w:tr>
        <w:trPr>
          <w:trHeight w:val="206"/>
        </w:trPr>
        <w:tc>
          <w:tcPr>
            <w:tcW w:w="74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Retirements of managed investment entities’ liabilities</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(1,798)</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(2,690)</w:t>
            </w:r>
          </w:p>
        </w:tc>
      </w:tr>
      <w:tr>
        <w:trPr>
          <w:trHeight w:val="192"/>
        </w:trPr>
        <w:tc>
          <w:tcPr>
            <w:tcW w:w="748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Net cash used in financing activities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(2,031)</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(1,957)</w:t>
            </w:r>
          </w:p>
        </w:tc>
      </w:tr>
      <w:tr>
        <w:trPr>
          <w:trHeight w:val="200"/>
        </w:trPr>
        <w:tc>
          <w:tcPr>
            <w:tcW w:w="7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Change in Cash and Cash Equivalents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353</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w:t>
            </w:r>
          </w:p>
        </w:tc>
      </w:tr>
      <w:tr>
        <w:trPr>
          <w:trHeight w:val="199"/>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beginning of year</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872</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2,810</w:t>
            </w:r>
          </w:p>
        </w:tc>
      </w:tr>
      <w:tr>
        <w:trPr>
          <w:trHeight w:val="225"/>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year</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1,225</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2,131</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AMERICAN FINANCIAL GROUP,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NOTES TO CONSOLIDATED FINANCIAL STATEMENTS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420" w:type="dxa"/>
            <w:vAlign w:val="bottom"/>
          </w:tcPr>
          <w:p>
            <w:pPr>
              <w:spacing w:after="0"/>
              <w:rPr>
                <w:sz w:val="23"/>
                <w:szCs w:val="23"/>
                <w:color w:val="auto"/>
              </w:rPr>
            </w:pPr>
          </w:p>
        </w:tc>
        <w:tc>
          <w:tcPr>
            <w:tcW w:w="4020" w:type="dxa"/>
            <w:vAlign w:val="bottom"/>
          </w:tcPr>
          <w:p>
            <w:pPr>
              <w:spacing w:after="0"/>
              <w:rPr>
                <w:sz w:val="23"/>
                <w:szCs w:val="23"/>
                <w:color w:val="auto"/>
              </w:rPr>
            </w:pPr>
          </w:p>
        </w:tc>
        <w:tc>
          <w:tcPr>
            <w:tcW w:w="6800" w:type="dxa"/>
            <w:vAlign w:val="bottom"/>
            <w:gridSpan w:val="2"/>
          </w:tcPr>
          <w:p>
            <w:pPr>
              <w:ind w:left="360"/>
              <w:spacing w:after="0"/>
              <w:rPr>
                <w:sz w:val="20"/>
                <w:szCs w:val="20"/>
                <w:color w:val="auto"/>
              </w:rPr>
            </w:pPr>
            <w:r>
              <w:rPr>
                <w:rFonts w:ascii="Arial" w:cs="Arial" w:eastAsia="Arial" w:hAnsi="Arial"/>
                <w:sz w:val="20"/>
                <w:szCs w:val="20"/>
                <w:b w:val="1"/>
                <w:bCs w:val="1"/>
                <w:color w:val="00274E"/>
              </w:rPr>
              <w:t>INDEX TO NOTES</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r>
        <w:trPr>
          <w:trHeight w:val="473"/>
        </w:trPr>
        <w:tc>
          <w:tcPr>
            <w:tcW w:w="420" w:type="dxa"/>
            <w:vAlign w:val="bottom"/>
          </w:tcPr>
          <w:p>
            <w:pPr>
              <w:ind w:left="20"/>
              <w:spacing w:after="0"/>
              <w:rPr>
                <w:sz w:val="20"/>
                <w:szCs w:val="20"/>
                <w:color w:val="auto"/>
              </w:rPr>
            </w:pPr>
            <w:r>
              <w:rPr>
                <w:rFonts w:ascii="Arial" w:cs="Arial" w:eastAsia="Arial" w:hAnsi="Arial"/>
                <w:sz w:val="20"/>
                <w:szCs w:val="20"/>
                <w:b w:val="1"/>
                <w:bCs w:val="1"/>
                <w:color w:val="00274E"/>
              </w:rPr>
              <w:t>A.</w:t>
            </w:r>
          </w:p>
        </w:tc>
        <w:tc>
          <w:tcPr>
            <w:tcW w:w="4020" w:type="dxa"/>
            <w:vAlign w:val="bottom"/>
          </w:tcPr>
          <w:p>
            <w:pPr>
              <w:ind w:left="200"/>
              <w:spacing w:after="0"/>
              <w:rPr>
                <w:sz w:val="20"/>
                <w:szCs w:val="20"/>
                <w:color w:val="auto"/>
              </w:rPr>
            </w:pPr>
            <w:r>
              <w:rPr>
                <w:rFonts w:ascii="Arial" w:cs="Arial" w:eastAsia="Arial" w:hAnsi="Arial"/>
                <w:sz w:val="20"/>
                <w:szCs w:val="20"/>
                <w:b w:val="1"/>
                <w:bCs w:val="1"/>
                <w:color w:val="00274E"/>
              </w:rPr>
              <w:t>Accounting Policies</w:t>
            </w:r>
          </w:p>
        </w:tc>
        <w:tc>
          <w:tcPr>
            <w:tcW w:w="1640" w:type="dxa"/>
            <w:vAlign w:val="bottom"/>
          </w:tcPr>
          <w:p>
            <w:pPr>
              <w:ind w:left="1220"/>
              <w:spacing w:after="0"/>
              <w:rPr>
                <w:sz w:val="20"/>
                <w:szCs w:val="20"/>
                <w:color w:val="auto"/>
              </w:rPr>
            </w:pPr>
            <w:r>
              <w:rPr>
                <w:rFonts w:ascii="Arial" w:cs="Arial" w:eastAsia="Arial" w:hAnsi="Arial"/>
                <w:sz w:val="20"/>
                <w:szCs w:val="20"/>
                <w:b w:val="1"/>
                <w:bCs w:val="1"/>
                <w:color w:val="00274E"/>
              </w:rPr>
              <w:t>I.</w:t>
            </w:r>
          </w:p>
        </w:tc>
        <w:tc>
          <w:tcPr>
            <w:tcW w:w="5160" w:type="dxa"/>
            <w:vAlign w:val="bottom"/>
          </w:tcPr>
          <w:p>
            <w:pPr>
              <w:ind w:left="200"/>
              <w:spacing w:after="0"/>
              <w:rPr>
                <w:sz w:val="20"/>
                <w:szCs w:val="20"/>
                <w:color w:val="auto"/>
              </w:rPr>
            </w:pPr>
            <w:r>
              <w:rPr>
                <w:rFonts w:ascii="Arial" w:cs="Arial" w:eastAsia="Arial" w:hAnsi="Arial"/>
                <w:sz w:val="20"/>
                <w:szCs w:val="20"/>
                <w:b w:val="1"/>
                <w:bCs w:val="1"/>
                <w:color w:val="00274E"/>
              </w:rPr>
              <w:t>Goodwill and Other Intangibles</w:t>
            </w:r>
          </w:p>
        </w:tc>
      </w:tr>
      <w:tr>
        <w:trPr>
          <w:trHeight w:val="297"/>
        </w:trPr>
        <w:tc>
          <w:tcPr>
            <w:tcW w:w="420" w:type="dxa"/>
            <w:vAlign w:val="bottom"/>
          </w:tcPr>
          <w:p>
            <w:pPr>
              <w:ind w:left="20"/>
              <w:spacing w:after="0"/>
              <w:rPr>
                <w:sz w:val="20"/>
                <w:szCs w:val="20"/>
                <w:color w:val="auto"/>
              </w:rPr>
            </w:pPr>
            <w:r>
              <w:rPr>
                <w:rFonts w:ascii="Arial" w:cs="Arial" w:eastAsia="Arial" w:hAnsi="Arial"/>
                <w:sz w:val="20"/>
                <w:szCs w:val="20"/>
                <w:b w:val="1"/>
                <w:bCs w:val="1"/>
                <w:color w:val="00274E"/>
              </w:rPr>
              <w:t>B.</w:t>
            </w:r>
          </w:p>
        </w:tc>
        <w:tc>
          <w:tcPr>
            <w:tcW w:w="4020" w:type="dxa"/>
            <w:vAlign w:val="bottom"/>
          </w:tcPr>
          <w:p>
            <w:pPr>
              <w:ind w:left="200"/>
              <w:spacing w:after="0"/>
              <w:rPr>
                <w:sz w:val="20"/>
                <w:szCs w:val="20"/>
                <w:color w:val="auto"/>
              </w:rPr>
            </w:pPr>
            <w:r>
              <w:rPr>
                <w:rFonts w:ascii="Arial" w:cs="Arial" w:eastAsia="Arial" w:hAnsi="Arial"/>
                <w:sz w:val="20"/>
                <w:szCs w:val="20"/>
                <w:b w:val="1"/>
                <w:bCs w:val="1"/>
                <w:color w:val="00274E"/>
              </w:rPr>
              <w:t>Discontinued Operations</w:t>
            </w:r>
          </w:p>
        </w:tc>
        <w:tc>
          <w:tcPr>
            <w:tcW w:w="1640" w:type="dxa"/>
            <w:vAlign w:val="bottom"/>
          </w:tcPr>
          <w:p>
            <w:pPr>
              <w:ind w:left="1220"/>
              <w:spacing w:after="0"/>
              <w:rPr>
                <w:sz w:val="20"/>
                <w:szCs w:val="20"/>
                <w:color w:val="auto"/>
              </w:rPr>
            </w:pPr>
            <w:r>
              <w:rPr>
                <w:rFonts w:ascii="Arial" w:cs="Arial" w:eastAsia="Arial" w:hAnsi="Arial"/>
                <w:sz w:val="20"/>
                <w:szCs w:val="20"/>
                <w:b w:val="1"/>
                <w:bCs w:val="1"/>
                <w:color w:val="00274E"/>
              </w:rPr>
              <w:t>J.</w:t>
            </w:r>
          </w:p>
        </w:tc>
        <w:tc>
          <w:tcPr>
            <w:tcW w:w="5160" w:type="dxa"/>
            <w:vAlign w:val="bottom"/>
          </w:tcPr>
          <w:p>
            <w:pPr>
              <w:ind w:left="200"/>
              <w:spacing w:after="0"/>
              <w:rPr>
                <w:sz w:val="20"/>
                <w:szCs w:val="20"/>
                <w:color w:val="auto"/>
              </w:rPr>
            </w:pPr>
            <w:r>
              <w:rPr>
                <w:rFonts w:ascii="Arial" w:cs="Arial" w:eastAsia="Arial" w:hAnsi="Arial"/>
                <w:sz w:val="20"/>
                <w:szCs w:val="20"/>
                <w:b w:val="1"/>
                <w:bCs w:val="1"/>
                <w:color w:val="00274E"/>
              </w:rPr>
              <w:t>Long-Term Debt</w:t>
            </w:r>
          </w:p>
        </w:tc>
      </w:tr>
      <w:tr>
        <w:trPr>
          <w:trHeight w:val="297"/>
        </w:trPr>
        <w:tc>
          <w:tcPr>
            <w:tcW w:w="420" w:type="dxa"/>
            <w:vAlign w:val="bottom"/>
          </w:tcPr>
          <w:p>
            <w:pPr>
              <w:ind w:left="20"/>
              <w:spacing w:after="0"/>
              <w:rPr>
                <w:sz w:val="20"/>
                <w:szCs w:val="20"/>
                <w:color w:val="auto"/>
              </w:rPr>
            </w:pPr>
            <w:r>
              <w:rPr>
                <w:rFonts w:ascii="Arial" w:cs="Arial" w:eastAsia="Arial" w:hAnsi="Arial"/>
                <w:sz w:val="20"/>
                <w:szCs w:val="20"/>
                <w:b w:val="1"/>
                <w:bCs w:val="1"/>
                <w:color w:val="00274E"/>
              </w:rPr>
              <w:t>C.</w:t>
            </w:r>
          </w:p>
        </w:tc>
        <w:tc>
          <w:tcPr>
            <w:tcW w:w="4020" w:type="dxa"/>
            <w:vAlign w:val="bottom"/>
          </w:tcPr>
          <w:p>
            <w:pPr>
              <w:ind w:left="200"/>
              <w:spacing w:after="0"/>
              <w:rPr>
                <w:sz w:val="20"/>
                <w:szCs w:val="20"/>
                <w:color w:val="auto"/>
              </w:rPr>
            </w:pPr>
            <w:r>
              <w:rPr>
                <w:rFonts w:ascii="Arial" w:cs="Arial" w:eastAsia="Arial" w:hAnsi="Arial"/>
                <w:sz w:val="20"/>
                <w:szCs w:val="20"/>
                <w:b w:val="1"/>
                <w:bCs w:val="1"/>
                <w:color w:val="00274E"/>
              </w:rPr>
              <w:t>Acquisitions and Sale of Businesses</w:t>
            </w:r>
          </w:p>
        </w:tc>
        <w:tc>
          <w:tcPr>
            <w:tcW w:w="1640" w:type="dxa"/>
            <w:vAlign w:val="bottom"/>
          </w:tcPr>
          <w:p>
            <w:pPr>
              <w:ind w:left="1220"/>
              <w:spacing w:after="0"/>
              <w:rPr>
                <w:sz w:val="20"/>
                <w:szCs w:val="20"/>
                <w:color w:val="auto"/>
              </w:rPr>
            </w:pPr>
            <w:r>
              <w:rPr>
                <w:rFonts w:ascii="Arial" w:cs="Arial" w:eastAsia="Arial" w:hAnsi="Arial"/>
                <w:sz w:val="20"/>
                <w:szCs w:val="20"/>
                <w:b w:val="1"/>
                <w:bCs w:val="1"/>
                <w:color w:val="00274E"/>
              </w:rPr>
              <w:t>K.</w:t>
            </w:r>
          </w:p>
        </w:tc>
        <w:tc>
          <w:tcPr>
            <w:tcW w:w="5160" w:type="dxa"/>
            <w:vAlign w:val="bottom"/>
          </w:tcPr>
          <w:p>
            <w:pPr>
              <w:ind w:left="200"/>
              <w:spacing w:after="0"/>
              <w:rPr>
                <w:sz w:val="20"/>
                <w:szCs w:val="20"/>
                <w:color w:val="auto"/>
              </w:rPr>
            </w:pPr>
            <w:r>
              <w:rPr>
                <w:rFonts w:ascii="Arial" w:cs="Arial" w:eastAsia="Arial" w:hAnsi="Arial"/>
                <w:sz w:val="20"/>
                <w:szCs w:val="20"/>
                <w:b w:val="1"/>
                <w:bCs w:val="1"/>
                <w:color w:val="00274E"/>
              </w:rPr>
              <w:t>Leases</w:t>
            </w:r>
          </w:p>
        </w:tc>
      </w:tr>
      <w:tr>
        <w:trPr>
          <w:trHeight w:val="297"/>
        </w:trPr>
        <w:tc>
          <w:tcPr>
            <w:tcW w:w="420" w:type="dxa"/>
            <w:vAlign w:val="bottom"/>
          </w:tcPr>
          <w:p>
            <w:pPr>
              <w:ind w:left="20"/>
              <w:spacing w:after="0"/>
              <w:rPr>
                <w:sz w:val="20"/>
                <w:szCs w:val="20"/>
                <w:color w:val="auto"/>
              </w:rPr>
            </w:pPr>
            <w:r>
              <w:rPr>
                <w:rFonts w:ascii="Arial" w:cs="Arial" w:eastAsia="Arial" w:hAnsi="Arial"/>
                <w:sz w:val="20"/>
                <w:szCs w:val="20"/>
                <w:b w:val="1"/>
                <w:bCs w:val="1"/>
                <w:color w:val="00274E"/>
              </w:rPr>
              <w:t>D.</w:t>
            </w:r>
          </w:p>
        </w:tc>
        <w:tc>
          <w:tcPr>
            <w:tcW w:w="4020" w:type="dxa"/>
            <w:vAlign w:val="bottom"/>
          </w:tcPr>
          <w:p>
            <w:pPr>
              <w:ind w:left="200"/>
              <w:spacing w:after="0"/>
              <w:rPr>
                <w:sz w:val="20"/>
                <w:szCs w:val="20"/>
                <w:color w:val="auto"/>
              </w:rPr>
            </w:pPr>
            <w:r>
              <w:rPr>
                <w:rFonts w:ascii="Arial" w:cs="Arial" w:eastAsia="Arial" w:hAnsi="Arial"/>
                <w:sz w:val="20"/>
                <w:szCs w:val="20"/>
                <w:b w:val="1"/>
                <w:bCs w:val="1"/>
                <w:color w:val="00274E"/>
              </w:rPr>
              <w:t>Segments of Operations</w:t>
            </w:r>
          </w:p>
        </w:tc>
        <w:tc>
          <w:tcPr>
            <w:tcW w:w="1640" w:type="dxa"/>
            <w:vAlign w:val="bottom"/>
          </w:tcPr>
          <w:p>
            <w:pPr>
              <w:ind w:left="1220"/>
              <w:spacing w:after="0"/>
              <w:rPr>
                <w:sz w:val="20"/>
                <w:szCs w:val="20"/>
                <w:color w:val="auto"/>
              </w:rPr>
            </w:pPr>
            <w:r>
              <w:rPr>
                <w:rFonts w:ascii="Arial" w:cs="Arial" w:eastAsia="Arial" w:hAnsi="Arial"/>
                <w:sz w:val="20"/>
                <w:szCs w:val="20"/>
                <w:b w:val="1"/>
                <w:bCs w:val="1"/>
                <w:color w:val="00274E"/>
              </w:rPr>
              <w:t>L.</w:t>
            </w:r>
          </w:p>
        </w:tc>
        <w:tc>
          <w:tcPr>
            <w:tcW w:w="5160" w:type="dxa"/>
            <w:vAlign w:val="bottom"/>
          </w:tcPr>
          <w:p>
            <w:pPr>
              <w:ind w:left="200"/>
              <w:spacing w:after="0"/>
              <w:rPr>
                <w:sz w:val="20"/>
                <w:szCs w:val="20"/>
                <w:color w:val="auto"/>
              </w:rPr>
            </w:pPr>
            <w:r>
              <w:rPr>
                <w:rFonts w:ascii="Arial" w:cs="Arial" w:eastAsia="Arial" w:hAnsi="Arial"/>
                <w:sz w:val="20"/>
                <w:szCs w:val="20"/>
                <w:b w:val="1"/>
                <w:bCs w:val="1"/>
                <w:color w:val="00274E"/>
              </w:rPr>
              <w:t>Shareholders’ Equity</w:t>
            </w:r>
          </w:p>
        </w:tc>
      </w:tr>
      <w:tr>
        <w:trPr>
          <w:trHeight w:val="297"/>
        </w:trPr>
        <w:tc>
          <w:tcPr>
            <w:tcW w:w="420" w:type="dxa"/>
            <w:vAlign w:val="bottom"/>
          </w:tcPr>
          <w:p>
            <w:pPr>
              <w:ind w:left="20"/>
              <w:spacing w:after="0"/>
              <w:rPr>
                <w:sz w:val="20"/>
                <w:szCs w:val="20"/>
                <w:color w:val="auto"/>
              </w:rPr>
            </w:pPr>
            <w:r>
              <w:rPr>
                <w:rFonts w:ascii="Arial" w:cs="Arial" w:eastAsia="Arial" w:hAnsi="Arial"/>
                <w:sz w:val="20"/>
                <w:szCs w:val="20"/>
                <w:b w:val="1"/>
                <w:bCs w:val="1"/>
                <w:color w:val="00274E"/>
              </w:rPr>
              <w:t>E.</w:t>
            </w:r>
          </w:p>
        </w:tc>
        <w:tc>
          <w:tcPr>
            <w:tcW w:w="4020" w:type="dxa"/>
            <w:vAlign w:val="bottom"/>
          </w:tcPr>
          <w:p>
            <w:pPr>
              <w:ind w:left="200"/>
              <w:spacing w:after="0"/>
              <w:rPr>
                <w:sz w:val="20"/>
                <w:szCs w:val="20"/>
                <w:color w:val="auto"/>
              </w:rPr>
            </w:pPr>
            <w:r>
              <w:rPr>
                <w:rFonts w:ascii="Arial" w:cs="Arial" w:eastAsia="Arial" w:hAnsi="Arial"/>
                <w:sz w:val="20"/>
                <w:szCs w:val="20"/>
                <w:b w:val="1"/>
                <w:bCs w:val="1"/>
                <w:color w:val="00274E"/>
              </w:rPr>
              <w:t>Fair Value Measurements</w:t>
            </w:r>
          </w:p>
        </w:tc>
        <w:tc>
          <w:tcPr>
            <w:tcW w:w="1640" w:type="dxa"/>
            <w:vAlign w:val="bottom"/>
          </w:tcPr>
          <w:p>
            <w:pPr>
              <w:ind w:left="1220"/>
              <w:spacing w:after="0"/>
              <w:rPr>
                <w:sz w:val="20"/>
                <w:szCs w:val="20"/>
                <w:color w:val="auto"/>
              </w:rPr>
            </w:pPr>
            <w:r>
              <w:rPr>
                <w:rFonts w:ascii="Arial" w:cs="Arial" w:eastAsia="Arial" w:hAnsi="Arial"/>
                <w:sz w:val="20"/>
                <w:szCs w:val="20"/>
                <w:b w:val="1"/>
                <w:bCs w:val="1"/>
                <w:color w:val="00274E"/>
              </w:rPr>
              <w:t>M.</w:t>
            </w:r>
          </w:p>
        </w:tc>
        <w:tc>
          <w:tcPr>
            <w:tcW w:w="5160" w:type="dxa"/>
            <w:vAlign w:val="bottom"/>
          </w:tcPr>
          <w:p>
            <w:pPr>
              <w:ind w:left="200"/>
              <w:spacing w:after="0"/>
              <w:rPr>
                <w:sz w:val="20"/>
                <w:szCs w:val="20"/>
                <w:color w:val="auto"/>
              </w:rPr>
            </w:pPr>
            <w:r>
              <w:rPr>
                <w:rFonts w:ascii="Arial" w:cs="Arial" w:eastAsia="Arial" w:hAnsi="Arial"/>
                <w:sz w:val="20"/>
                <w:szCs w:val="20"/>
                <w:b w:val="1"/>
                <w:bCs w:val="1"/>
                <w:color w:val="00274E"/>
              </w:rPr>
              <w:t>Income Taxes</w:t>
            </w:r>
          </w:p>
        </w:tc>
      </w:tr>
      <w:tr>
        <w:trPr>
          <w:trHeight w:val="297"/>
        </w:trPr>
        <w:tc>
          <w:tcPr>
            <w:tcW w:w="420" w:type="dxa"/>
            <w:vAlign w:val="bottom"/>
          </w:tcPr>
          <w:p>
            <w:pPr>
              <w:ind w:left="20"/>
              <w:spacing w:after="0"/>
              <w:rPr>
                <w:sz w:val="20"/>
                <w:szCs w:val="20"/>
                <w:color w:val="auto"/>
              </w:rPr>
            </w:pPr>
            <w:r>
              <w:rPr>
                <w:rFonts w:ascii="Arial" w:cs="Arial" w:eastAsia="Arial" w:hAnsi="Arial"/>
                <w:sz w:val="20"/>
                <w:szCs w:val="20"/>
                <w:b w:val="1"/>
                <w:bCs w:val="1"/>
                <w:color w:val="00274E"/>
              </w:rPr>
              <w:t>F.</w:t>
            </w:r>
          </w:p>
        </w:tc>
        <w:tc>
          <w:tcPr>
            <w:tcW w:w="4020" w:type="dxa"/>
            <w:vAlign w:val="bottom"/>
          </w:tcPr>
          <w:p>
            <w:pPr>
              <w:ind w:left="200"/>
              <w:spacing w:after="0"/>
              <w:rPr>
                <w:sz w:val="20"/>
                <w:szCs w:val="20"/>
                <w:color w:val="auto"/>
              </w:rPr>
            </w:pPr>
            <w:r>
              <w:rPr>
                <w:rFonts w:ascii="Arial" w:cs="Arial" w:eastAsia="Arial" w:hAnsi="Arial"/>
                <w:sz w:val="20"/>
                <w:szCs w:val="20"/>
                <w:b w:val="1"/>
                <w:bCs w:val="1"/>
                <w:color w:val="00274E"/>
              </w:rPr>
              <w:t>Investments</w:t>
            </w:r>
          </w:p>
        </w:tc>
        <w:tc>
          <w:tcPr>
            <w:tcW w:w="1640" w:type="dxa"/>
            <w:vAlign w:val="bottom"/>
          </w:tcPr>
          <w:p>
            <w:pPr>
              <w:ind w:left="1220"/>
              <w:spacing w:after="0"/>
              <w:rPr>
                <w:sz w:val="20"/>
                <w:szCs w:val="20"/>
                <w:color w:val="auto"/>
              </w:rPr>
            </w:pPr>
            <w:r>
              <w:rPr>
                <w:rFonts w:ascii="Arial" w:cs="Arial" w:eastAsia="Arial" w:hAnsi="Arial"/>
                <w:sz w:val="20"/>
                <w:szCs w:val="20"/>
                <w:b w:val="1"/>
                <w:bCs w:val="1"/>
                <w:color w:val="00274E"/>
              </w:rPr>
              <w:t>N.</w:t>
            </w:r>
          </w:p>
        </w:tc>
        <w:tc>
          <w:tcPr>
            <w:tcW w:w="5160" w:type="dxa"/>
            <w:vAlign w:val="bottom"/>
          </w:tcPr>
          <w:p>
            <w:pPr>
              <w:ind w:left="200"/>
              <w:spacing w:after="0"/>
              <w:rPr>
                <w:sz w:val="20"/>
                <w:szCs w:val="20"/>
                <w:color w:val="auto"/>
              </w:rPr>
            </w:pPr>
            <w:r>
              <w:rPr>
                <w:rFonts w:ascii="Arial" w:cs="Arial" w:eastAsia="Arial" w:hAnsi="Arial"/>
                <w:sz w:val="20"/>
                <w:szCs w:val="20"/>
                <w:b w:val="1"/>
                <w:bCs w:val="1"/>
                <w:color w:val="00274E"/>
              </w:rPr>
              <w:t>Contingencies</w:t>
            </w:r>
          </w:p>
        </w:tc>
      </w:tr>
      <w:tr>
        <w:trPr>
          <w:trHeight w:val="297"/>
        </w:trPr>
        <w:tc>
          <w:tcPr>
            <w:tcW w:w="420" w:type="dxa"/>
            <w:vAlign w:val="bottom"/>
          </w:tcPr>
          <w:p>
            <w:pPr>
              <w:ind w:left="20"/>
              <w:spacing w:after="0"/>
              <w:rPr>
                <w:sz w:val="20"/>
                <w:szCs w:val="20"/>
                <w:color w:val="auto"/>
              </w:rPr>
            </w:pPr>
            <w:r>
              <w:rPr>
                <w:rFonts w:ascii="Arial" w:cs="Arial" w:eastAsia="Arial" w:hAnsi="Arial"/>
                <w:sz w:val="20"/>
                <w:szCs w:val="20"/>
                <w:b w:val="1"/>
                <w:bCs w:val="1"/>
                <w:color w:val="00274E"/>
              </w:rPr>
              <w:t>G.</w:t>
            </w:r>
          </w:p>
        </w:tc>
        <w:tc>
          <w:tcPr>
            <w:tcW w:w="4020" w:type="dxa"/>
            <w:vAlign w:val="bottom"/>
          </w:tcPr>
          <w:p>
            <w:pPr>
              <w:ind w:left="200"/>
              <w:spacing w:after="0"/>
              <w:rPr>
                <w:sz w:val="20"/>
                <w:szCs w:val="20"/>
                <w:color w:val="auto"/>
              </w:rPr>
            </w:pPr>
            <w:r>
              <w:rPr>
                <w:rFonts w:ascii="Arial" w:cs="Arial" w:eastAsia="Arial" w:hAnsi="Arial"/>
                <w:sz w:val="20"/>
                <w:szCs w:val="20"/>
                <w:b w:val="1"/>
                <w:bCs w:val="1"/>
                <w:color w:val="00274E"/>
              </w:rPr>
              <w:t>Derivatives</w:t>
            </w:r>
          </w:p>
        </w:tc>
        <w:tc>
          <w:tcPr>
            <w:tcW w:w="1640" w:type="dxa"/>
            <w:vAlign w:val="bottom"/>
          </w:tcPr>
          <w:p>
            <w:pPr>
              <w:ind w:left="1220"/>
              <w:spacing w:after="0"/>
              <w:rPr>
                <w:sz w:val="20"/>
                <w:szCs w:val="20"/>
                <w:color w:val="auto"/>
              </w:rPr>
            </w:pPr>
            <w:r>
              <w:rPr>
                <w:rFonts w:ascii="Arial" w:cs="Arial" w:eastAsia="Arial" w:hAnsi="Arial"/>
                <w:sz w:val="20"/>
                <w:szCs w:val="20"/>
                <w:b w:val="1"/>
                <w:bCs w:val="1"/>
                <w:color w:val="00274E"/>
              </w:rPr>
              <w:t>O.</w:t>
            </w:r>
          </w:p>
        </w:tc>
        <w:tc>
          <w:tcPr>
            <w:tcW w:w="5160" w:type="dxa"/>
            <w:vAlign w:val="bottom"/>
          </w:tcPr>
          <w:p>
            <w:pPr>
              <w:ind w:left="200"/>
              <w:spacing w:after="0"/>
              <w:rPr>
                <w:sz w:val="20"/>
                <w:szCs w:val="20"/>
                <w:color w:val="auto"/>
              </w:rPr>
            </w:pPr>
            <w:r>
              <w:rPr>
                <w:rFonts w:ascii="Arial" w:cs="Arial" w:eastAsia="Arial" w:hAnsi="Arial"/>
                <w:sz w:val="20"/>
                <w:szCs w:val="20"/>
                <w:b w:val="1"/>
                <w:bCs w:val="1"/>
                <w:color w:val="00274E"/>
              </w:rPr>
              <w:t>Insurance</w:t>
            </w:r>
          </w:p>
        </w:tc>
      </w:tr>
      <w:tr>
        <w:trPr>
          <w:trHeight w:val="297"/>
        </w:trPr>
        <w:tc>
          <w:tcPr>
            <w:tcW w:w="420" w:type="dxa"/>
            <w:vAlign w:val="bottom"/>
          </w:tcPr>
          <w:p>
            <w:pPr>
              <w:ind w:left="20"/>
              <w:spacing w:after="0"/>
              <w:rPr>
                <w:sz w:val="20"/>
                <w:szCs w:val="20"/>
                <w:color w:val="auto"/>
              </w:rPr>
            </w:pPr>
            <w:r>
              <w:rPr>
                <w:rFonts w:ascii="Arial" w:cs="Arial" w:eastAsia="Arial" w:hAnsi="Arial"/>
                <w:sz w:val="20"/>
                <w:szCs w:val="20"/>
                <w:b w:val="1"/>
                <w:bCs w:val="1"/>
                <w:color w:val="00274E"/>
              </w:rPr>
              <w:t>H.</w:t>
            </w:r>
          </w:p>
        </w:tc>
        <w:tc>
          <w:tcPr>
            <w:tcW w:w="4020" w:type="dxa"/>
            <w:vAlign w:val="bottom"/>
          </w:tcPr>
          <w:p>
            <w:pPr>
              <w:ind w:left="200"/>
              <w:spacing w:after="0"/>
              <w:rPr>
                <w:sz w:val="20"/>
                <w:szCs w:val="20"/>
                <w:color w:val="auto"/>
              </w:rPr>
            </w:pPr>
            <w:r>
              <w:rPr>
                <w:rFonts w:ascii="Arial" w:cs="Arial" w:eastAsia="Arial" w:hAnsi="Arial"/>
                <w:sz w:val="20"/>
                <w:szCs w:val="20"/>
                <w:b w:val="1"/>
                <w:bCs w:val="1"/>
                <w:color w:val="00274E"/>
              </w:rPr>
              <w:t>Managed Investment Entities</w:t>
            </w:r>
          </w:p>
        </w:tc>
        <w:tc>
          <w:tcPr>
            <w:tcW w:w="1640" w:type="dxa"/>
            <w:vAlign w:val="bottom"/>
          </w:tcPr>
          <w:p>
            <w:pPr>
              <w:ind w:left="1220"/>
              <w:spacing w:after="0"/>
              <w:rPr>
                <w:sz w:val="20"/>
                <w:szCs w:val="20"/>
                <w:color w:val="auto"/>
              </w:rPr>
            </w:pPr>
            <w:r>
              <w:rPr>
                <w:rFonts w:ascii="Arial" w:cs="Arial" w:eastAsia="Arial" w:hAnsi="Arial"/>
                <w:sz w:val="20"/>
                <w:szCs w:val="20"/>
                <w:b w:val="1"/>
                <w:bCs w:val="1"/>
                <w:color w:val="00274E"/>
              </w:rPr>
              <w:t>P.</w:t>
            </w:r>
          </w:p>
        </w:tc>
        <w:tc>
          <w:tcPr>
            <w:tcW w:w="5160" w:type="dxa"/>
            <w:vAlign w:val="bottom"/>
          </w:tcPr>
          <w:p>
            <w:pPr>
              <w:ind w:left="200"/>
              <w:spacing w:after="0"/>
              <w:rPr>
                <w:sz w:val="20"/>
                <w:szCs w:val="20"/>
                <w:color w:val="auto"/>
              </w:rPr>
            </w:pPr>
            <w:r>
              <w:rPr>
                <w:rFonts w:ascii="Arial" w:cs="Arial" w:eastAsia="Arial" w:hAnsi="Arial"/>
                <w:sz w:val="20"/>
                <w:szCs w:val="20"/>
                <w:b w:val="1"/>
                <w:bCs w:val="1"/>
                <w:color w:val="00274E"/>
              </w:rPr>
              <w:t>Additional Information</w:t>
            </w:r>
          </w:p>
        </w:tc>
      </w:tr>
      <w:tr>
        <w:trPr>
          <w:trHeight w:val="21"/>
        </w:trPr>
        <w:tc>
          <w:tcPr>
            <w:tcW w:w="420" w:type="dxa"/>
            <w:vAlign w:val="bottom"/>
            <w:tcBorders>
              <w:bottom w:val="single" w:sz="8" w:color="auto"/>
            </w:tcBorders>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ind w:left="600" w:hanging="592"/>
        <w:spacing w:after="0"/>
        <w:tabs>
          <w:tab w:leader="none" w:pos="600" w:val="left"/>
        </w:tabs>
        <w:numPr>
          <w:ilvl w:val="0"/>
          <w:numId w:val="36"/>
        </w:numPr>
        <w:rPr>
          <w:rFonts w:ascii="Arial" w:cs="Arial" w:eastAsia="Arial" w:hAnsi="Arial"/>
          <w:sz w:val="29"/>
          <w:szCs w:val="29"/>
          <w:b w:val="1"/>
          <w:bCs w:val="1"/>
          <w:color w:val="00274E"/>
        </w:rPr>
      </w:pPr>
      <w:r>
        <w:rPr>
          <w:rFonts w:ascii="Arial" w:cs="Arial" w:eastAsia="Arial" w:hAnsi="Arial"/>
          <w:sz w:val="29"/>
          <w:szCs w:val="29"/>
          <w:b w:val="1"/>
          <w:bCs w:val="1"/>
          <w:color w:val="00274E"/>
        </w:rPr>
        <w:t>Accounting Policies</w:t>
      </w:r>
    </w:p>
    <w:p>
      <w:pPr>
        <w:spacing w:after="0" w:line="258" w:lineRule="exact"/>
        <w:rPr>
          <w:sz w:val="20"/>
          <w:szCs w:val="20"/>
          <w:color w:val="auto"/>
        </w:rPr>
      </w:pPr>
    </w:p>
    <w:p>
      <w:pPr>
        <w:ind w:right="80"/>
        <w:spacing w:after="0" w:line="248" w:lineRule="auto"/>
        <w:rPr>
          <w:sz w:val="20"/>
          <w:szCs w:val="20"/>
          <w:color w:val="auto"/>
        </w:rPr>
      </w:pPr>
      <w:r>
        <w:rPr>
          <w:rFonts w:ascii="Arial" w:cs="Arial" w:eastAsia="Arial" w:hAnsi="Arial"/>
          <w:sz w:val="20"/>
          <w:szCs w:val="20"/>
          <w:b w:val="1"/>
          <w:bCs w:val="1"/>
          <w:color w:val="00274E"/>
        </w:rPr>
        <w:t xml:space="preserve">Basis of Presentation </w:t>
      </w:r>
      <w:r>
        <w:rPr>
          <w:rFonts w:ascii="Arial" w:cs="Arial" w:eastAsia="Arial" w:hAnsi="Arial"/>
          <w:sz w:val="17"/>
          <w:szCs w:val="17"/>
          <w:color w:val="000000"/>
        </w:rPr>
        <w:t>The consolidated financial statements include the accounts of American Financial Group, Inc. and its subsidiaries</w:t>
      </w:r>
      <w:r>
        <w:rPr>
          <w:rFonts w:ascii="Arial" w:cs="Arial" w:eastAsia="Arial" w:hAnsi="Arial"/>
          <w:sz w:val="20"/>
          <w:szCs w:val="20"/>
          <w:b w:val="1"/>
          <w:bCs w:val="1"/>
          <w:color w:val="00274E"/>
        </w:rPr>
        <w:t xml:space="preserve"> </w:t>
      </w:r>
      <w:r>
        <w:rPr>
          <w:rFonts w:ascii="Arial" w:cs="Arial" w:eastAsia="Arial" w:hAnsi="Arial"/>
          <w:sz w:val="17"/>
          <w:szCs w:val="17"/>
          <w:color w:val="000000"/>
        </w:rPr>
        <w:t>(“AFG”). Certain reclassifications have been made to prior years to conform to the current year’s presentation. All significant intercompany balances and transactions have been eliminated. The results of operations of companies since their formation or acquisition are included in the consolidated financial statements. Events or transactions occurring subsequent to December 31, 2023, and prior to the filing of this Form 10-K, have been evaluated for potential recognition or disclosure herein.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Unless otherwise stated, the information in the Notes to the Consolidated Financial Statements relates to AFG’s continuing operations.</w:t>
      </w:r>
    </w:p>
    <w:p>
      <w:pPr>
        <w:spacing w:after="0" w:line="250"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preparation of the financial statements in conformity with U.S. generally accepted accounting principles (“GAAP”) requires management to make estimates and assumptions that affect the amounts reported in the financial statements and accompanying notes. Changes in circumstances could cause actual results to differ materially from those estimates.</w:t>
      </w:r>
    </w:p>
    <w:p>
      <w:pPr>
        <w:spacing w:after="0" w:line="199" w:lineRule="exact"/>
        <w:rPr>
          <w:sz w:val="20"/>
          <w:szCs w:val="20"/>
          <w:color w:val="auto"/>
        </w:rPr>
      </w:pPr>
    </w:p>
    <w:p>
      <w:pPr>
        <w:ind w:right="380"/>
        <w:spacing w:after="0" w:line="249" w:lineRule="auto"/>
        <w:rPr>
          <w:sz w:val="20"/>
          <w:szCs w:val="20"/>
          <w:color w:val="auto"/>
        </w:rPr>
      </w:pPr>
      <w:r>
        <w:rPr>
          <w:rFonts w:ascii="Arial" w:cs="Arial" w:eastAsia="Arial" w:hAnsi="Arial"/>
          <w:sz w:val="20"/>
          <w:szCs w:val="20"/>
          <w:b w:val="1"/>
          <w:bCs w:val="1"/>
          <w:color w:val="00274E"/>
        </w:rPr>
        <w:t xml:space="preserve">Discontinued Operations </w:t>
      </w:r>
      <w:r>
        <w:rPr>
          <w:rFonts w:ascii="Arial" w:cs="Arial" w:eastAsia="Arial" w:hAnsi="Arial"/>
          <w:sz w:val="17"/>
          <w:szCs w:val="17"/>
          <w:color w:val="000000"/>
        </w:rPr>
        <w:t>Disposals of components of an entity that represent a strategic shift and that have a major effect on a reporting</w:t>
      </w:r>
      <w:r>
        <w:rPr>
          <w:rFonts w:ascii="Arial" w:cs="Arial" w:eastAsia="Arial" w:hAnsi="Arial"/>
          <w:sz w:val="20"/>
          <w:szCs w:val="20"/>
          <w:b w:val="1"/>
          <w:bCs w:val="1"/>
          <w:color w:val="00274E"/>
        </w:rPr>
        <w:t xml:space="preserve"> </w:t>
      </w:r>
      <w:r>
        <w:rPr>
          <w:rFonts w:ascii="Arial" w:cs="Arial" w:eastAsia="Arial" w:hAnsi="Arial"/>
          <w:sz w:val="17"/>
          <w:szCs w:val="17"/>
          <w:color w:val="000000"/>
        </w:rPr>
        <w:t>entity’s operations and financial results are reported as discontinued operations.</w:t>
      </w:r>
    </w:p>
    <w:p>
      <w:pPr>
        <w:spacing w:after="0" w:line="211" w:lineRule="exact"/>
        <w:rPr>
          <w:sz w:val="20"/>
          <w:szCs w:val="20"/>
          <w:color w:val="auto"/>
        </w:rPr>
      </w:pPr>
    </w:p>
    <w:p>
      <w:pPr>
        <w:ind w:right="200"/>
        <w:spacing w:after="0" w:line="248" w:lineRule="auto"/>
        <w:rPr>
          <w:sz w:val="20"/>
          <w:szCs w:val="20"/>
          <w:color w:val="auto"/>
        </w:rPr>
      </w:pPr>
      <w:r>
        <w:rPr>
          <w:rFonts w:ascii="Arial" w:cs="Arial" w:eastAsia="Arial" w:hAnsi="Arial"/>
          <w:sz w:val="20"/>
          <w:szCs w:val="20"/>
          <w:b w:val="1"/>
          <w:bCs w:val="1"/>
          <w:color w:val="00274E"/>
        </w:rPr>
        <w:t xml:space="preserve">Fair Value Measurements </w:t>
      </w:r>
      <w:r>
        <w:rPr>
          <w:rFonts w:ascii="Arial" w:cs="Arial" w:eastAsia="Arial" w:hAnsi="Arial"/>
          <w:sz w:val="17"/>
          <w:szCs w:val="17"/>
          <w:color w:val="000000"/>
        </w:rPr>
        <w:t>Accounting standards define fair value as the price that would be received to sell an asset or paid to transfer a</w:t>
      </w:r>
      <w:r>
        <w:rPr>
          <w:rFonts w:ascii="Arial" w:cs="Arial" w:eastAsia="Arial" w:hAnsi="Arial"/>
          <w:sz w:val="20"/>
          <w:szCs w:val="20"/>
          <w:b w:val="1"/>
          <w:bCs w:val="1"/>
          <w:color w:val="00274E"/>
        </w:rPr>
        <w:t xml:space="preserve"> </w:t>
      </w:r>
      <w:r>
        <w:rPr>
          <w:rFonts w:ascii="Arial" w:cs="Arial" w:eastAsia="Arial" w:hAnsi="Arial"/>
          <w:sz w:val="17"/>
          <w:szCs w:val="17"/>
          <w:color w:val="000000"/>
        </w:rPr>
        <w:t>liability (an exit price) in an orderly transaction between market participants on the measurement date. The standards establish a hierarchy of valuation techniques based on whether the assumptions that market participants would use in pricing the asset or liability (“inputs”) are observable or unobservable. Observable inputs reflect market data obtained from independent sources, while unobservable inputs reflect AFG’s assumptions about the assumptions market participants would use in pricing the asset or liability.</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2023, AFG had nonrecurring fair value measurements for the purchase price allocation related to its acquisition of Crop Risk Services (see </w:t>
      </w:r>
      <w:r>
        <w:rPr>
          <w:rFonts w:ascii="Arial" w:cs="Arial" w:eastAsia="Arial" w:hAnsi="Arial"/>
          <w:sz w:val="17"/>
          <w:szCs w:val="17"/>
          <w:i w:val="1"/>
          <w:iCs w:val="1"/>
          <w:color w:val="auto"/>
        </w:rPr>
        <w:t>Note C</w:t>
      </w:r>
    </w:p>
    <w:p>
      <w:pPr>
        <w:spacing w:after="0" w:line="29" w:lineRule="exact"/>
        <w:rPr>
          <w:sz w:val="20"/>
          <w:szCs w:val="20"/>
          <w:color w:val="auto"/>
        </w:rPr>
      </w:pPr>
    </w:p>
    <w:p>
      <w:pPr>
        <w:ind w:right="320"/>
        <w:spacing w:after="0" w:line="261" w:lineRule="auto"/>
        <w:rPr>
          <w:sz w:val="20"/>
          <w:szCs w:val="20"/>
          <w:color w:val="auto"/>
        </w:rPr>
      </w:pPr>
      <w:r>
        <w:rPr>
          <w:rFonts w:ascii="Arial" w:cs="Arial" w:eastAsia="Arial" w:hAnsi="Arial"/>
          <w:sz w:val="17"/>
          <w:szCs w:val="17"/>
          <w:i w:val="1"/>
          <w:iCs w:val="1"/>
          <w:color w:val="auto"/>
        </w:rPr>
        <w:t xml:space="preserve">— “Acquisitions and Sale of Businesses”) </w:t>
      </w:r>
      <w:r>
        <w:rPr>
          <w:rFonts w:ascii="Arial" w:cs="Arial" w:eastAsia="Arial" w:hAnsi="Arial"/>
          <w:sz w:val="17"/>
          <w:szCs w:val="17"/>
          <w:color w:val="auto"/>
        </w:rPr>
        <w:t>and the write-off of a portion of goodwill related to AFG’s investment in Verikai (see</w:t>
      </w:r>
      <w:r>
        <w:rPr>
          <w:rFonts w:ascii="Arial" w:cs="Arial" w:eastAsia="Arial" w:hAnsi="Arial"/>
          <w:sz w:val="17"/>
          <w:szCs w:val="17"/>
          <w:i w:val="1"/>
          <w:iCs w:val="1"/>
          <w:color w:val="auto"/>
        </w:rPr>
        <w:t xml:space="preserve"> Note I — “Goodwill and Other Intangibles”</w:t>
      </w:r>
      <w:r>
        <w:rPr>
          <w:rFonts w:ascii="Arial" w:cs="Arial" w:eastAsia="Arial" w:hAnsi="Arial"/>
          <w:sz w:val="17"/>
          <w:szCs w:val="17"/>
          <w:color w:val="auto"/>
        </w:rPr>
        <w:t>). These fair value measurements were based on significant inputs that are unobservable (Level 3). There were no other</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 nonrecurring fair value measurements in 2023, 2022 or 2021.</w:t>
      </w:r>
    </w:p>
    <w:p>
      <w:pPr>
        <w:spacing w:after="0" w:line="203" w:lineRule="exact"/>
        <w:rPr>
          <w:sz w:val="20"/>
          <w:szCs w:val="20"/>
          <w:color w:val="auto"/>
        </w:rPr>
      </w:pPr>
    </w:p>
    <w:p>
      <w:pPr>
        <w:ind w:right="260"/>
        <w:spacing w:after="0" w:line="248" w:lineRule="auto"/>
        <w:rPr>
          <w:sz w:val="20"/>
          <w:szCs w:val="20"/>
          <w:color w:val="auto"/>
        </w:rPr>
      </w:pPr>
      <w:r>
        <w:rPr>
          <w:rFonts w:ascii="Arial" w:cs="Arial" w:eastAsia="Arial" w:hAnsi="Arial"/>
          <w:sz w:val="20"/>
          <w:szCs w:val="20"/>
          <w:b w:val="1"/>
          <w:bCs w:val="1"/>
          <w:color w:val="00274E"/>
        </w:rPr>
        <w:t xml:space="preserve">Investments </w:t>
      </w:r>
      <w:r>
        <w:rPr>
          <w:rFonts w:ascii="Arial" w:cs="Arial" w:eastAsia="Arial" w:hAnsi="Arial"/>
          <w:sz w:val="17"/>
          <w:szCs w:val="17"/>
          <w:color w:val="000000"/>
        </w:rPr>
        <w:t>Equity securities other than those accounted for under the equity method are reported at fair value with holding gains and losses</w:t>
      </w:r>
      <w:r>
        <w:rPr>
          <w:rFonts w:ascii="Arial" w:cs="Arial" w:eastAsia="Arial" w:hAnsi="Arial"/>
          <w:sz w:val="20"/>
          <w:szCs w:val="20"/>
          <w:b w:val="1"/>
          <w:bCs w:val="1"/>
          <w:color w:val="00274E"/>
        </w:rPr>
        <w:t xml:space="preserve"> </w:t>
      </w:r>
      <w:r>
        <w:rPr>
          <w:rFonts w:ascii="Arial" w:cs="Arial" w:eastAsia="Arial" w:hAnsi="Arial"/>
          <w:sz w:val="17"/>
          <w:szCs w:val="17"/>
          <w:color w:val="000000"/>
        </w:rPr>
        <w:t>generally recorded in realized gains (losses) on securities. However, AFG records holding gains and losses on limited partnerships and similar investments that do not qualify for equity method accounting (and are therefore carried at fair value), and certain other securities classified at purchase as “fair value through net investment income” in net investment income.</w:t>
      </w:r>
    </w:p>
    <w:p>
      <w:pPr>
        <w:spacing w:after="0" w:line="216" w:lineRule="exact"/>
        <w:rPr>
          <w:sz w:val="20"/>
          <w:szCs w:val="20"/>
          <w:color w:val="auto"/>
        </w:rPr>
      </w:pPr>
    </w:p>
    <w:p>
      <w:pPr>
        <w:jc w:val="both"/>
        <w:ind w:right="160"/>
        <w:spacing w:after="0" w:line="266" w:lineRule="auto"/>
        <w:rPr>
          <w:sz w:val="20"/>
          <w:szCs w:val="20"/>
          <w:color w:val="auto"/>
        </w:rPr>
      </w:pPr>
      <w:r>
        <w:rPr>
          <w:rFonts w:ascii="Arial" w:cs="Arial" w:eastAsia="Arial" w:hAnsi="Arial"/>
          <w:sz w:val="17"/>
          <w:szCs w:val="17"/>
          <w:color w:val="auto"/>
        </w:rPr>
        <w:t>Fixed maturity securities classified as “available for sale” are reported at fair value with unrealized gains and losses included in accumulated other comprehensive income (“AOCI”) in AFG’s Balance Sheet. Fixed maturity securities classified as “trading” are reported at fair value with changes in unrealized holding gains or losses during the period included in net investment income. Mortgage loans (net of any allowance) are carried primarily at the aggregate unpaid balance.</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AMERICAN FINANCIAL GROUP,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NOTES TO CONSOLIDATED FINANCIAL STATEMENTS — CONTINUED</w:t>
      </w:r>
    </w:p>
    <w:p>
      <w:pPr>
        <w:spacing w:after="0" w:line="200" w:lineRule="exact"/>
        <w:rPr>
          <w:sz w:val="20"/>
          <w:szCs w:val="20"/>
          <w:color w:val="auto"/>
        </w:rPr>
      </w:pPr>
    </w:p>
    <w:p>
      <w:pPr>
        <w:spacing w:after="0" w:line="240"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Realized gains or losses on the disposal of fixed maturity securities are determined on the specific identification basis. Premiums and discounts on fixed maturity securities are amortized using the effective interest method. Mortgage-backed securities (“MBS”) are amortized over a period based on estimated future principal payments, including prepayments. Prepayment assumptions are reviewed periodically and adjusted to reflect actual prepayments and changes in expectations.</w:t>
      </w:r>
    </w:p>
    <w:p>
      <w:pPr>
        <w:spacing w:after="0" w:line="200"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Limited partnerships and similar investments are generally accounted for using the equity method of accounting. Under the equity method, AFG records its share of the earnings or losses of the investee based on when it is reported by the investee in its financial statements rather than in the period in which the investee declares a dividend. AFG’s share of the earnings or losses from equity method investments is generally recorded on a quarter lag due to the timing of the receipt of the investee’s financial statements. AFG’s equity in the earnings (losses) of limited partnerships and similar investments is included in net investment income.</w:t>
      </w:r>
    </w:p>
    <w:p>
      <w:pPr>
        <w:spacing w:after="0" w:line="205"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b w:val="1"/>
          <w:bCs w:val="1"/>
          <w:color w:val="00274E"/>
        </w:rPr>
        <w:t xml:space="preserve">Credit Losses on Fixed Maturity Investments </w:t>
      </w:r>
      <w:r>
        <w:rPr>
          <w:rFonts w:ascii="Arial" w:cs="Arial" w:eastAsia="Arial" w:hAnsi="Arial"/>
          <w:sz w:val="17"/>
          <w:szCs w:val="17"/>
          <w:color w:val="000000"/>
        </w:rPr>
        <w:t>When a decline in the value of an available for sale fixed maturity is considered to be</w:t>
      </w:r>
      <w:r>
        <w:rPr>
          <w:rFonts w:ascii="Arial" w:cs="Arial" w:eastAsia="Arial" w:hAnsi="Arial"/>
          <w:sz w:val="20"/>
          <w:szCs w:val="20"/>
          <w:b w:val="1"/>
          <w:bCs w:val="1"/>
          <w:color w:val="00274E"/>
        </w:rPr>
        <w:t xml:space="preserve"> </w:t>
      </w:r>
      <w:r>
        <w:rPr>
          <w:rFonts w:ascii="Arial" w:cs="Arial" w:eastAsia="Arial" w:hAnsi="Arial"/>
          <w:sz w:val="17"/>
          <w:szCs w:val="17"/>
          <w:color w:val="000000"/>
        </w:rPr>
        <w:t>other-than-temporary at the balance sheet date, an allowance for credit losses (impairment), including any write-off of accrued interest, is charged to earnings (included in realized gains (losses) on securities). If management can assert that it does not intend to sell the security and it is not more likely than not that it will have to sell it before recovery of its amortized cost basis (net of allowance), then the impairment is separated into two components: (i) the allowance related to credit losses (recorded in earnings) and (ii) the amount related to all other factors (recorded in other comprehensive income). The credit-related portion is measured by comparing a security’s amortized cost to the present value of its current expected cash flows discounted at its effective yield prior to the charge. The allowance is limited to the difference between a security’s amortized cost basis and its fair value. Subsequent increases or decreases in expected credit losses are recorded immediately in net earnings through realized gains (losses). If management intends to sell an impaired security, or it is more likely than not that it will be required to sell the security before recovery, an impairment is recorded in earnings to reduce the amortized cost (net of allowance) of that security to fair value.</w:t>
      </w:r>
    </w:p>
    <w:p>
      <w:pPr>
        <w:spacing w:after="0" w:line="208" w:lineRule="exact"/>
        <w:rPr>
          <w:sz w:val="20"/>
          <w:szCs w:val="20"/>
          <w:color w:val="auto"/>
        </w:rPr>
      </w:pPr>
    </w:p>
    <w:p>
      <w:pPr>
        <w:ind w:right="80"/>
        <w:spacing w:after="0" w:line="248" w:lineRule="auto"/>
        <w:rPr>
          <w:sz w:val="20"/>
          <w:szCs w:val="20"/>
          <w:color w:val="auto"/>
        </w:rPr>
      </w:pPr>
      <w:r>
        <w:rPr>
          <w:rFonts w:ascii="Arial" w:cs="Arial" w:eastAsia="Arial" w:hAnsi="Arial"/>
          <w:sz w:val="20"/>
          <w:szCs w:val="20"/>
          <w:b w:val="1"/>
          <w:bCs w:val="1"/>
          <w:color w:val="00274E"/>
        </w:rPr>
        <w:t xml:space="preserve">Credit Losses on Financial Instruments Measured at Amortized Cost </w:t>
      </w:r>
      <w:r>
        <w:rPr>
          <w:rFonts w:ascii="Arial" w:cs="Arial" w:eastAsia="Arial" w:hAnsi="Arial"/>
          <w:sz w:val="17"/>
          <w:szCs w:val="17"/>
          <w:color w:val="000000"/>
        </w:rPr>
        <w:t>Credit-related impairments for financial instruments</w:t>
      </w:r>
      <w:r>
        <w:rPr>
          <w:rFonts w:ascii="Arial" w:cs="Arial" w:eastAsia="Arial" w:hAnsi="Arial"/>
          <w:sz w:val="20"/>
          <w:szCs w:val="20"/>
          <w:b w:val="1"/>
          <w:bCs w:val="1"/>
          <w:color w:val="00274E"/>
        </w:rPr>
        <w:t xml:space="preserve"> </w:t>
      </w:r>
      <w:r>
        <w:rPr>
          <w:rFonts w:ascii="Arial" w:cs="Arial" w:eastAsia="Arial" w:hAnsi="Arial"/>
          <w:sz w:val="17"/>
          <w:szCs w:val="17"/>
          <w:color w:val="000000"/>
        </w:rPr>
        <w:t>measured at amortized cost (mortgage loans, premiums receivable and reinsurance recoverables) reflect estimated credit losses expected over the life of an exposure or pool of exposures. The estimate of expected credit losses considers historical information, current information, as well as reasonable and supportable forecasts, including estimates of prepayments. Expected credit losses, and subsequent increases or decreases in such expected losses, are recorded immediately through net earnings as an allowance that is deducted from the amortized cost basis of the financial asset, with the net carrying value of the financial asset presented on the balance sheet at the amount expected to be collected.</w:t>
      </w:r>
    </w:p>
    <w:p>
      <w:pPr>
        <w:spacing w:after="0" w:line="229"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b w:val="1"/>
          <w:bCs w:val="1"/>
          <w:color w:val="00274E"/>
        </w:rPr>
        <w:t xml:space="preserve">Derivatives </w:t>
      </w:r>
      <w:r>
        <w:rPr>
          <w:rFonts w:ascii="Arial" w:cs="Arial" w:eastAsia="Arial" w:hAnsi="Arial"/>
          <w:sz w:val="17"/>
          <w:szCs w:val="17"/>
          <w:color w:val="000000"/>
        </w:rPr>
        <w:t>Derivatives included in AFG’s Balance Sheet are recorded at fair value. Changes in fair value of derivatives are included in earnings</w:t>
      </w:r>
      <w:r>
        <w:rPr>
          <w:rFonts w:ascii="Arial" w:cs="Arial" w:eastAsia="Arial" w:hAnsi="Arial"/>
          <w:sz w:val="20"/>
          <w:szCs w:val="20"/>
          <w:b w:val="1"/>
          <w:bCs w:val="1"/>
          <w:color w:val="00274E"/>
        </w:rPr>
        <w:t xml:space="preserve"> </w:t>
      </w:r>
      <w:r>
        <w:rPr>
          <w:rFonts w:ascii="Arial" w:cs="Arial" w:eastAsia="Arial" w:hAnsi="Arial"/>
          <w:sz w:val="17"/>
          <w:szCs w:val="17"/>
          <w:color w:val="000000"/>
        </w:rPr>
        <w:t>unless the derivatives are designated and qualify as highly effective cash flow hedges. AFG’s derivatives that do not qualify for hedge accounting under GAAP consist primarily of components of certain fixed maturity securities (convertible fixed maturities and interest-only and principal-only MBS) and a total return swap related to its deferred compensation obligations to employees.</w:t>
      </w:r>
    </w:p>
    <w:p>
      <w:pPr>
        <w:spacing w:after="0" w:line="233" w:lineRule="exact"/>
        <w:rPr>
          <w:sz w:val="20"/>
          <w:szCs w:val="20"/>
          <w:color w:val="auto"/>
        </w:rPr>
      </w:pPr>
    </w:p>
    <w:p>
      <w:pPr>
        <w:ind w:right="220"/>
        <w:spacing w:after="0" w:line="266" w:lineRule="auto"/>
        <w:rPr>
          <w:sz w:val="20"/>
          <w:szCs w:val="20"/>
          <w:color w:val="auto"/>
        </w:rPr>
      </w:pPr>
      <w:r>
        <w:rPr>
          <w:rFonts w:ascii="Arial" w:cs="Arial" w:eastAsia="Arial" w:hAnsi="Arial"/>
          <w:sz w:val="17"/>
          <w:szCs w:val="17"/>
          <w:color w:val="auto"/>
        </w:rPr>
        <w:t>To qualify for hedge accounting, at the inception of a derivative contract, AFG formally documents the relationship between the terms of the hedge and the hedged items and its risk management objective. This documentation includes defining how hedge effectiveness is evaluated at the inception date and over the life of the derivative.</w:t>
      </w:r>
    </w:p>
    <w:p>
      <w:pPr>
        <w:spacing w:after="0" w:line="201"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Changes in the fair value of derivatives that are designated and qualify as highly effective cash flow hedges are recorded in AOCI and are reclassified into earnings when the variability of the cash flows from the hedged items impacts earnings. When the change in the fair value of a qualifying cash flow hedge is included in earnings, it is included in the same line item in the statement of earnings as the cash flows from the hedged item. AFG uses interest rate swaps that are designated and qualify as highly effective cash flow hedges to mitigate interest rate risk related to certain floating-rate securities.</w:t>
      </w:r>
    </w:p>
    <w:p>
      <w:pPr>
        <w:spacing w:after="0" w:line="205"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b w:val="1"/>
          <w:bCs w:val="1"/>
          <w:color w:val="00274E"/>
        </w:rPr>
        <w:t xml:space="preserve">Goodwill </w:t>
      </w:r>
      <w:r>
        <w:rPr>
          <w:rFonts w:ascii="Arial" w:cs="Arial" w:eastAsia="Arial" w:hAnsi="Arial"/>
          <w:sz w:val="17"/>
          <w:szCs w:val="17"/>
          <w:color w:val="000000"/>
        </w:rPr>
        <w:t>Goodwill represents the excess of cost of subsidiaries over AFG’s equity in their underlying net assets at the date of acquisition.</w:t>
      </w:r>
      <w:r>
        <w:rPr>
          <w:rFonts w:ascii="Arial" w:cs="Arial" w:eastAsia="Arial" w:hAnsi="Arial"/>
          <w:sz w:val="20"/>
          <w:szCs w:val="20"/>
          <w:b w:val="1"/>
          <w:bCs w:val="1"/>
          <w:color w:val="00274E"/>
        </w:rPr>
        <w:t xml:space="preserve"> </w:t>
      </w:r>
      <w:r>
        <w:rPr>
          <w:rFonts w:ascii="Arial" w:cs="Arial" w:eastAsia="Arial" w:hAnsi="Arial"/>
          <w:sz w:val="17"/>
          <w:szCs w:val="17"/>
          <w:color w:val="000000"/>
        </w:rPr>
        <w:t>Goodwill is not amortized, but is subject to an impairment test at least annually. An entity is not required to complete the quantitative annual goodwill impairment test on a reporting unit if the entity elects to perform a qualitative analysis and determines that it is more likely than not that the reporting unit’s fair value exceeds its carrying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5" w:name="page96"/>
    <w:bookmarkEnd w:id="9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AMERICAN FINANCIAL GROUP,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NOTES TO CONSOLIDATED FINANCIAL STATEMENTS — CONTINUED</w:t>
      </w:r>
    </w:p>
    <w:p>
      <w:pPr>
        <w:spacing w:after="0" w:line="200" w:lineRule="exact"/>
        <w:rPr>
          <w:sz w:val="20"/>
          <w:szCs w:val="20"/>
          <w:color w:val="auto"/>
        </w:rPr>
      </w:pPr>
    </w:p>
    <w:p>
      <w:pPr>
        <w:spacing w:after="0" w:line="239" w:lineRule="exact"/>
        <w:rPr>
          <w:sz w:val="20"/>
          <w:szCs w:val="20"/>
          <w:color w:val="auto"/>
        </w:rPr>
      </w:pPr>
    </w:p>
    <w:p>
      <w:pPr>
        <w:ind w:right="220"/>
        <w:spacing w:after="0" w:line="248" w:lineRule="auto"/>
        <w:rPr>
          <w:sz w:val="20"/>
          <w:szCs w:val="20"/>
          <w:color w:val="auto"/>
        </w:rPr>
      </w:pPr>
      <w:r>
        <w:rPr>
          <w:rFonts w:ascii="Arial" w:cs="Arial" w:eastAsia="Arial" w:hAnsi="Arial"/>
          <w:sz w:val="20"/>
          <w:szCs w:val="20"/>
          <w:b w:val="1"/>
          <w:bCs w:val="1"/>
          <w:color w:val="00274E"/>
        </w:rPr>
        <w:t xml:space="preserve">Reinsurance </w:t>
      </w:r>
      <w:r>
        <w:rPr>
          <w:rFonts w:ascii="Arial" w:cs="Arial" w:eastAsia="Arial" w:hAnsi="Arial"/>
          <w:sz w:val="17"/>
          <w:szCs w:val="17"/>
          <w:color w:val="000000"/>
        </w:rPr>
        <w:t>Amounts recoverable from reinsurers are estimated in a manner consistent with the claim liability associated with the reinsured</w:t>
      </w:r>
      <w:r>
        <w:rPr>
          <w:rFonts w:ascii="Arial" w:cs="Arial" w:eastAsia="Arial" w:hAnsi="Arial"/>
          <w:sz w:val="20"/>
          <w:szCs w:val="20"/>
          <w:b w:val="1"/>
          <w:bCs w:val="1"/>
          <w:color w:val="00274E"/>
        </w:rPr>
        <w:t xml:space="preserve"> </w:t>
      </w:r>
      <w:r>
        <w:rPr>
          <w:rFonts w:ascii="Arial" w:cs="Arial" w:eastAsia="Arial" w:hAnsi="Arial"/>
          <w:sz w:val="17"/>
          <w:szCs w:val="17"/>
          <w:color w:val="000000"/>
        </w:rPr>
        <w:t>policies. AFG reports as assets (i) the estimated reinsurance recoverable on paid and unpaid losses, including an estimate for losses incurred but not reported, and (ii) amounts paid or due to reinsurers applicable to the unexpired terms of policies in force. Payable to reinsurers includes ceded premiums due to reinsurers, as well as ceded premiums retained by AFG under contracts to fund ceded losses as they become due. AFG also assumes reinsurance from other companies. Earnings on reinsurance assumed is recognized based on information received from ceding companies.</w:t>
      </w:r>
    </w:p>
    <w:p>
      <w:pPr>
        <w:spacing w:after="0" w:line="229" w:lineRule="exact"/>
        <w:rPr>
          <w:sz w:val="20"/>
          <w:szCs w:val="20"/>
          <w:color w:val="auto"/>
        </w:rPr>
      </w:pPr>
    </w:p>
    <w:p>
      <w:pPr>
        <w:spacing w:after="0" w:line="248" w:lineRule="auto"/>
        <w:rPr>
          <w:sz w:val="20"/>
          <w:szCs w:val="20"/>
          <w:color w:val="auto"/>
        </w:rPr>
      </w:pPr>
      <w:r>
        <w:rPr>
          <w:rFonts w:ascii="Arial" w:cs="Arial" w:eastAsia="Arial" w:hAnsi="Arial"/>
          <w:sz w:val="20"/>
          <w:szCs w:val="20"/>
          <w:b w:val="1"/>
          <w:bCs w:val="1"/>
          <w:color w:val="00274E"/>
        </w:rPr>
        <w:t xml:space="preserve">Deferred Policy Acquisition Costs (“DPAC”) </w:t>
      </w:r>
      <w:r>
        <w:rPr>
          <w:rFonts w:ascii="Arial" w:cs="Arial" w:eastAsia="Arial" w:hAnsi="Arial"/>
          <w:sz w:val="17"/>
          <w:szCs w:val="17"/>
          <w:color w:val="000000"/>
        </w:rPr>
        <w:t>Policy acquisition costs (principally commissions, premium taxes and certain underwriting</w:t>
      </w:r>
      <w:r>
        <w:rPr>
          <w:rFonts w:ascii="Arial" w:cs="Arial" w:eastAsia="Arial" w:hAnsi="Arial"/>
          <w:sz w:val="20"/>
          <w:szCs w:val="20"/>
          <w:b w:val="1"/>
          <w:bCs w:val="1"/>
          <w:color w:val="00274E"/>
        </w:rPr>
        <w:t xml:space="preserve"> </w:t>
      </w:r>
      <w:r>
        <w:rPr>
          <w:rFonts w:ascii="Arial" w:cs="Arial" w:eastAsia="Arial" w:hAnsi="Arial"/>
          <w:sz w:val="17"/>
          <w:szCs w:val="17"/>
          <w:color w:val="000000"/>
        </w:rPr>
        <w:t>and policy issuance costs) directly related to the successful acquisition or renewal of an insurance contract are deferred. DPAC is limited based upon recoverability without any consideration for anticipated investment income and is charged against income ratably over the terms of the related policies. A premium deficiency is recognized if the sum of expected claims costs, claims adjustment expenses and unamortized acquisition costs exceed the related unearned premiums. A premium deficiency is first recognized by charging any unamortized acquisition costs to expense to the extent required to eliminate the deficiency. If the premium deficiency is greater than unamortized acquisition costs, a liability is accrued for the excess deficiency and reported with unpaid losses and loss adjustment expenses.</w:t>
      </w:r>
    </w:p>
    <w:p>
      <w:pPr>
        <w:spacing w:after="0" w:line="216" w:lineRule="exact"/>
        <w:rPr>
          <w:sz w:val="20"/>
          <w:szCs w:val="20"/>
          <w:color w:val="auto"/>
        </w:rPr>
      </w:pPr>
    </w:p>
    <w:p>
      <w:pPr>
        <w:ind w:right="140"/>
        <w:spacing w:after="0" w:line="249" w:lineRule="auto"/>
        <w:rPr>
          <w:sz w:val="20"/>
          <w:szCs w:val="20"/>
          <w:color w:val="auto"/>
        </w:rPr>
      </w:pPr>
      <w:r>
        <w:rPr>
          <w:rFonts w:ascii="Arial" w:cs="Arial" w:eastAsia="Arial" w:hAnsi="Arial"/>
          <w:sz w:val="20"/>
          <w:szCs w:val="20"/>
          <w:b w:val="1"/>
          <w:bCs w:val="1"/>
          <w:color w:val="00274E"/>
        </w:rPr>
        <w:t xml:space="preserve">Managed Investment Entities </w:t>
      </w:r>
      <w:r>
        <w:rPr>
          <w:rFonts w:ascii="Arial" w:cs="Arial" w:eastAsia="Arial" w:hAnsi="Arial"/>
          <w:sz w:val="17"/>
          <w:szCs w:val="17"/>
          <w:color w:val="000000"/>
        </w:rPr>
        <w:t>A company is considered the primary beneficiary of, and therefore must consolidate, a variable interest entity</w:t>
      </w:r>
      <w:r>
        <w:rPr>
          <w:rFonts w:ascii="Arial" w:cs="Arial" w:eastAsia="Arial" w:hAnsi="Arial"/>
          <w:sz w:val="20"/>
          <w:szCs w:val="20"/>
          <w:b w:val="1"/>
          <w:bCs w:val="1"/>
          <w:color w:val="00274E"/>
        </w:rPr>
        <w:t xml:space="preserve"> </w:t>
      </w:r>
      <w:r>
        <w:rPr>
          <w:rFonts w:ascii="Arial" w:cs="Arial" w:eastAsia="Arial" w:hAnsi="Arial"/>
          <w:sz w:val="17"/>
          <w:szCs w:val="17"/>
          <w:color w:val="000000"/>
        </w:rPr>
        <w:t>(“VIE”) based primarily on its ability to direct the activities of the VIE that most significantly impact that entity’s economic performance and the obligation to absorb losses of, or receive benefits from, the entity that could potentially be significant to the VIE.</w:t>
      </w:r>
    </w:p>
    <w:p>
      <w:pPr>
        <w:spacing w:after="0" w:line="212"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 xml:space="preserve">AFG manages, and has investments in, collateralized loan obligations (“CLOs”) that are VIEs (see </w:t>
      </w:r>
      <w:r>
        <w:rPr>
          <w:rFonts w:ascii="Arial" w:cs="Arial" w:eastAsia="Arial" w:hAnsi="Arial"/>
          <w:sz w:val="17"/>
          <w:szCs w:val="17"/>
          <w:i w:val="1"/>
          <w:iCs w:val="1"/>
          <w:color w:val="auto"/>
        </w:rPr>
        <w:t>Note H — “Managed Investment Entities”</w:t>
      </w:r>
      <w:r>
        <w:rPr>
          <w:rFonts w:ascii="Arial" w:cs="Arial" w:eastAsia="Arial" w:hAnsi="Arial"/>
          <w:sz w:val="17"/>
          <w:szCs w:val="17"/>
          <w:color w:val="auto"/>
        </w:rPr>
        <w:t>). AFG has determined that it is the primary beneficiary of these CLOs because (i) its role as asset manager gives it the power to direct the activities that most significantly impact the economic performance of the CLOs and (ii) through its investment in the CLO debt tranches, it has exposure to CLO losses (limited to the amount AFG invested) and the right to receive CLO benefits that could potentially be significant to the CLOs.</w:t>
      </w:r>
    </w:p>
    <w:p>
      <w:pPr>
        <w:spacing w:after="0" w:line="200"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Because AFG has no right to use the CLO assets and no obligation to pay the CLO liabilities, the assets and liabilities of the CLOs are shown separately in AFG’s Balance Sheet. AFG has elected the fair value option for reporting on the CLO assets and liabilities to improve the transparency of financial reporting related to the CLOs. The net gain or loss from accounting for the CLO assets and liabilities at fair value is presented separately in AFG’s Statement of Earnings.</w:t>
      </w:r>
    </w:p>
    <w:p>
      <w:pPr>
        <w:spacing w:after="0" w:line="200" w:lineRule="exact"/>
        <w:rPr>
          <w:sz w:val="20"/>
          <w:szCs w:val="20"/>
          <w:color w:val="auto"/>
        </w:rPr>
      </w:pPr>
    </w:p>
    <w:p>
      <w:pPr>
        <w:ind w:right="540"/>
        <w:spacing w:after="0" w:line="260" w:lineRule="auto"/>
        <w:rPr>
          <w:sz w:val="20"/>
          <w:szCs w:val="20"/>
          <w:color w:val="auto"/>
        </w:rPr>
      </w:pPr>
      <w:r>
        <w:rPr>
          <w:rFonts w:ascii="Arial" w:cs="Arial" w:eastAsia="Arial" w:hAnsi="Arial"/>
          <w:sz w:val="17"/>
          <w:szCs w:val="17"/>
          <w:color w:val="auto"/>
        </w:rPr>
        <w:t>The fair values of a CLO’s assets may differ from the separately measured fair values of its liabilities even though the CLO liabilities only have recourse to the CLO assets. AFG has set the carrying value of the CLO liabilities equal to the fair value of the CLO assets (which have more observable fair values) as an alternative to reporting those liabilities at a separately measured fair value. CLO earnings attributable to AFG’s shareholders are measured by the change in the fair value of AFG’s investments in the CLOs and management fees earned.</w:t>
      </w:r>
    </w:p>
    <w:p>
      <w:pPr>
        <w:spacing w:after="0" w:line="206" w:lineRule="exact"/>
        <w:rPr>
          <w:sz w:val="20"/>
          <w:szCs w:val="20"/>
          <w:color w:val="auto"/>
        </w:rPr>
      </w:pPr>
    </w:p>
    <w:p>
      <w:pPr>
        <w:ind w:right="660"/>
        <w:spacing w:after="0" w:line="274" w:lineRule="auto"/>
        <w:rPr>
          <w:sz w:val="20"/>
          <w:szCs w:val="20"/>
          <w:color w:val="auto"/>
        </w:rPr>
      </w:pPr>
      <w:r>
        <w:rPr>
          <w:rFonts w:ascii="Arial" w:cs="Arial" w:eastAsia="Arial" w:hAnsi="Arial"/>
          <w:sz w:val="17"/>
          <w:szCs w:val="17"/>
          <w:color w:val="auto"/>
        </w:rPr>
        <w:t>At December 31, 2023, assets and liabilities of managed investment entities included $263 million in assets and $225 million in liabilities of temporary warehousing entities that were established to provide AFG the ability to form new CLOs. At closing, all warehoused assets will be transferred to the new CLOs and the liabilities will be repaid.</w:t>
      </w:r>
    </w:p>
    <w:p>
      <w:pPr>
        <w:spacing w:after="0" w:line="193"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b w:val="1"/>
          <w:bCs w:val="1"/>
          <w:color w:val="00274E"/>
        </w:rPr>
        <w:t xml:space="preserve">Unpaid Losses and Loss Adjustment Expenses </w:t>
      </w:r>
      <w:r>
        <w:rPr>
          <w:rFonts w:ascii="Arial" w:cs="Arial" w:eastAsia="Arial" w:hAnsi="Arial"/>
          <w:sz w:val="17"/>
          <w:szCs w:val="17"/>
          <w:color w:val="000000"/>
        </w:rPr>
        <w:t>The liabilities stated for unpaid claims and for expenses of investigation and adjustment</w:t>
      </w:r>
      <w:r>
        <w:rPr>
          <w:rFonts w:ascii="Arial" w:cs="Arial" w:eastAsia="Arial" w:hAnsi="Arial"/>
          <w:sz w:val="20"/>
          <w:szCs w:val="20"/>
          <w:b w:val="1"/>
          <w:bCs w:val="1"/>
          <w:color w:val="00274E"/>
        </w:rPr>
        <w:t xml:space="preserve"> </w:t>
      </w:r>
      <w:r>
        <w:rPr>
          <w:rFonts w:ascii="Arial" w:cs="Arial" w:eastAsia="Arial" w:hAnsi="Arial"/>
          <w:sz w:val="17"/>
          <w:szCs w:val="17"/>
          <w:color w:val="000000"/>
        </w:rPr>
        <w:t>of unpaid claims represent management’s best estimate and are based upon (i) the accumulation of case estimates for losses reported prior to the close of the accounting period on direct business written; (ii) estimates received from ceding reinsurers and insurance pools and associations;</w:t>
      </w:r>
    </w:p>
    <w:p>
      <w:pPr>
        <w:spacing w:after="0" w:line="2" w:lineRule="exact"/>
        <w:rPr>
          <w:sz w:val="20"/>
          <w:szCs w:val="20"/>
          <w:color w:val="auto"/>
        </w:rPr>
      </w:pPr>
    </w:p>
    <w:p>
      <w:pPr>
        <w:ind w:right="20" w:firstLine="8"/>
        <w:spacing w:after="0" w:line="256" w:lineRule="auto"/>
        <w:tabs>
          <w:tab w:leader="none" w:pos="275" w:val="left"/>
        </w:tabs>
        <w:numPr>
          <w:ilvl w:val="0"/>
          <w:numId w:val="38"/>
        </w:numPr>
        <w:rPr>
          <w:rFonts w:ascii="Arial" w:cs="Arial" w:eastAsia="Arial" w:hAnsi="Arial"/>
          <w:sz w:val="17"/>
          <w:szCs w:val="17"/>
          <w:color w:val="auto"/>
        </w:rPr>
      </w:pPr>
      <w:r>
        <w:rPr>
          <w:rFonts w:ascii="Arial" w:cs="Arial" w:eastAsia="Arial" w:hAnsi="Arial"/>
          <w:sz w:val="17"/>
          <w:szCs w:val="17"/>
          <w:color w:val="auto"/>
        </w:rPr>
        <w:t>estimates of unreported losses (including possible development on known claims) based on past experience; (iv) estimates based on experience of expenses for investigating and adjusting claims; and (v) the current state of the law and coverage litigation. Establishing reserves for asbestos, environmental and other mass tort claims involves considerably more judgment than other types of claims due to, among other things, inconsistent court decisions, an increase in bankruptcy filings as a result of asbestos-related liabilities, novel theories of coverage, and judicial interpretations that often expand theories of recovery and broaden the scope of coverage.</w:t>
      </w:r>
    </w:p>
    <w:p>
      <w:pPr>
        <w:spacing w:after="0" w:line="210" w:lineRule="exact"/>
        <w:rPr>
          <w:sz w:val="20"/>
          <w:szCs w:val="20"/>
          <w:color w:val="auto"/>
        </w:rPr>
      </w:pPr>
    </w:p>
    <w:p>
      <w:pPr>
        <w:jc w:val="both"/>
        <w:ind w:right="60"/>
        <w:spacing w:after="0" w:line="266" w:lineRule="auto"/>
        <w:rPr>
          <w:sz w:val="20"/>
          <w:szCs w:val="20"/>
          <w:color w:val="auto"/>
        </w:rPr>
      </w:pPr>
      <w:r>
        <w:rPr>
          <w:rFonts w:ascii="Arial" w:cs="Arial" w:eastAsia="Arial" w:hAnsi="Arial"/>
          <w:sz w:val="17"/>
          <w:szCs w:val="17"/>
          <w:color w:val="auto"/>
        </w:rPr>
        <w:t>Loss reserve liabilities are subject to the impact of changes in claim amounts and frequency and other factors. Changes in estimates of the liabilities for losses and loss adjustment expenses are reflected in the statement of earnings in the period in which determined. Despite the variability inherent in such estimates, management believes that the liabilities for unpaid losses and loss adjustment expenses are adequate and reasonable.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6" w:name="page97"/>
    <w:bookmarkEnd w:id="9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274E"/>
        </w:rPr>
        <w:t>AMERICAN FINANCIAL GROUP,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274E"/>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right="320"/>
        <w:spacing w:after="0" w:line="249" w:lineRule="auto"/>
        <w:rPr>
          <w:sz w:val="20"/>
          <w:szCs w:val="20"/>
          <w:color w:val="auto"/>
        </w:rPr>
      </w:pPr>
      <w:r>
        <w:rPr>
          <w:rFonts w:ascii="Arial" w:cs="Arial" w:eastAsia="Arial" w:hAnsi="Arial"/>
          <w:sz w:val="20"/>
          <w:szCs w:val="20"/>
          <w:b w:val="1"/>
          <w:bCs w:val="1"/>
          <w:color w:val="00274E"/>
        </w:rPr>
        <w:t xml:space="preserve">Debt Issuance Costs </w:t>
      </w:r>
      <w:r>
        <w:rPr>
          <w:rFonts w:ascii="Arial" w:cs="Arial" w:eastAsia="Arial" w:hAnsi="Arial"/>
          <w:sz w:val="17"/>
          <w:szCs w:val="17"/>
          <w:color w:val="000000"/>
        </w:rPr>
        <w:t>Debt issuance costs related to AFG’s outstanding debt are presented in its Balance Sheet as a direct reduction in the</w:t>
      </w:r>
      <w:r>
        <w:rPr>
          <w:rFonts w:ascii="Arial" w:cs="Arial" w:eastAsia="Arial" w:hAnsi="Arial"/>
          <w:sz w:val="20"/>
          <w:szCs w:val="20"/>
          <w:b w:val="1"/>
          <w:bCs w:val="1"/>
          <w:color w:val="00274E"/>
        </w:rPr>
        <w:t xml:space="preserve"> </w:t>
      </w:r>
      <w:r>
        <w:rPr>
          <w:rFonts w:ascii="Arial" w:cs="Arial" w:eastAsia="Arial" w:hAnsi="Arial"/>
          <w:sz w:val="17"/>
          <w:szCs w:val="17"/>
          <w:color w:val="000000"/>
        </w:rPr>
        <w:t>carrying value of long-term debt and are amortized over the life of the related debt using the effective interest method as a component of interest expense. Debt issuance costs related to AFG’s revolving credit facilities are included in other assets in AFG’s Balance Sheet.</w:t>
      </w:r>
    </w:p>
    <w:p>
      <w:pPr>
        <w:spacing w:after="0" w:line="211" w:lineRule="exact"/>
        <w:rPr>
          <w:sz w:val="20"/>
          <w:szCs w:val="20"/>
          <w:color w:val="auto"/>
        </w:rPr>
      </w:pPr>
    </w:p>
    <w:p>
      <w:pPr>
        <w:ind w:right="80"/>
        <w:spacing w:after="0" w:line="249" w:lineRule="auto"/>
        <w:rPr>
          <w:sz w:val="20"/>
          <w:szCs w:val="20"/>
          <w:color w:val="auto"/>
        </w:rPr>
      </w:pPr>
      <w:r>
        <w:rPr>
          <w:rFonts w:ascii="Arial" w:cs="Arial" w:eastAsia="Arial" w:hAnsi="Arial"/>
          <w:sz w:val="20"/>
          <w:szCs w:val="20"/>
          <w:b w:val="1"/>
          <w:bCs w:val="1"/>
          <w:color w:val="00274E"/>
        </w:rPr>
        <w:t xml:space="preserve">Leases </w:t>
      </w:r>
      <w:r>
        <w:rPr>
          <w:rFonts w:ascii="Arial" w:cs="Arial" w:eastAsia="Arial" w:hAnsi="Arial"/>
          <w:sz w:val="17"/>
          <w:szCs w:val="17"/>
          <w:color w:val="000000"/>
        </w:rPr>
        <w:t>Leases for terms of longer than one year are recognized as assets and liabilities for the rights and obligations created by those leases on</w:t>
      </w:r>
      <w:r>
        <w:rPr>
          <w:rFonts w:ascii="Arial" w:cs="Arial" w:eastAsia="Arial" w:hAnsi="Arial"/>
          <w:sz w:val="20"/>
          <w:szCs w:val="20"/>
          <w:b w:val="1"/>
          <w:bCs w:val="1"/>
          <w:color w:val="00274E"/>
        </w:rPr>
        <w:t xml:space="preserve"> </w:t>
      </w:r>
      <w:r>
        <w:rPr>
          <w:rFonts w:ascii="Arial" w:cs="Arial" w:eastAsia="Arial" w:hAnsi="Arial"/>
          <w:sz w:val="17"/>
          <w:szCs w:val="17"/>
          <w:color w:val="000000"/>
        </w:rPr>
        <w:t>the balance sheet based on the present value of contractual cash flows.</w:t>
      </w:r>
    </w:p>
    <w:p>
      <w:pPr>
        <w:spacing w:after="0" w:line="211" w:lineRule="exact"/>
        <w:rPr>
          <w:sz w:val="20"/>
          <w:szCs w:val="20"/>
          <w:color w:val="auto"/>
        </w:rPr>
      </w:pPr>
    </w:p>
    <w:p>
      <w:pPr>
        <w:ind w:right="120"/>
        <w:spacing w:after="0" w:line="248" w:lineRule="auto"/>
        <w:rPr>
          <w:sz w:val="20"/>
          <w:szCs w:val="20"/>
          <w:color w:val="auto"/>
        </w:rPr>
      </w:pPr>
      <w:r>
        <w:rPr>
          <w:rFonts w:ascii="Arial" w:cs="Arial" w:eastAsia="Arial" w:hAnsi="Arial"/>
          <w:sz w:val="20"/>
          <w:szCs w:val="20"/>
          <w:b w:val="1"/>
          <w:bCs w:val="1"/>
          <w:color w:val="00274E"/>
        </w:rPr>
        <w:t xml:space="preserve">Premium Recognition </w:t>
      </w:r>
      <w:r>
        <w:rPr>
          <w:rFonts w:ascii="Arial" w:cs="Arial" w:eastAsia="Arial" w:hAnsi="Arial"/>
          <w:sz w:val="17"/>
          <w:szCs w:val="17"/>
          <w:color w:val="000000"/>
        </w:rPr>
        <w:t>Property and casualty premiums are earned generally over the terms of the policies on a pro rata basis. Unearned</w:t>
      </w:r>
      <w:r>
        <w:rPr>
          <w:rFonts w:ascii="Arial" w:cs="Arial" w:eastAsia="Arial" w:hAnsi="Arial"/>
          <w:sz w:val="20"/>
          <w:szCs w:val="20"/>
          <w:b w:val="1"/>
          <w:bCs w:val="1"/>
          <w:color w:val="00274E"/>
        </w:rPr>
        <w:t xml:space="preserve"> </w:t>
      </w:r>
      <w:r>
        <w:rPr>
          <w:rFonts w:ascii="Arial" w:cs="Arial" w:eastAsia="Arial" w:hAnsi="Arial"/>
          <w:sz w:val="17"/>
          <w:szCs w:val="17"/>
          <w:color w:val="000000"/>
        </w:rPr>
        <w:t>premiums represent that portion of premiums written, which is applicable to the unexpired terms of policies in force. On reinsurance assumed from other insurance companies or written through various underwriting organizations, unearned premiums are based on information received from such companies and organizations.</w:t>
      </w:r>
    </w:p>
    <w:p>
      <w:pPr>
        <w:spacing w:after="0" w:line="214"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b w:val="1"/>
          <w:bCs w:val="1"/>
          <w:color w:val="00274E"/>
        </w:rPr>
        <w:t xml:space="preserve">Income Taxes </w:t>
      </w:r>
      <w:r>
        <w:rPr>
          <w:rFonts w:ascii="Arial" w:cs="Arial" w:eastAsia="Arial" w:hAnsi="Arial"/>
          <w:sz w:val="17"/>
          <w:szCs w:val="17"/>
          <w:color w:val="000000"/>
        </w:rPr>
        <w:t>Deferred income taxes are calculated using the liability method. Under this method, deferred income tax assets and liabilities are</w:t>
      </w:r>
      <w:r>
        <w:rPr>
          <w:rFonts w:ascii="Arial" w:cs="Arial" w:eastAsia="Arial" w:hAnsi="Arial"/>
          <w:sz w:val="20"/>
          <w:szCs w:val="20"/>
          <w:b w:val="1"/>
          <w:bCs w:val="1"/>
          <w:color w:val="00274E"/>
        </w:rPr>
        <w:t xml:space="preserve"> </w:t>
      </w:r>
      <w:r>
        <w:rPr>
          <w:rFonts w:ascii="Arial" w:cs="Arial" w:eastAsia="Arial" w:hAnsi="Arial"/>
          <w:sz w:val="17"/>
          <w:szCs w:val="17"/>
          <w:color w:val="000000"/>
        </w:rPr>
        <w:t>determined based on differences between financial reporting and tax bases and are measured using enacted tax rates. A valuation allowance is established to reduce total deferred tax assets to an amount that will more likely than not be realized. The effect of a change in tax rates on deferred tax assets and liabilities is recorded in net earnings in the period that includes the enactment date.</w:t>
      </w:r>
    </w:p>
    <w:p>
      <w:pPr>
        <w:spacing w:after="0" w:line="216" w:lineRule="exact"/>
        <w:rPr>
          <w:sz w:val="20"/>
          <w:szCs w:val="20"/>
          <w:color w:val="auto"/>
        </w:rPr>
      </w:pPr>
    </w:p>
    <w:p>
      <w:pPr>
        <w:ind w:right="260"/>
        <w:spacing w:after="0" w:line="284" w:lineRule="auto"/>
        <w:rPr>
          <w:sz w:val="20"/>
          <w:szCs w:val="20"/>
          <w:color w:val="auto"/>
        </w:rPr>
      </w:pPr>
      <w:r>
        <w:rPr>
          <w:rFonts w:ascii="Arial" w:cs="Arial" w:eastAsia="Arial" w:hAnsi="Arial"/>
          <w:sz w:val="17"/>
          <w:szCs w:val="17"/>
          <w:color w:val="auto"/>
        </w:rPr>
        <w:t>AFG recognizes the tax benefits of uncertain tax positions only when the position is more likely than not to be sustained under examination by the appropriate taxing authority. Interest and penalties on AFG’s reserve for uncertain tax positions are recognized as a component of tax expense.</w:t>
      </w:r>
    </w:p>
    <w:p>
      <w:pPr>
        <w:spacing w:after="0" w:line="184" w:lineRule="exact"/>
        <w:rPr>
          <w:sz w:val="20"/>
          <w:szCs w:val="20"/>
          <w:color w:val="auto"/>
        </w:rPr>
      </w:pPr>
    </w:p>
    <w:p>
      <w:pPr>
        <w:ind w:right="440"/>
        <w:spacing w:after="0" w:line="249" w:lineRule="auto"/>
        <w:rPr>
          <w:sz w:val="20"/>
          <w:szCs w:val="20"/>
          <w:color w:val="auto"/>
        </w:rPr>
      </w:pPr>
      <w:r>
        <w:rPr>
          <w:rFonts w:ascii="Arial" w:cs="Arial" w:eastAsia="Arial" w:hAnsi="Arial"/>
          <w:sz w:val="20"/>
          <w:szCs w:val="20"/>
          <w:b w:val="1"/>
          <w:bCs w:val="1"/>
          <w:color w:val="00274E"/>
        </w:rPr>
        <w:t xml:space="preserve">Stock-Based Compensation </w:t>
      </w:r>
      <w:r>
        <w:rPr>
          <w:rFonts w:ascii="Arial" w:cs="Arial" w:eastAsia="Arial" w:hAnsi="Arial"/>
          <w:sz w:val="17"/>
          <w:szCs w:val="17"/>
          <w:color w:val="000000"/>
        </w:rPr>
        <w:t>All share-based grants are recognized as compensation expense on a straight-line basis over their vesting</w:t>
      </w:r>
      <w:r>
        <w:rPr>
          <w:rFonts w:ascii="Arial" w:cs="Arial" w:eastAsia="Arial" w:hAnsi="Arial"/>
          <w:sz w:val="20"/>
          <w:szCs w:val="20"/>
          <w:b w:val="1"/>
          <w:bCs w:val="1"/>
          <w:color w:val="00274E"/>
        </w:rPr>
        <w:t xml:space="preserve"> </w:t>
      </w:r>
      <w:r>
        <w:rPr>
          <w:rFonts w:ascii="Arial" w:cs="Arial" w:eastAsia="Arial" w:hAnsi="Arial"/>
          <w:sz w:val="17"/>
          <w:szCs w:val="17"/>
          <w:color w:val="000000"/>
        </w:rPr>
        <w:t>periods based on their calculated fair value at the date of grant.</w:t>
      </w:r>
    </w:p>
    <w:p>
      <w:pPr>
        <w:spacing w:after="0" w:line="213" w:lineRule="exact"/>
        <w:rPr>
          <w:sz w:val="20"/>
          <w:szCs w:val="20"/>
          <w:color w:val="auto"/>
        </w:rPr>
      </w:pPr>
    </w:p>
    <w:p>
      <w:pPr>
        <w:ind w:right="300"/>
        <w:spacing w:after="0" w:line="284" w:lineRule="auto"/>
        <w:rPr>
          <w:sz w:val="20"/>
          <w:szCs w:val="20"/>
          <w:color w:val="auto"/>
        </w:rPr>
      </w:pPr>
      <w:r>
        <w:rPr>
          <w:rFonts w:ascii="Arial" w:cs="Arial" w:eastAsia="Arial" w:hAnsi="Arial"/>
          <w:sz w:val="17"/>
          <w:szCs w:val="17"/>
          <w:color w:val="auto"/>
        </w:rPr>
        <w:t>AFG records excess tax benefits or deficiencies for share-based payments through income tax expense in the statement of earnings. In addition, AFG accounts for forfeitures of awards when they occur.</w:t>
      </w:r>
    </w:p>
    <w:p>
      <w:pPr>
        <w:spacing w:after="0" w:line="197" w:lineRule="exact"/>
        <w:rPr>
          <w:sz w:val="20"/>
          <w:szCs w:val="20"/>
          <w:color w:val="auto"/>
        </w:rPr>
      </w:pPr>
    </w:p>
    <w:p>
      <w:pPr>
        <w:jc w:val="both"/>
        <w:ind w:right="400"/>
        <w:spacing w:after="0" w:line="248" w:lineRule="auto"/>
        <w:rPr>
          <w:sz w:val="20"/>
          <w:szCs w:val="20"/>
          <w:color w:val="auto"/>
        </w:rPr>
      </w:pPr>
      <w:r>
        <w:rPr>
          <w:rFonts w:ascii="Arial" w:cs="Arial" w:eastAsia="Arial" w:hAnsi="Arial"/>
          <w:sz w:val="20"/>
          <w:szCs w:val="20"/>
          <w:b w:val="1"/>
          <w:bCs w:val="1"/>
          <w:color w:val="00274E"/>
        </w:rPr>
        <w:t xml:space="preserve">Benefit Plans </w:t>
      </w:r>
      <w:r>
        <w:rPr>
          <w:rFonts w:ascii="Arial" w:cs="Arial" w:eastAsia="Arial" w:hAnsi="Arial"/>
          <w:sz w:val="17"/>
          <w:szCs w:val="17"/>
          <w:color w:val="000000"/>
        </w:rPr>
        <w:t>AFG provides retirement benefits to qualified employees of participating companies through the AFG 401(k) Retirement and</w:t>
      </w:r>
      <w:r>
        <w:rPr>
          <w:rFonts w:ascii="Arial" w:cs="Arial" w:eastAsia="Arial" w:hAnsi="Arial"/>
          <w:sz w:val="20"/>
          <w:szCs w:val="20"/>
          <w:b w:val="1"/>
          <w:bCs w:val="1"/>
          <w:color w:val="00274E"/>
        </w:rPr>
        <w:t xml:space="preserve"> </w:t>
      </w:r>
      <w:r>
        <w:rPr>
          <w:rFonts w:ascii="Arial" w:cs="Arial" w:eastAsia="Arial" w:hAnsi="Arial"/>
          <w:sz w:val="17"/>
          <w:szCs w:val="17"/>
          <w:color w:val="000000"/>
        </w:rPr>
        <w:t>Savings Plan, a defined contribution plan. AFG makes all contributions to the retirement fund portion of the plan and matches a percentage of employee contributions to the savings fund. Company contributions are expensed in the year for which they are declared. AFG and many of its subsidiaries provide health care and life insurance benefits to eligible retirees. AFG also provides postemployment benefits to former or inactive employees (primarily those on disability) who were not deemed retired under other company plans. The projected future cost of providing these benefits is expensed over the period employees earn such benefits.</w:t>
      </w:r>
    </w:p>
    <w:p>
      <w:pPr>
        <w:spacing w:after="0" w:line="215" w:lineRule="exact"/>
        <w:rPr>
          <w:sz w:val="20"/>
          <w:szCs w:val="20"/>
          <w:color w:val="auto"/>
        </w:rPr>
      </w:pPr>
    </w:p>
    <w:p>
      <w:pPr>
        <w:spacing w:after="0" w:line="241" w:lineRule="auto"/>
        <w:rPr>
          <w:sz w:val="20"/>
          <w:szCs w:val="20"/>
          <w:color w:val="auto"/>
        </w:rPr>
      </w:pPr>
      <w:r>
        <w:rPr>
          <w:rFonts w:ascii="Arial" w:cs="Arial" w:eastAsia="Arial" w:hAnsi="Arial"/>
          <w:sz w:val="20"/>
          <w:szCs w:val="20"/>
          <w:b w:val="1"/>
          <w:bCs w:val="1"/>
          <w:color w:val="00274E"/>
        </w:rPr>
        <w:t xml:space="preserve">Earnings Per Share </w:t>
      </w:r>
      <w:r>
        <w:rPr>
          <w:rFonts w:ascii="Arial" w:cs="Arial" w:eastAsia="Arial" w:hAnsi="Arial"/>
          <w:sz w:val="17"/>
          <w:szCs w:val="17"/>
          <w:color w:val="000000"/>
        </w:rPr>
        <w:t>Although basic earnings per share only considers shares of common stock outstanding during the period, the calculation of</w:t>
      </w:r>
      <w:r>
        <w:rPr>
          <w:rFonts w:ascii="Arial" w:cs="Arial" w:eastAsia="Arial" w:hAnsi="Arial"/>
          <w:sz w:val="20"/>
          <w:szCs w:val="20"/>
          <w:b w:val="1"/>
          <w:bCs w:val="1"/>
          <w:color w:val="00274E"/>
        </w:rPr>
        <w:t xml:space="preserve"> </w:t>
      </w:r>
      <w:r>
        <w:rPr>
          <w:rFonts w:ascii="Arial" w:cs="Arial" w:eastAsia="Arial" w:hAnsi="Arial"/>
          <w:sz w:val="17"/>
          <w:szCs w:val="17"/>
          <w:color w:val="000000"/>
        </w:rPr>
        <w:t>diluted earnings per share includes the following adjustments to weighted average common shares related to stock-based compensation plans: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2023 – 0.1 million, 2022 – 0.2 million and 2021 – 0.5 million.</w:t>
      </w:r>
    </w:p>
    <w:p>
      <w:pPr>
        <w:spacing w:after="0" w:line="234"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color w:val="auto"/>
        </w:rPr>
        <w:t>There were no anti-dilutive potential common shares related to stock compensation plans or adjustments to net earnings in the calculation of diluted earnings per share for the years ended December 31, 2023, 2022 or 2021.</w:t>
      </w:r>
    </w:p>
    <w:p>
      <w:pPr>
        <w:spacing w:after="0" w:line="184" w:lineRule="exact"/>
        <w:rPr>
          <w:sz w:val="20"/>
          <w:szCs w:val="20"/>
          <w:color w:val="auto"/>
        </w:rPr>
      </w:pPr>
    </w:p>
    <w:p>
      <w:pPr>
        <w:ind w:right="40"/>
        <w:spacing w:after="0" w:line="252" w:lineRule="auto"/>
        <w:rPr>
          <w:sz w:val="20"/>
          <w:szCs w:val="20"/>
          <w:color w:val="auto"/>
        </w:rPr>
      </w:pPr>
      <w:r>
        <w:rPr>
          <w:rFonts w:ascii="Arial" w:cs="Arial" w:eastAsia="Arial" w:hAnsi="Arial"/>
          <w:sz w:val="20"/>
          <w:szCs w:val="20"/>
          <w:b w:val="1"/>
          <w:bCs w:val="1"/>
          <w:color w:val="00274E"/>
        </w:rPr>
        <w:t xml:space="preserve">Statement of Cash Flows </w:t>
      </w:r>
      <w:r>
        <w:rPr>
          <w:rFonts w:ascii="Arial" w:cs="Arial" w:eastAsia="Arial" w:hAnsi="Arial"/>
          <w:sz w:val="17"/>
          <w:szCs w:val="17"/>
          <w:color w:val="000000"/>
        </w:rPr>
        <w:t>For cash flow purposes, “investing activities” are defined as making and collecting loans and acquiring and</w:t>
      </w:r>
      <w:r>
        <w:rPr>
          <w:rFonts w:ascii="Arial" w:cs="Arial" w:eastAsia="Arial" w:hAnsi="Arial"/>
          <w:sz w:val="20"/>
          <w:szCs w:val="20"/>
          <w:b w:val="1"/>
          <w:bCs w:val="1"/>
          <w:color w:val="00274E"/>
        </w:rPr>
        <w:t xml:space="preserve"> </w:t>
      </w:r>
      <w:r>
        <w:rPr>
          <w:rFonts w:ascii="Arial" w:cs="Arial" w:eastAsia="Arial" w:hAnsi="Arial"/>
          <w:sz w:val="17"/>
          <w:szCs w:val="17"/>
          <w:color w:val="000000"/>
        </w:rPr>
        <w:t>disposing of debt or equity instruments, property and equipment and businesses. “Financing activities” include obtaining resources from owners and providing them with a return on their investments, borrowing money and repaying amounts borrowed. All other activities are considered “operating.” Short-term investments having original maturities of three months or less when purchased are considered to be cash equivalents for purposes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7" w:name="page98"/>
    <w:bookmarkEnd w:id="9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AMERICAN FINANCIAL GROUP,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NOTES TO CONSOLIDATED FINANCIAL STATEMENTS — CONTINUED</w:t>
      </w:r>
    </w:p>
    <w:p>
      <w:pPr>
        <w:spacing w:after="0" w:line="200" w:lineRule="exact"/>
        <w:rPr>
          <w:sz w:val="20"/>
          <w:szCs w:val="20"/>
          <w:color w:val="auto"/>
        </w:rPr>
      </w:pPr>
    </w:p>
    <w:p>
      <w:pPr>
        <w:spacing w:after="0" w:line="228" w:lineRule="exact"/>
        <w:rPr>
          <w:sz w:val="20"/>
          <w:szCs w:val="20"/>
          <w:color w:val="auto"/>
        </w:rPr>
      </w:pPr>
    </w:p>
    <w:p>
      <w:pPr>
        <w:spacing w:after="0"/>
        <w:tabs>
          <w:tab w:leader="none" w:pos="600" w:val="left"/>
        </w:tabs>
        <w:rPr>
          <w:sz w:val="20"/>
          <w:szCs w:val="20"/>
          <w:color w:val="auto"/>
        </w:rPr>
      </w:pPr>
      <w:r>
        <w:rPr>
          <w:rFonts w:ascii="Arial" w:cs="Arial" w:eastAsia="Arial" w:hAnsi="Arial"/>
          <w:sz w:val="29"/>
          <w:szCs w:val="29"/>
          <w:b w:val="1"/>
          <w:bCs w:val="1"/>
          <w:color w:val="00274E"/>
        </w:rPr>
        <w:t>B.</w:t>
      </w:r>
      <w:r>
        <w:rPr>
          <w:sz w:val="20"/>
          <w:szCs w:val="20"/>
          <w:color w:val="auto"/>
        </w:rPr>
        <w:tab/>
      </w:r>
      <w:r>
        <w:rPr>
          <w:rFonts w:ascii="Arial" w:cs="Arial" w:eastAsia="Arial" w:hAnsi="Arial"/>
          <w:sz w:val="28"/>
          <w:szCs w:val="28"/>
          <w:b w:val="1"/>
          <w:bCs w:val="1"/>
          <w:color w:val="00274E"/>
        </w:rPr>
        <w:t>Discontinued Operations</w:t>
      </w:r>
    </w:p>
    <w:p>
      <w:pPr>
        <w:spacing w:after="0" w:line="271" w:lineRule="exact"/>
        <w:rPr>
          <w:sz w:val="20"/>
          <w:szCs w:val="20"/>
          <w:color w:val="auto"/>
        </w:rPr>
      </w:pPr>
    </w:p>
    <w:p>
      <w:pPr>
        <w:ind w:right="100"/>
        <w:spacing w:after="0" w:line="231" w:lineRule="auto"/>
        <w:rPr>
          <w:sz w:val="20"/>
          <w:szCs w:val="20"/>
          <w:color w:val="auto"/>
        </w:rPr>
      </w:pPr>
      <w:r>
        <w:rPr>
          <w:rFonts w:ascii="Arial" w:cs="Arial" w:eastAsia="Arial" w:hAnsi="Arial"/>
          <w:sz w:val="20"/>
          <w:szCs w:val="20"/>
          <w:b w:val="1"/>
          <w:bCs w:val="1"/>
          <w:color w:val="00274E"/>
        </w:rPr>
        <w:t xml:space="preserve">Annuity Business </w:t>
      </w:r>
      <w:r>
        <w:rPr>
          <w:rFonts w:ascii="Arial" w:cs="Arial" w:eastAsia="Arial" w:hAnsi="Arial"/>
          <w:sz w:val="17"/>
          <w:szCs w:val="17"/>
          <w:color w:val="000000"/>
        </w:rPr>
        <w:t>Effective May 31, 2021, AFG completed the sale of its Annuity business to Massachusetts Mutual Life Insurance Company</w:t>
      </w:r>
      <w:r>
        <w:rPr>
          <w:rFonts w:ascii="Arial" w:cs="Arial" w:eastAsia="Arial" w:hAnsi="Arial"/>
          <w:sz w:val="20"/>
          <w:szCs w:val="20"/>
          <w:b w:val="1"/>
          <w:bCs w:val="1"/>
          <w:color w:val="00274E"/>
        </w:rPr>
        <w:t xml:space="preserve"> </w:t>
      </w:r>
      <w:r>
        <w:rPr>
          <w:rFonts w:ascii="Arial" w:cs="Arial" w:eastAsia="Arial" w:hAnsi="Arial"/>
          <w:sz w:val="17"/>
          <w:szCs w:val="17"/>
          <w:color w:val="000000"/>
        </w:rPr>
        <w:t>(“MassMutual”). MassMutual acquired Great American Life Insurance Company and its two insurance subsidiaries, Annuity Investors Life Insurance Company and Manhattan National Life Insurance Company. In addition to AFG’s annuity operations, these subsidiaries included AFG’s run-off life and long-term care operations. Proceeds from the sale were $3.57 billion and AFG realized a $656 million net gain on the sale in 2021.</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Details of the assets and liabilities of the Annuity subsidiaries sold were as follows (in millions):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5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May 31, 2021</w:t>
            </w:r>
          </w:p>
        </w:tc>
      </w:tr>
      <w:tr>
        <w:trPr>
          <w:trHeight w:val="200"/>
        </w:trPr>
        <w:tc>
          <w:tcPr>
            <w:tcW w:w="9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 of businesses sold:</w:t>
            </w: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5"/>
        </w:trPr>
        <w:tc>
          <w:tcPr>
            <w:tcW w:w="9520" w:type="dxa"/>
            <w:vAlign w:val="bottom"/>
          </w:tcPr>
          <w:p>
            <w:pPr>
              <w:ind w:left="240"/>
              <w:spacing w:after="0"/>
              <w:rPr>
                <w:sz w:val="20"/>
                <w:szCs w:val="20"/>
                <w:color w:val="auto"/>
              </w:rPr>
            </w:pPr>
            <w:r>
              <w:rPr>
                <w:rFonts w:ascii="Arial" w:cs="Arial" w:eastAsia="Arial" w:hAnsi="Arial"/>
                <w:sz w:val="16"/>
                <w:szCs w:val="16"/>
                <w:color w:val="auto"/>
              </w:rPr>
              <w:t>Cash and cash equivalents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2,060</w:t>
            </w:r>
          </w:p>
        </w:tc>
      </w:tr>
      <w:tr>
        <w:trPr>
          <w:trHeight w:val="217"/>
        </w:trPr>
        <w:tc>
          <w:tcPr>
            <w:tcW w:w="95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Investments</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38,323</w:t>
            </w:r>
          </w:p>
        </w:tc>
      </w:tr>
      <w:tr>
        <w:trPr>
          <w:trHeight w:val="215"/>
        </w:trPr>
        <w:tc>
          <w:tcPr>
            <w:tcW w:w="9520" w:type="dxa"/>
            <w:vAlign w:val="bottom"/>
          </w:tcPr>
          <w:p>
            <w:pPr>
              <w:ind w:left="240"/>
              <w:spacing w:after="0"/>
              <w:rPr>
                <w:sz w:val="20"/>
                <w:szCs w:val="20"/>
                <w:color w:val="auto"/>
              </w:rPr>
            </w:pPr>
            <w:r>
              <w:rPr>
                <w:rFonts w:ascii="Arial" w:cs="Arial" w:eastAsia="Arial" w:hAnsi="Arial"/>
                <w:sz w:val="16"/>
                <w:szCs w:val="16"/>
                <w:color w:val="auto"/>
              </w:rPr>
              <w:t>Recoverables from reinsurers</w:t>
            </w: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6,748</w:t>
            </w:r>
          </w:p>
        </w:tc>
      </w:tr>
      <w:tr>
        <w:trPr>
          <w:trHeight w:val="217"/>
        </w:trPr>
        <w:tc>
          <w:tcPr>
            <w:tcW w:w="95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2,152</w:t>
            </w:r>
          </w:p>
        </w:tc>
      </w:tr>
      <w:tr>
        <w:trPr>
          <w:trHeight w:val="209"/>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assets of discontinued annuity operations</w:t>
            </w: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49,283</w:t>
            </w:r>
          </w:p>
        </w:tc>
      </w:tr>
      <w:tr>
        <w:trPr>
          <w:trHeight w:val="197"/>
        </w:trPr>
        <w:tc>
          <w:tcPr>
            <w:tcW w:w="9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 of businesses sold:</w:t>
            </w: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5"/>
        </w:trPr>
        <w:tc>
          <w:tcPr>
            <w:tcW w:w="9520" w:type="dxa"/>
            <w:vAlign w:val="bottom"/>
          </w:tcPr>
          <w:p>
            <w:pPr>
              <w:ind w:left="240"/>
              <w:spacing w:after="0"/>
              <w:rPr>
                <w:sz w:val="20"/>
                <w:szCs w:val="20"/>
                <w:color w:val="auto"/>
              </w:rPr>
            </w:pPr>
            <w:r>
              <w:rPr>
                <w:rFonts w:ascii="Arial" w:cs="Arial" w:eastAsia="Arial" w:hAnsi="Arial"/>
                <w:sz w:val="16"/>
                <w:szCs w:val="16"/>
                <w:color w:val="auto"/>
              </w:rPr>
              <w:t>Annuity benefits accumulated</w:t>
            </w: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43,690</w:t>
            </w:r>
          </w:p>
        </w:tc>
      </w:tr>
      <w:tr>
        <w:trPr>
          <w:trHeight w:val="217"/>
        </w:trPr>
        <w:tc>
          <w:tcPr>
            <w:tcW w:w="95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1,813</w:t>
            </w:r>
          </w:p>
        </w:tc>
      </w:tr>
      <w:tr>
        <w:trPr>
          <w:trHeight w:val="209"/>
        </w:trPr>
        <w:tc>
          <w:tcPr>
            <w:tcW w:w="9520" w:type="dxa"/>
            <w:vAlign w:val="bottom"/>
          </w:tcPr>
          <w:p>
            <w:pPr>
              <w:ind w:left="20"/>
              <w:spacing w:after="0"/>
              <w:rPr>
                <w:sz w:val="20"/>
                <w:szCs w:val="20"/>
                <w:color w:val="auto"/>
              </w:rPr>
            </w:pPr>
            <w:r>
              <w:rPr>
                <w:rFonts w:ascii="Arial" w:cs="Arial" w:eastAsia="Arial" w:hAnsi="Arial"/>
                <w:sz w:val="16"/>
                <w:szCs w:val="16"/>
                <w:color w:val="auto"/>
              </w:rPr>
              <w:t>Total liabilities of discontinued annuity operations</w:t>
            </w: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45,503</w:t>
            </w:r>
          </w:p>
        </w:tc>
      </w:tr>
      <w:tr>
        <w:trPr>
          <w:trHeight w:val="216"/>
        </w:trPr>
        <w:tc>
          <w:tcPr>
            <w:tcW w:w="9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Reclassify AOCI</w:t>
            </w:r>
          </w:p>
        </w:tc>
        <w:tc>
          <w:tcPr>
            <w:tcW w:w="2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(913)</w:t>
            </w:r>
          </w:p>
        </w:tc>
      </w:tr>
      <w:tr>
        <w:trPr>
          <w:trHeight w:val="210"/>
        </w:trPr>
        <w:tc>
          <w:tcPr>
            <w:tcW w:w="9520" w:type="dxa"/>
            <w:vAlign w:val="bottom"/>
          </w:tcPr>
          <w:p>
            <w:pPr>
              <w:ind w:left="20"/>
              <w:spacing w:after="0"/>
              <w:rPr>
                <w:sz w:val="20"/>
                <w:szCs w:val="20"/>
                <w:color w:val="auto"/>
              </w:rPr>
            </w:pPr>
            <w:r>
              <w:rPr>
                <w:rFonts w:ascii="Arial" w:cs="Arial" w:eastAsia="Arial" w:hAnsi="Arial"/>
                <w:sz w:val="16"/>
                <w:szCs w:val="16"/>
                <w:color w:val="auto"/>
              </w:rPr>
              <w:t>Net investment in annuity businesses sold, excluding AOCI</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2,867</w:t>
            </w:r>
          </w:p>
        </w:tc>
      </w:tr>
      <w:tr>
        <w:trPr>
          <w:trHeight w:val="21"/>
        </w:trPr>
        <w:tc>
          <w:tcPr>
            <w:tcW w:w="9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7"/>
          <w:szCs w:val="17"/>
          <w:color w:val="auto"/>
        </w:rPr>
        <w:t>Details of the results of operations for the discontinued annuity operations were (in millions):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tcPr>
          <w:p>
            <w:pPr>
              <w:jc w:val="right"/>
              <w:ind w:right="540"/>
              <w:spacing w:after="0"/>
              <w:rPr>
                <w:sz w:val="20"/>
                <w:szCs w:val="20"/>
                <w:color w:val="auto"/>
              </w:rPr>
            </w:pPr>
            <w:r>
              <w:rPr>
                <w:rFonts w:ascii="Arial" w:cs="Arial" w:eastAsia="Arial" w:hAnsi="Arial"/>
                <w:sz w:val="14"/>
                <w:szCs w:val="14"/>
                <w:color w:val="auto"/>
              </w:rPr>
              <w:t>Year Ended</w:t>
            </w:r>
          </w:p>
        </w:tc>
      </w:tr>
      <w:tr>
        <w:trPr>
          <w:trHeight w:val="189"/>
        </w:trPr>
        <w:tc>
          <w:tcPr>
            <w:tcW w:w="9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December 31, 2021 (*)</w:t>
            </w:r>
          </w:p>
        </w:tc>
      </w:tr>
      <w:tr>
        <w:trPr>
          <w:trHeight w:val="210"/>
        </w:trPr>
        <w:tc>
          <w:tcPr>
            <w:tcW w:w="9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investment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w:t>
            </w:r>
          </w:p>
        </w:tc>
      </w:tr>
      <w:tr>
        <w:trPr>
          <w:trHeight w:val="215"/>
        </w:trPr>
        <w:tc>
          <w:tcPr>
            <w:tcW w:w="9260" w:type="dxa"/>
            <w:vAlign w:val="bottom"/>
          </w:tcPr>
          <w:p>
            <w:pPr>
              <w:ind w:left="20"/>
              <w:spacing w:after="0"/>
              <w:rPr>
                <w:sz w:val="20"/>
                <w:szCs w:val="20"/>
                <w:color w:val="auto"/>
              </w:rPr>
            </w:pPr>
            <w:r>
              <w:rPr>
                <w:rFonts w:ascii="Arial" w:cs="Arial" w:eastAsia="Arial" w:hAnsi="Arial"/>
                <w:sz w:val="16"/>
                <w:szCs w:val="16"/>
                <w:color w:val="auto"/>
              </w:rPr>
              <w:t>Realized gains on securities</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17"/>
        </w:trPr>
        <w:tc>
          <w:tcPr>
            <w:tcW w:w="9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2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09"/>
        </w:trPr>
        <w:tc>
          <w:tcPr>
            <w:tcW w:w="9260" w:type="dxa"/>
            <w:vAlign w:val="bottom"/>
          </w:tcPr>
          <w:p>
            <w:pPr>
              <w:ind w:left="240"/>
              <w:spacing w:after="0"/>
              <w:rPr>
                <w:sz w:val="20"/>
                <w:szCs w:val="20"/>
                <w:color w:val="auto"/>
              </w:rPr>
            </w:pPr>
            <w:r>
              <w:rPr>
                <w:rFonts w:ascii="Arial" w:cs="Arial" w:eastAsia="Arial" w:hAnsi="Arial"/>
                <w:sz w:val="16"/>
                <w:szCs w:val="16"/>
                <w:color w:val="auto"/>
              </w:rPr>
              <w:t>Total revenues</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910</w:t>
            </w:r>
          </w:p>
        </w:tc>
      </w:tr>
      <w:tr>
        <w:trPr>
          <w:trHeight w:val="217"/>
        </w:trPr>
        <w:tc>
          <w:tcPr>
            <w:tcW w:w="9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Annuity benefits</w:t>
            </w: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r>
      <w:tr>
        <w:trPr>
          <w:trHeight w:val="215"/>
        </w:trPr>
        <w:tc>
          <w:tcPr>
            <w:tcW w:w="9260" w:type="dxa"/>
            <w:vAlign w:val="bottom"/>
          </w:tcPr>
          <w:p>
            <w:pPr>
              <w:ind w:left="20"/>
              <w:spacing w:after="0"/>
              <w:rPr>
                <w:sz w:val="20"/>
                <w:szCs w:val="20"/>
                <w:color w:val="auto"/>
              </w:rPr>
            </w:pPr>
            <w:r>
              <w:rPr>
                <w:rFonts w:ascii="Arial" w:cs="Arial" w:eastAsia="Arial" w:hAnsi="Arial"/>
                <w:sz w:val="16"/>
                <w:szCs w:val="16"/>
                <w:color w:val="auto"/>
              </w:rPr>
              <w:t>Annuity and supplemental insurance acquisition expenses</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136</w:t>
            </w:r>
          </w:p>
        </w:tc>
      </w:tr>
      <w:tr>
        <w:trPr>
          <w:trHeight w:val="217"/>
        </w:trPr>
        <w:tc>
          <w:tcPr>
            <w:tcW w:w="9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2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09"/>
        </w:trPr>
        <w:tc>
          <w:tcPr>
            <w:tcW w:w="92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costs and expenses</w:t>
            </w: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w:t>
            </w:r>
          </w:p>
        </w:tc>
      </w:tr>
      <w:tr>
        <w:trPr>
          <w:trHeight w:val="210"/>
        </w:trPr>
        <w:tc>
          <w:tcPr>
            <w:tcW w:w="9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before income taxes from discontinued operations</w:t>
            </w: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r>
      <w:tr>
        <w:trPr>
          <w:trHeight w:val="215"/>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 on discontinued operations</w:t>
            </w: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r>
      <w:tr>
        <w:trPr>
          <w:trHeight w:val="210"/>
        </w:trPr>
        <w:tc>
          <w:tcPr>
            <w:tcW w:w="9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from discontinued operations, net of tax</w:t>
            </w: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r>
      <w:tr>
        <w:trPr>
          <w:trHeight w:val="215"/>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Gain on sale of discontinued operations, net of tax</w:t>
            </w: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w:t>
            </w:r>
          </w:p>
        </w:tc>
      </w:tr>
      <w:tr>
        <w:trPr>
          <w:trHeight w:val="235"/>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from discontinued operations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914</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400" w:hanging="392"/>
        <w:spacing w:after="0"/>
        <w:tabs>
          <w:tab w:leader="none" w:pos="4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Results through the May 31, 2021 effective date of the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8" w:name="page99"/>
    <w:bookmarkEnd w:id="9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20" w:type="dxa"/>
            <w:vAlign w:val="bottom"/>
          </w:tcPr>
          <w:p>
            <w:pPr>
              <w:jc w:val="center"/>
              <w:ind w:left="1632"/>
              <w:spacing w:after="0"/>
              <w:rPr>
                <w:sz w:val="20"/>
                <w:szCs w:val="20"/>
                <w:color w:val="auto"/>
              </w:rPr>
            </w:pPr>
            <w:r>
              <w:rPr>
                <w:rFonts w:ascii="Arial" w:cs="Arial" w:eastAsia="Arial" w:hAnsi="Arial"/>
                <w:sz w:val="20"/>
                <w:szCs w:val="20"/>
                <w:b w:val="1"/>
                <w:bCs w:val="1"/>
                <w:color w:val="00274E"/>
                <w:w w:val="98"/>
              </w:rPr>
              <w:t>AMERICAN FINANCIAL GROUP, INC. AND SUBSIDIARIES</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73"/>
        </w:trPr>
        <w:tc>
          <w:tcPr>
            <w:tcW w:w="9520" w:type="dxa"/>
            <w:vAlign w:val="bottom"/>
          </w:tcPr>
          <w:p>
            <w:pPr>
              <w:jc w:val="center"/>
              <w:ind w:left="1632"/>
              <w:spacing w:after="0"/>
              <w:rPr>
                <w:sz w:val="20"/>
                <w:szCs w:val="20"/>
                <w:color w:val="auto"/>
              </w:rPr>
            </w:pPr>
            <w:r>
              <w:rPr>
                <w:rFonts w:ascii="Arial" w:cs="Arial" w:eastAsia="Arial" w:hAnsi="Arial"/>
                <w:sz w:val="20"/>
                <w:szCs w:val="20"/>
                <w:b w:val="1"/>
                <w:bCs w:val="1"/>
                <w:color w:val="00274E"/>
                <w:w w:val="98"/>
              </w:rPr>
              <w:t>NOTES TO CONSOLIDATED FINANCIAL STATEMENTS — CONTINUED</w:t>
            </w:r>
          </w:p>
        </w:tc>
        <w:tc>
          <w:tcPr>
            <w:tcW w:w="28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709"/>
        </w:trPr>
        <w:tc>
          <w:tcPr>
            <w:tcW w:w="9520" w:type="dxa"/>
            <w:vAlign w:val="bottom"/>
          </w:tcPr>
          <w:p>
            <w:pPr>
              <w:spacing w:after="0"/>
              <w:rPr>
                <w:sz w:val="20"/>
                <w:szCs w:val="20"/>
                <w:color w:val="auto"/>
              </w:rPr>
            </w:pPr>
            <w:r>
              <w:rPr>
                <w:rFonts w:ascii="Arial" w:cs="Arial" w:eastAsia="Arial" w:hAnsi="Arial"/>
                <w:sz w:val="17"/>
                <w:szCs w:val="17"/>
                <w:color w:val="auto"/>
              </w:rPr>
              <w:t>The impact of the sale of the annuity business is shown below (in millions):</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9"/>
        </w:trPr>
        <w:tc>
          <w:tcPr>
            <w:tcW w:w="95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May 31, 2021</w:t>
            </w:r>
          </w:p>
        </w:tc>
      </w:tr>
      <w:tr>
        <w:trPr>
          <w:trHeight w:val="213"/>
        </w:trPr>
        <w:tc>
          <w:tcPr>
            <w:tcW w:w="9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proceeds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3,571</w:t>
            </w:r>
          </w:p>
        </w:tc>
      </w:tr>
      <w:tr>
        <w:trPr>
          <w:trHeight w:val="215"/>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Sale related expenses</w:t>
            </w: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10"/>
        </w:trPr>
        <w:tc>
          <w:tcPr>
            <w:tcW w:w="95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net proceeds</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3,563</w:t>
            </w: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investment in annuity businesses sold, excluding AOCI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Reclassify net deferred tax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454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Pretax gain on sale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Income tax expense:</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Reclassify net deferred tax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Tax liabilities triggered by the sale</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631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gain on sale</w:t>
      </w: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Summarized cash flows for the discontinued annuity operations were (in millions):</w:t>
      </w:r>
    </w:p>
    <w:p>
      <w:pPr>
        <w:spacing w:after="0" w:line="20" w:lineRule="exact"/>
        <w:rPr>
          <w:sz w:val="20"/>
          <w:szCs w:val="20"/>
          <w:color w:val="auto"/>
        </w:rPr>
      </w:pPr>
      <w:r>
        <w:rPr>
          <w:sz w:val="20"/>
          <w:szCs w:val="20"/>
          <w:color w:val="auto"/>
        </w:rPr>
        <w:br w:type="column"/>
      </w:r>
    </w:p>
    <w:p>
      <w:pPr>
        <w:jc w:val="right"/>
        <w:ind w:right="80"/>
        <w:spacing w:after="0"/>
        <w:rPr>
          <w:sz w:val="20"/>
          <w:szCs w:val="20"/>
          <w:color w:val="auto"/>
        </w:rPr>
      </w:pPr>
      <w:r>
        <w:rPr>
          <w:rFonts w:ascii="Arial" w:cs="Arial" w:eastAsia="Arial" w:hAnsi="Arial"/>
          <w:sz w:val="16"/>
          <w:szCs w:val="16"/>
          <w:color w:val="auto"/>
        </w:rPr>
        <w:t>2,867</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(199)</w:t>
      </w:r>
    </w:p>
    <w:p>
      <w:pPr>
        <w:spacing w:after="0" w:line="46"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895</w:t>
      </w:r>
    </w:p>
    <w:p>
      <w:pPr>
        <w:spacing w:after="0" w:line="248"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199</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41</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10890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line="26"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239</w:t>
      </w:r>
    </w:p>
    <w:p>
      <w:pPr>
        <w:spacing w:after="0" w:line="46" w:lineRule="exact"/>
        <w:rPr>
          <w:sz w:val="20"/>
          <w:szCs w:val="20"/>
          <w:color w:val="auto"/>
        </w:rPr>
      </w:pPr>
    </w:p>
    <w:p>
      <w:pPr>
        <w:ind w:left="1380" w:hanging="1357"/>
        <w:spacing w:after="0"/>
        <w:tabs>
          <w:tab w:leader="none" w:pos="13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656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10890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Year Ended</w:t>
      </w:r>
    </w:p>
    <w:p>
      <w:pPr>
        <w:spacing w:after="0" w:line="2"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December 31, 2021 (*)</w:t>
      </w:r>
    </w:p>
    <w:p>
      <w:pPr>
        <w:spacing w:after="0" w:line="10" w:lineRule="exact"/>
        <w:rPr>
          <w:sz w:val="20"/>
          <w:szCs w:val="20"/>
          <w:color w:val="auto"/>
        </w:rPr>
      </w:pPr>
    </w:p>
    <w:p>
      <w:pPr>
        <w:sectPr>
          <w:pgSz w:w="11900" w:h="16838" w:orient="portrait"/>
          <w:cols w:equalWidth="0" w:num="2">
            <w:col w:w="8800" w:space="720"/>
            <w:col w:w="1720"/>
          </w:cols>
          <w:pgMar w:left="320" w:top="115"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9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780" w:type="dxa"/>
            <w:vAlign w:val="bottom"/>
            <w:tcBorders>
              <w:top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15"/>
        </w:trPr>
        <w:tc>
          <w:tcPr>
            <w:tcW w:w="926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7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(1,689)</w:t>
            </w:r>
          </w:p>
        </w:tc>
      </w:tr>
      <w:tr>
        <w:trPr>
          <w:trHeight w:val="217"/>
        </w:trPr>
        <w:tc>
          <w:tcPr>
            <w:tcW w:w="9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7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w:t>
            </w:r>
          </w:p>
        </w:tc>
      </w:tr>
    </w:tbl>
    <w:p>
      <w:pPr>
        <w:spacing w:after="0" w:line="140" w:lineRule="exact"/>
        <w:rPr>
          <w:sz w:val="20"/>
          <w:szCs w:val="20"/>
          <w:color w:val="auto"/>
        </w:rPr>
      </w:pPr>
    </w:p>
    <w:p>
      <w:pPr>
        <w:ind w:left="400" w:hanging="392"/>
        <w:spacing w:after="0"/>
        <w:tabs>
          <w:tab w:leader="none" w:pos="4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Through the May 31, 2021 effective date of the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AMERICAN FINANCIAL GROUP,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NOTES TO CONSOLIDATED FINANCIAL STATEMENTS — CONTINUED</w:t>
      </w:r>
    </w:p>
    <w:p>
      <w:pPr>
        <w:spacing w:after="0" w:line="200" w:lineRule="exact"/>
        <w:rPr>
          <w:sz w:val="20"/>
          <w:szCs w:val="20"/>
          <w:color w:val="auto"/>
        </w:rPr>
      </w:pPr>
    </w:p>
    <w:p>
      <w:pPr>
        <w:spacing w:after="0" w:line="228" w:lineRule="exact"/>
        <w:rPr>
          <w:sz w:val="20"/>
          <w:szCs w:val="20"/>
          <w:color w:val="auto"/>
        </w:rPr>
      </w:pPr>
    </w:p>
    <w:p>
      <w:pPr>
        <w:ind w:left="600" w:hanging="592"/>
        <w:spacing w:after="0"/>
        <w:tabs>
          <w:tab w:leader="none" w:pos="600" w:val="left"/>
        </w:tabs>
        <w:numPr>
          <w:ilvl w:val="0"/>
          <w:numId w:val="42"/>
        </w:numPr>
        <w:rPr>
          <w:rFonts w:ascii="Arial" w:cs="Arial" w:eastAsia="Arial" w:hAnsi="Arial"/>
          <w:sz w:val="29"/>
          <w:szCs w:val="29"/>
          <w:b w:val="1"/>
          <w:bCs w:val="1"/>
          <w:color w:val="00274E"/>
        </w:rPr>
      </w:pPr>
      <w:r>
        <w:rPr>
          <w:rFonts w:ascii="Arial" w:cs="Arial" w:eastAsia="Arial" w:hAnsi="Arial"/>
          <w:sz w:val="29"/>
          <w:szCs w:val="29"/>
          <w:b w:val="1"/>
          <w:bCs w:val="1"/>
          <w:color w:val="00274E"/>
        </w:rPr>
        <w:t>Acquisitions and Sale of Businesses</w:t>
      </w:r>
    </w:p>
    <w:p>
      <w:pPr>
        <w:spacing w:after="0" w:line="271"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b w:val="1"/>
          <w:bCs w:val="1"/>
          <w:color w:val="00274E"/>
        </w:rPr>
        <w:t xml:space="preserve">Crop Risk Services </w:t>
      </w:r>
      <w:r>
        <w:rPr>
          <w:rFonts w:ascii="Arial" w:cs="Arial" w:eastAsia="Arial" w:hAnsi="Arial"/>
          <w:sz w:val="17"/>
          <w:szCs w:val="17"/>
          <w:color w:val="000000"/>
        </w:rPr>
        <w:t>On July 3, 2023, AFG completed the acquisition of Crop Risk Services (“CRS”) from American International Group (“AIG”).</w:t>
      </w:r>
      <w:r>
        <w:rPr>
          <w:rFonts w:ascii="Arial" w:cs="Arial" w:eastAsia="Arial" w:hAnsi="Arial"/>
          <w:sz w:val="20"/>
          <w:szCs w:val="20"/>
          <w:b w:val="1"/>
          <w:bCs w:val="1"/>
          <w:color w:val="00274E"/>
        </w:rPr>
        <w:t xml:space="preserve"> </w:t>
      </w:r>
      <w:r>
        <w:rPr>
          <w:rFonts w:ascii="Arial" w:cs="Arial" w:eastAsia="Arial" w:hAnsi="Arial"/>
          <w:sz w:val="17"/>
          <w:szCs w:val="17"/>
          <w:color w:val="000000"/>
        </w:rPr>
        <w:t>CRS is a primary crop insurance general agent based in Decatur, Illinois, that generated crop year 2022 gross written premiums of approximately $1.2 billion and was the seventh largest provider of multi-peril crop insurance in the United States based on 2022 premiums. At closing, AFG paid AIG $234 million (based on $24 million in net tangible assets) using cash on hand.</w:t>
      </w:r>
    </w:p>
    <w:p>
      <w:pPr>
        <w:spacing w:after="0" w:line="216" w:lineRule="exact"/>
        <w:rPr>
          <w:sz w:val="20"/>
          <w:szCs w:val="20"/>
          <w:color w:val="auto"/>
        </w:rPr>
      </w:pPr>
    </w:p>
    <w:p>
      <w:pPr>
        <w:ind w:right="160"/>
        <w:spacing w:after="0" w:line="278" w:lineRule="auto"/>
        <w:rPr>
          <w:sz w:val="20"/>
          <w:szCs w:val="20"/>
          <w:color w:val="auto"/>
        </w:rPr>
      </w:pPr>
      <w:r>
        <w:rPr>
          <w:rFonts w:ascii="Arial" w:cs="Arial" w:eastAsia="Arial" w:hAnsi="Arial"/>
          <w:sz w:val="17"/>
          <w:szCs w:val="17"/>
          <w:color w:val="auto"/>
        </w:rPr>
        <w:t>AFG expensed the $3 million in acquisition costs incurred. The purchase price was allocated to the acquired assets and liabilities of CRS based on management’s best estimate of fair value as of the acquisition date. The purchase price allocation is shown below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July 3, 2023</w:t>
            </w:r>
          </w:p>
        </w:tc>
      </w:tr>
      <w:tr>
        <w:trPr>
          <w:trHeight w:val="211"/>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at purchase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r>
      <w:tr>
        <w:trPr>
          <w:trHeight w:val="216"/>
        </w:trPr>
        <w:tc>
          <w:tcPr>
            <w:tcW w:w="9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Tangible assets acquired:</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5"/>
        </w:trPr>
        <w:tc>
          <w:tcPr>
            <w:tcW w:w="970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7"/>
        </w:trPr>
        <w:tc>
          <w:tcPr>
            <w:tcW w:w="9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Agents’ balances and premiums receivable</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r>
      <w:tr>
        <w:trPr>
          <w:trHeight w:val="215"/>
        </w:trPr>
        <w:tc>
          <w:tcPr>
            <w:tcW w:w="97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9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tangible assets acquired</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r>
      <w:tr>
        <w:trPr>
          <w:trHeight w:val="216"/>
        </w:trPr>
        <w:tc>
          <w:tcPr>
            <w:tcW w:w="9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 acquired:</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5"/>
        </w:trPr>
        <w:tc>
          <w:tcPr>
            <w:tcW w:w="97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liabilities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r>
      <w:tr>
        <w:trPr>
          <w:trHeight w:val="210"/>
        </w:trPr>
        <w:tc>
          <w:tcPr>
            <w:tcW w:w="9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liabilities acquired</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r>
      <w:tr>
        <w:trPr>
          <w:trHeight w:val="209"/>
        </w:trPr>
        <w:tc>
          <w:tcPr>
            <w:tcW w:w="9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tangible assets acquired, at fair value</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35"/>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Excess purchase price over net tangible assets acquired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9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16"/>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Allocation of excess purchase price:</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5"/>
        </w:trPr>
        <w:tc>
          <w:tcPr>
            <w:tcW w:w="9700" w:type="dxa"/>
            <w:vAlign w:val="bottom"/>
          </w:tcPr>
          <w:p>
            <w:pPr>
              <w:ind w:left="240"/>
              <w:spacing w:after="0"/>
              <w:rPr>
                <w:sz w:val="20"/>
                <w:szCs w:val="20"/>
                <w:color w:val="auto"/>
              </w:rPr>
            </w:pPr>
            <w:r>
              <w:rPr>
                <w:rFonts w:ascii="Arial" w:cs="Arial" w:eastAsia="Arial" w:hAnsi="Arial"/>
                <w:sz w:val="16"/>
                <w:szCs w:val="16"/>
                <w:color w:val="auto"/>
              </w:rPr>
              <w:t>Intangible assets acquired (*)</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217"/>
        </w:trPr>
        <w:tc>
          <w:tcPr>
            <w:tcW w:w="9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tax asset (*)</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97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Goodwill</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r>
      <w:tr>
        <w:trPr>
          <w:trHeight w:val="235"/>
        </w:trPr>
        <w:tc>
          <w:tcPr>
            <w:tcW w:w="97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400" w:hanging="392"/>
        <w:spacing w:after="0"/>
        <w:tabs>
          <w:tab w:leader="none" w:pos="4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Included in Other assets in AFG’s Balance Sheet.</w:t>
      </w:r>
    </w:p>
    <w:p>
      <w:pPr>
        <w:spacing w:after="0" w:line="250"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In the purchase price allocation, $124 million of the purchase price was recognized as finite lived intangible assets primarily related to existing agency relationships, which will be amortized over an average estimated life of approximately 14 years. The acquisition resulted in the recognition of</w:t>
      </w:r>
    </w:p>
    <w:p>
      <w:pPr>
        <w:spacing w:after="0" w:line="1"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$85 million in GAAP basis goodwill based on the excess of the purchase price over the fair value of the net assets acquired. The acquisition resulted in $79 million of tax basis goodwill, which is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AMERICAN FINANCIAL GROUP,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NOTES TO CONSOLIDATED FINANCIAL STATEMENTS — CONTINUED</w:t>
      </w:r>
    </w:p>
    <w:p>
      <w:pPr>
        <w:spacing w:after="0" w:line="200" w:lineRule="exact"/>
        <w:rPr>
          <w:sz w:val="20"/>
          <w:szCs w:val="20"/>
          <w:color w:val="auto"/>
        </w:rPr>
      </w:pPr>
    </w:p>
    <w:p>
      <w:pPr>
        <w:spacing w:after="0" w:line="239" w:lineRule="exact"/>
        <w:rPr>
          <w:sz w:val="20"/>
          <w:szCs w:val="20"/>
          <w:color w:val="auto"/>
        </w:rPr>
      </w:pPr>
    </w:p>
    <w:p>
      <w:pPr>
        <w:ind w:right="160"/>
        <w:spacing w:after="0" w:line="248" w:lineRule="auto"/>
        <w:rPr>
          <w:sz w:val="20"/>
          <w:szCs w:val="20"/>
          <w:color w:val="auto"/>
        </w:rPr>
      </w:pPr>
      <w:r>
        <w:rPr>
          <w:rFonts w:ascii="Arial" w:cs="Arial" w:eastAsia="Arial" w:hAnsi="Arial"/>
          <w:sz w:val="20"/>
          <w:szCs w:val="20"/>
          <w:b w:val="1"/>
          <w:bCs w:val="1"/>
          <w:color w:val="00274E"/>
        </w:rPr>
        <w:t xml:space="preserve">Verikai </w:t>
      </w:r>
      <w:r>
        <w:rPr>
          <w:rFonts w:ascii="Arial" w:cs="Arial" w:eastAsia="Arial" w:hAnsi="Arial"/>
          <w:sz w:val="17"/>
          <w:szCs w:val="17"/>
          <w:color w:val="000000"/>
        </w:rPr>
        <w:t>In December 2021, AFG acquired Verikai, Inc., a machine learning and artificial intelligence company that utilizes a predictive risk tool to</w:t>
      </w:r>
      <w:r>
        <w:rPr>
          <w:rFonts w:ascii="Arial" w:cs="Arial" w:eastAsia="Arial" w:hAnsi="Arial"/>
          <w:sz w:val="20"/>
          <w:szCs w:val="20"/>
          <w:b w:val="1"/>
          <w:bCs w:val="1"/>
          <w:color w:val="00274E"/>
        </w:rPr>
        <w:t xml:space="preserve"> </w:t>
      </w:r>
      <w:r>
        <w:rPr>
          <w:rFonts w:ascii="Arial" w:cs="Arial" w:eastAsia="Arial" w:hAnsi="Arial"/>
          <w:sz w:val="17"/>
          <w:szCs w:val="17"/>
          <w:color w:val="000000"/>
        </w:rPr>
        <w:t>assess insurance risk, for $120 million using cash on hand at the parent. Verikai continues to operate as a stand-alone company to service its insurance clients. AFG expects to benefit from Verikai’s predictive risk tool as it enters the medical stop loss insurance business, with a primary focus on small and underserved risks.</w:t>
      </w:r>
    </w:p>
    <w:p>
      <w:pPr>
        <w:spacing w:after="0" w:line="216" w:lineRule="exact"/>
        <w:rPr>
          <w:sz w:val="20"/>
          <w:szCs w:val="20"/>
          <w:color w:val="auto"/>
        </w:rPr>
      </w:pPr>
    </w:p>
    <w:p>
      <w:pPr>
        <w:ind w:right="200"/>
        <w:spacing w:after="0" w:line="284" w:lineRule="auto"/>
        <w:rPr>
          <w:sz w:val="20"/>
          <w:szCs w:val="20"/>
          <w:color w:val="auto"/>
        </w:rPr>
      </w:pPr>
      <w:r>
        <w:rPr>
          <w:rFonts w:ascii="Arial" w:cs="Arial" w:eastAsia="Arial" w:hAnsi="Arial"/>
          <w:sz w:val="17"/>
          <w:szCs w:val="17"/>
          <w:color w:val="auto"/>
        </w:rPr>
        <w:t>AFG expensed the approximately $1 million in acquisition costs incurred. The purchase price was allocated to the acquired assets and liabilities of Verikai based on management’s best estimate of fair value as of the acquisition date. The purchase price allocation is shown below (in millions).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December 6, 2021</w:t>
            </w:r>
          </w:p>
        </w:tc>
      </w:tr>
      <w:tr>
        <w:trPr>
          <w:trHeight w:val="197"/>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price:</w:t>
            </w:r>
          </w:p>
        </w:tc>
        <w:tc>
          <w:tcPr>
            <w:tcW w:w="6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5"/>
        </w:trPr>
        <w:tc>
          <w:tcPr>
            <w:tcW w:w="9700" w:type="dxa"/>
            <w:vAlign w:val="bottom"/>
          </w:tcPr>
          <w:p>
            <w:pPr>
              <w:ind w:left="240"/>
              <w:spacing w:after="0"/>
              <w:rPr>
                <w:sz w:val="20"/>
                <w:szCs w:val="20"/>
                <w:color w:val="auto"/>
              </w:rPr>
            </w:pPr>
            <w:r>
              <w:rPr>
                <w:rFonts w:ascii="Arial" w:cs="Arial" w:eastAsia="Arial" w:hAnsi="Arial"/>
                <w:sz w:val="16"/>
                <w:szCs w:val="16"/>
                <w:color w:val="auto"/>
              </w:rPr>
              <w:t>Cash</w:t>
            </w: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217"/>
        </w:trPr>
        <w:tc>
          <w:tcPr>
            <w:tcW w:w="9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Fair value of contingent consideration</w:t>
            </w:r>
          </w:p>
        </w:tc>
        <w:tc>
          <w:tcPr>
            <w:tcW w:w="6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09"/>
        </w:trPr>
        <w:tc>
          <w:tcPr>
            <w:tcW w:w="9700" w:type="dxa"/>
            <w:vAlign w:val="bottom"/>
          </w:tcPr>
          <w:p>
            <w:pPr>
              <w:ind w:left="460"/>
              <w:spacing w:after="0"/>
              <w:rPr>
                <w:sz w:val="20"/>
                <w:szCs w:val="20"/>
                <w:color w:val="auto"/>
              </w:rPr>
            </w:pPr>
            <w:r>
              <w:rPr>
                <w:rFonts w:ascii="Arial" w:cs="Arial" w:eastAsia="Arial" w:hAnsi="Arial"/>
                <w:sz w:val="16"/>
                <w:szCs w:val="16"/>
                <w:color w:val="auto"/>
              </w:rPr>
              <w:t>Total purchase price</w:t>
            </w:r>
          </w:p>
        </w:tc>
        <w:tc>
          <w:tcPr>
            <w:tcW w:w="6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143</w:t>
            </w:r>
          </w:p>
        </w:tc>
      </w:tr>
      <w:tr>
        <w:trPr>
          <w:trHeight w:val="217"/>
        </w:trPr>
        <w:tc>
          <w:tcPr>
            <w:tcW w:w="9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5"/>
        </w:trPr>
        <w:tc>
          <w:tcPr>
            <w:tcW w:w="9700" w:type="dxa"/>
            <w:vAlign w:val="bottom"/>
          </w:tcPr>
          <w:p>
            <w:pPr>
              <w:ind w:left="20"/>
              <w:spacing w:after="0"/>
              <w:rPr>
                <w:sz w:val="20"/>
                <w:szCs w:val="20"/>
                <w:color w:val="auto"/>
              </w:rPr>
            </w:pPr>
            <w:r>
              <w:rPr>
                <w:rFonts w:ascii="Arial" w:cs="Arial" w:eastAsia="Arial" w:hAnsi="Arial"/>
                <w:sz w:val="16"/>
                <w:szCs w:val="16"/>
                <w:color w:val="auto"/>
              </w:rPr>
              <w:t>Tangible assets acquired</w:t>
            </w:r>
          </w:p>
        </w:tc>
        <w:tc>
          <w:tcPr>
            <w:tcW w:w="6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7"/>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 acquired</w:t>
            </w:r>
          </w:p>
        </w:tc>
        <w:tc>
          <w:tcPr>
            <w:tcW w:w="6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9"/>
        </w:trPr>
        <w:tc>
          <w:tcPr>
            <w:tcW w:w="97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Net tangible assets acquired, at fair value</w:t>
            </w:r>
          </w:p>
        </w:tc>
        <w:tc>
          <w:tcPr>
            <w:tcW w:w="6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35"/>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Excess purchase price over net tangible assets acquired</w:t>
            </w: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9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16"/>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Allocation of excess purchase price:</w:t>
            </w: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5"/>
        </w:trPr>
        <w:tc>
          <w:tcPr>
            <w:tcW w:w="9700" w:type="dxa"/>
            <w:vAlign w:val="bottom"/>
          </w:tcPr>
          <w:p>
            <w:pPr>
              <w:ind w:left="240"/>
              <w:spacing w:after="0"/>
              <w:rPr>
                <w:sz w:val="20"/>
                <w:szCs w:val="20"/>
                <w:color w:val="auto"/>
              </w:rPr>
            </w:pPr>
            <w:r>
              <w:rPr>
                <w:rFonts w:ascii="Arial" w:cs="Arial" w:eastAsia="Arial" w:hAnsi="Arial"/>
                <w:sz w:val="16"/>
                <w:szCs w:val="16"/>
                <w:color w:val="auto"/>
              </w:rPr>
              <w:t>Intangible assets acquired (*)</w:t>
            </w: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17"/>
        </w:trPr>
        <w:tc>
          <w:tcPr>
            <w:tcW w:w="9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tax on intangible assets acquired (*)</w:t>
            </w:r>
          </w:p>
        </w:tc>
        <w:tc>
          <w:tcPr>
            <w:tcW w:w="6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5"/>
        </w:trPr>
        <w:tc>
          <w:tcPr>
            <w:tcW w:w="97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Goodwill</w:t>
            </w:r>
          </w:p>
        </w:tc>
        <w:tc>
          <w:tcPr>
            <w:tcW w:w="6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r>
      <w:tr>
        <w:trPr>
          <w:trHeight w:val="235"/>
        </w:trPr>
        <w:tc>
          <w:tcPr>
            <w:tcW w:w="97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ind w:left="400" w:hanging="392"/>
        <w:spacing w:after="0"/>
        <w:tabs>
          <w:tab w:leader="none" w:pos="4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Included in Other assets in AFG’s Balance Sheet.</w:t>
      </w:r>
    </w:p>
    <w:p>
      <w:pPr>
        <w:spacing w:after="0" w:line="250"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In the purchase price allocation, $76 million of the purchase price was recognized as finite lived intangible assets related to acquired technology and customer relationships, which will be amortized over an average estimated life of approximately 10 years. The acquisition resulted in the recognition of $70 million in goodwill based on the excess of the purchase price over the fair value of the net assets acquired. The goodwill represents the fair value of acquired intangible assets that do not qualify for separate recognition, including the value of Verikai’s future technology and opportunities and assembled workforce.</w:t>
      </w:r>
    </w:p>
    <w:p>
      <w:pPr>
        <w:spacing w:after="0" w:line="206" w:lineRule="exact"/>
        <w:rPr>
          <w:sz w:val="20"/>
          <w:szCs w:val="20"/>
          <w:color w:val="auto"/>
        </w:rPr>
      </w:pPr>
    </w:p>
    <w:p>
      <w:pPr>
        <w:ind w:right="240"/>
        <w:spacing w:after="0" w:line="301" w:lineRule="auto"/>
        <w:rPr>
          <w:sz w:val="20"/>
          <w:szCs w:val="20"/>
          <w:color w:val="auto"/>
        </w:rPr>
      </w:pPr>
      <w:r>
        <w:rPr>
          <w:rFonts w:ascii="Arial" w:cs="Arial" w:eastAsia="Arial" w:hAnsi="Arial"/>
          <w:sz w:val="17"/>
          <w:szCs w:val="17"/>
          <w:color w:val="auto"/>
        </w:rPr>
        <w:t>In the third quarter of 2022, AFG acquired an insurance agency business for $12 million, including $10 million in cash. Virtually all of the purchase price was recorded as an amortizing intangible asset representing the fair value of the agency’s customer base at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 xml:space="preserve">Annuity Operations  </w:t>
      </w:r>
      <w:r>
        <w:rPr>
          <w:rFonts w:ascii="Arial" w:cs="Arial" w:eastAsia="Arial" w:hAnsi="Arial"/>
          <w:sz w:val="17"/>
          <w:szCs w:val="17"/>
          <w:color w:val="000000"/>
        </w:rPr>
        <w:t>See</w:t>
      </w:r>
      <w:r>
        <w:rPr>
          <w:rFonts w:ascii="Arial" w:cs="Arial" w:eastAsia="Arial" w:hAnsi="Arial"/>
          <w:sz w:val="20"/>
          <w:szCs w:val="20"/>
          <w:b w:val="1"/>
          <w:bCs w:val="1"/>
          <w:color w:val="00274E"/>
        </w:rPr>
        <w:t xml:space="preserve"> </w:t>
      </w:r>
      <w:r>
        <w:rPr>
          <w:rFonts w:ascii="Arial" w:cs="Arial" w:eastAsia="Arial" w:hAnsi="Arial"/>
          <w:sz w:val="17"/>
          <w:szCs w:val="17"/>
          <w:i w:val="1"/>
          <w:iCs w:val="1"/>
          <w:color w:val="000000"/>
        </w:rPr>
        <w:t>Note B — “Discontinued Operations”</w:t>
      </w:r>
      <w:r>
        <w:rPr>
          <w:rFonts w:ascii="Arial" w:cs="Arial" w:eastAsia="Arial" w:hAnsi="Arial"/>
          <w:sz w:val="20"/>
          <w:szCs w:val="20"/>
          <w:b w:val="1"/>
          <w:bCs w:val="1"/>
          <w:color w:val="00274E"/>
        </w:rPr>
        <w:t xml:space="preserve"> </w:t>
      </w:r>
      <w:r>
        <w:rPr>
          <w:rFonts w:ascii="Arial" w:cs="Arial" w:eastAsia="Arial" w:hAnsi="Arial"/>
          <w:sz w:val="17"/>
          <w:szCs w:val="17"/>
          <w:color w:val="000000"/>
        </w:rPr>
        <w:t>for information on the sale of AFG’s annuity operations.</w:t>
      </w:r>
    </w:p>
    <w:p>
      <w:pPr>
        <w:spacing w:after="0" w:line="243" w:lineRule="exact"/>
        <w:rPr>
          <w:sz w:val="20"/>
          <w:szCs w:val="20"/>
          <w:color w:val="auto"/>
        </w:rPr>
      </w:pPr>
    </w:p>
    <w:p>
      <w:pPr>
        <w:ind w:right="40"/>
        <w:spacing w:after="0" w:line="249" w:lineRule="auto"/>
        <w:rPr>
          <w:sz w:val="20"/>
          <w:szCs w:val="20"/>
          <w:color w:val="auto"/>
        </w:rPr>
      </w:pPr>
      <w:r>
        <w:rPr>
          <w:rFonts w:ascii="Arial" w:cs="Arial" w:eastAsia="Arial" w:hAnsi="Arial"/>
          <w:sz w:val="20"/>
          <w:szCs w:val="20"/>
          <w:b w:val="1"/>
          <w:bCs w:val="1"/>
          <w:color w:val="00274E"/>
        </w:rPr>
        <w:t xml:space="preserve">Neon </w:t>
      </w:r>
      <w:r>
        <w:rPr>
          <w:rFonts w:ascii="Arial" w:cs="Arial" w:eastAsia="Arial" w:hAnsi="Arial"/>
          <w:sz w:val="17"/>
          <w:szCs w:val="17"/>
          <w:color w:val="000000"/>
        </w:rPr>
        <w:t>In December 2019, AFG initiated actions to exit the Lloyd’s of London insurance market, which included placing Neon Underwriting Ltd. and</w:t>
      </w:r>
      <w:r>
        <w:rPr>
          <w:rFonts w:ascii="Arial" w:cs="Arial" w:eastAsia="Arial" w:hAnsi="Arial"/>
          <w:sz w:val="20"/>
          <w:szCs w:val="20"/>
          <w:b w:val="1"/>
          <w:bCs w:val="1"/>
          <w:color w:val="00274E"/>
        </w:rPr>
        <w:t xml:space="preserve"> </w:t>
      </w:r>
      <w:r>
        <w:rPr>
          <w:rFonts w:ascii="Arial" w:cs="Arial" w:eastAsia="Arial" w:hAnsi="Arial"/>
          <w:sz w:val="17"/>
          <w:szCs w:val="17"/>
          <w:color w:val="000000"/>
        </w:rPr>
        <w:t>its other Lloyd’s subsidiaries in run-off. Neon and its predecessor, Marketform, failed to achieve AFG’s profitability objectives since AFG’s purchase of Marketform in 2008.</w:t>
      </w:r>
    </w:p>
    <w:p>
      <w:pPr>
        <w:spacing w:after="0" w:line="212" w:lineRule="exact"/>
        <w:rPr>
          <w:sz w:val="20"/>
          <w:szCs w:val="20"/>
          <w:color w:val="auto"/>
        </w:rPr>
      </w:pPr>
    </w:p>
    <w:p>
      <w:pPr>
        <w:ind w:right="540"/>
        <w:spacing w:after="0" w:line="284" w:lineRule="auto"/>
        <w:rPr>
          <w:sz w:val="20"/>
          <w:szCs w:val="20"/>
          <w:color w:val="auto"/>
        </w:rPr>
      </w:pPr>
      <w:r>
        <w:rPr>
          <w:rFonts w:ascii="Arial" w:cs="Arial" w:eastAsia="Arial" w:hAnsi="Arial"/>
          <w:sz w:val="17"/>
          <w:szCs w:val="17"/>
          <w:color w:val="auto"/>
        </w:rPr>
        <w:t>On December 31, 2020, AFG completed the sale of GAI Holding Bermuda and its subsidiaries, comprising the legal entities that own Neon, to RiverStone Holdings Limited for proceeds of $6 million. The sale completed AFG’s exit from the Lloyd’s of London insurance market.</w:t>
      </w:r>
    </w:p>
    <w:p>
      <w:pPr>
        <w:spacing w:after="0" w:line="199" w:lineRule="exact"/>
        <w:rPr>
          <w:sz w:val="20"/>
          <w:szCs w:val="20"/>
          <w:color w:val="auto"/>
        </w:rPr>
      </w:pPr>
    </w:p>
    <w:p>
      <w:pPr>
        <w:ind w:right="660"/>
        <w:spacing w:after="0" w:line="284" w:lineRule="auto"/>
        <w:rPr>
          <w:sz w:val="20"/>
          <w:szCs w:val="20"/>
          <w:color w:val="auto"/>
        </w:rPr>
      </w:pPr>
      <w:r>
        <w:rPr>
          <w:rFonts w:ascii="Arial" w:cs="Arial" w:eastAsia="Arial" w:hAnsi="Arial"/>
          <w:sz w:val="17"/>
          <w:szCs w:val="17"/>
          <w:color w:val="auto"/>
        </w:rPr>
        <w:t>In the second quarter of 2021, AFG received an additional $10 million of cash proceeds and recognized a pretax gain of $4 million related to contingent consideration received on the sale of Neon.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AMERICAN FINANCIAL GROUP,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NOTES TO CONSOLIDATED FINANCIAL STATEMENTS — CONTINUED</w:t>
      </w:r>
    </w:p>
    <w:p>
      <w:pPr>
        <w:spacing w:after="0" w:line="200" w:lineRule="exact"/>
        <w:rPr>
          <w:sz w:val="20"/>
          <w:szCs w:val="20"/>
          <w:color w:val="auto"/>
        </w:rPr>
      </w:pPr>
    </w:p>
    <w:p>
      <w:pPr>
        <w:spacing w:after="0" w:line="228" w:lineRule="exact"/>
        <w:rPr>
          <w:sz w:val="20"/>
          <w:szCs w:val="20"/>
          <w:color w:val="auto"/>
        </w:rPr>
      </w:pPr>
    </w:p>
    <w:p>
      <w:pPr>
        <w:ind w:left="620" w:hanging="612"/>
        <w:spacing w:after="0"/>
        <w:tabs>
          <w:tab w:leader="none" w:pos="620" w:val="left"/>
        </w:tabs>
        <w:numPr>
          <w:ilvl w:val="0"/>
          <w:numId w:val="45"/>
        </w:numPr>
        <w:rPr>
          <w:rFonts w:ascii="Arial" w:cs="Arial" w:eastAsia="Arial" w:hAnsi="Arial"/>
          <w:sz w:val="29"/>
          <w:szCs w:val="29"/>
          <w:b w:val="1"/>
          <w:bCs w:val="1"/>
          <w:color w:val="00274E"/>
        </w:rPr>
      </w:pPr>
      <w:r>
        <w:rPr>
          <w:rFonts w:ascii="Arial" w:cs="Arial" w:eastAsia="Arial" w:hAnsi="Arial"/>
          <w:sz w:val="29"/>
          <w:szCs w:val="29"/>
          <w:b w:val="1"/>
          <w:bCs w:val="1"/>
          <w:color w:val="00274E"/>
        </w:rPr>
        <w:t>Segments of Operations</w:t>
      </w:r>
    </w:p>
    <w:p>
      <w:pPr>
        <w:spacing w:after="0" w:line="272" w:lineRule="exact"/>
        <w:rPr>
          <w:sz w:val="20"/>
          <w:szCs w:val="20"/>
          <w:color w:val="auto"/>
        </w:rPr>
      </w:pPr>
    </w:p>
    <w:p>
      <w:pPr>
        <w:jc w:val="both"/>
        <w:ind w:right="240"/>
        <w:spacing w:after="0" w:line="266" w:lineRule="auto"/>
        <w:rPr>
          <w:sz w:val="20"/>
          <w:szCs w:val="20"/>
          <w:color w:val="auto"/>
        </w:rPr>
      </w:pPr>
      <w:r>
        <w:rPr>
          <w:rFonts w:ascii="Arial" w:cs="Arial" w:eastAsia="Arial" w:hAnsi="Arial"/>
          <w:sz w:val="17"/>
          <w:szCs w:val="17"/>
          <w:color w:val="auto"/>
        </w:rPr>
        <w:t xml:space="preserve">Subsequent to the sale of its annuity operations, see </w:t>
      </w:r>
      <w:r>
        <w:rPr>
          <w:rFonts w:ascii="Arial" w:cs="Arial" w:eastAsia="Arial" w:hAnsi="Arial"/>
          <w:sz w:val="17"/>
          <w:szCs w:val="17"/>
          <w:i w:val="1"/>
          <w:iCs w:val="1"/>
          <w:color w:val="auto"/>
        </w:rPr>
        <w:t>Note B — “Discontinued Operations</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AFG manages its business as two segments: Property and casualty insurance and Other, which includes holding company assets and costs, and operations attributable to the noncontrolling interests of the managed investment entities.</w:t>
      </w:r>
    </w:p>
    <w:p>
      <w:pPr>
        <w:spacing w:after="0" w:line="201"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AFG reports its property and casualty insurance business in the following Specialty sub-segments: (i) Property and transportation, which includes physical damage and liability coverage for buses and trucks and other specialty transportation niches, inland and ocean marine, agricultural-related products and other commercial property coverages, (ii) Specialty casualty, which includes primarily excess and surplus, executive and professional liability, general liability, umbrella and excess liability, specialty coverages in targeted markets, customized programs for small to mid-sized businesses and workers’ compensation insurance, and (iii) Specialty financial, which includes risk management insurance programs for lending and leasing institutions (including equipment leasing and collateral and lender-placed mortgage property insurance), fidelity and surety products and trade credit insurance. Premiums and underwriting profit included under Other specialty represent business assumed by AFG’s internal reinsurance program from the operations that make up AFG’s other Specialty sub-segments and amortization of a deferred gain on a retroactive reinsurance transaction related to the sale of a business. AFG’s reportable segments and their components were determined based primarily upon similar economic characteristics, products and services.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Sales of property and casualty insurance outside of the United States represented 3% of AFG’s revenues in 2023 and 4% in both 2022 and 2021.</w:t>
      </w:r>
    </w:p>
    <w:p>
      <w:pPr>
        <w:spacing w:after="0" w:line="250"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The following tables (in millions) show AFG’s assets, revenues and earnings from continuing operations before income taxes by segment and sub-segment.</w:t>
      </w:r>
    </w:p>
    <w:p>
      <w:pPr>
        <w:sectPr>
          <w:pgSz w:w="11900" w:h="16838" w:orient="portrait"/>
          <w:cols w:equalWidth="0" w:num="1">
            <w:col w:w="11240"/>
          </w:cols>
          <w:pgMar w:left="320" w:top="115" w:right="339" w:bottom="1440" w:gutter="0" w:footer="0" w:header="0"/>
        </w:sect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Assets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Property and casualty insurance (*)</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Total assets</w:t>
      </w:r>
    </w:p>
    <w:p>
      <w:pPr>
        <w:spacing w:after="0" w:line="132" w:lineRule="exact"/>
        <w:rPr>
          <w:sz w:val="20"/>
          <w:szCs w:val="20"/>
          <w:color w:val="auto"/>
        </w:rPr>
      </w:pPr>
    </w:p>
    <w:p>
      <w:pPr>
        <w:ind w:left="400" w:hanging="392"/>
        <w:spacing w:after="0"/>
        <w:tabs>
          <w:tab w:leader="none" w:pos="4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Not allocable to sub-segments.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color w:val="auto"/>
              </w:rPr>
              <w:t>2022</w:t>
            </w:r>
          </w:p>
        </w:tc>
      </w:tr>
      <w:tr>
        <w:trPr>
          <w:trHeight w:val="414"/>
        </w:trPr>
        <w:tc>
          <w:tcPr>
            <w:tcW w:w="11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24,475</w:t>
            </w:r>
          </w:p>
        </w:tc>
        <w:tc>
          <w:tcPr>
            <w:tcW w:w="10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22,225</w:t>
            </w:r>
          </w:p>
        </w:tc>
      </w:tr>
      <w:tr>
        <w:trPr>
          <w:trHeight w:val="217"/>
        </w:trPr>
        <w:tc>
          <w:tcPr>
            <w:tcW w:w="8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6,606</w:t>
            </w:r>
          </w:p>
        </w:tc>
      </w:tr>
      <w:tr>
        <w:trPr>
          <w:trHeight w:val="210"/>
        </w:trPr>
        <w:tc>
          <w:tcPr>
            <w:tcW w:w="82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29,787</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28,831</w:t>
            </w:r>
          </w:p>
        </w:tc>
      </w:tr>
      <w:tr>
        <w:trPr>
          <w:trHeight w:val="21"/>
        </w:trPr>
        <w:tc>
          <w:tcPr>
            <w:tcW w:w="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512"/>
        </w:trPr>
        <w:tc>
          <w:tcPr>
            <w:tcW w:w="820" w:type="dxa"/>
            <w:vAlign w:val="bottom"/>
          </w:tcPr>
          <w:p>
            <w:pPr>
              <w:jc w:val="right"/>
              <w:ind w:right="424"/>
              <w:spacing w:after="0"/>
              <w:rPr>
                <w:sz w:val="20"/>
                <w:szCs w:val="20"/>
                <w:color w:val="auto"/>
              </w:rPr>
            </w:pPr>
            <w:r>
              <w:rPr>
                <w:rFonts w:ascii="Arial" w:cs="Arial" w:eastAsia="Arial" w:hAnsi="Arial"/>
                <w:sz w:val="14"/>
                <w:szCs w:val="14"/>
                <w:color w:val="auto"/>
                <w:w w:val="96"/>
              </w:rPr>
              <w:t>2023</w:t>
            </w:r>
          </w:p>
        </w:tc>
        <w:tc>
          <w:tcPr>
            <w:tcW w:w="280" w:type="dxa"/>
            <w:vAlign w:val="bottom"/>
          </w:tcPr>
          <w:p>
            <w:pPr>
              <w:spacing w:after="0"/>
              <w:rPr>
                <w:sz w:val="24"/>
                <w:szCs w:val="24"/>
                <w:color w:val="auto"/>
              </w:rPr>
            </w:pPr>
          </w:p>
        </w:tc>
        <w:tc>
          <w:tcPr>
            <w:tcW w:w="940" w:type="dxa"/>
            <w:vAlign w:val="bottom"/>
          </w:tcPr>
          <w:p>
            <w:pPr>
              <w:jc w:val="right"/>
              <w:ind w:right="343"/>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ind w:right="343"/>
              <w:spacing w:after="0"/>
              <w:rPr>
                <w:sz w:val="20"/>
                <w:szCs w:val="20"/>
                <w:color w:val="auto"/>
              </w:rPr>
            </w:pPr>
            <w:r>
              <w:rPr>
                <w:rFonts w:ascii="Arial" w:cs="Arial" w:eastAsia="Arial" w:hAnsi="Arial"/>
                <w:sz w:val="14"/>
                <w:szCs w:val="14"/>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-920115</wp:posOffset>
            </wp:positionV>
            <wp:extent cx="7115175"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-645795</wp:posOffset>
            </wp:positionV>
            <wp:extent cx="7115175"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140" w:space="720"/>
            <w:col w:w="3380"/>
          </w:cols>
          <w:pgMar w:left="320" w:top="115" w:right="33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4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Property and casualty insurance:</w:t>
            </w: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7"/>
        </w:trPr>
        <w:tc>
          <w:tcPr>
            <w:tcW w:w="7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Premiums earned:</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5"/>
        </w:trPr>
        <w:tc>
          <w:tcPr>
            <w:tcW w:w="7400" w:type="dxa"/>
            <w:vAlign w:val="bottom"/>
          </w:tcPr>
          <w:p>
            <w:pPr>
              <w:ind w:left="680"/>
              <w:spacing w:after="0"/>
              <w:rPr>
                <w:sz w:val="20"/>
                <w:szCs w:val="20"/>
                <w:color w:val="auto"/>
              </w:rPr>
            </w:pPr>
            <w:r>
              <w:rPr>
                <w:rFonts w:ascii="Arial" w:cs="Arial" w:eastAsia="Arial" w:hAnsi="Arial"/>
                <w:sz w:val="16"/>
                <w:szCs w:val="16"/>
                <w:color w:val="auto"/>
              </w:rPr>
              <w:t>Specialty</w:t>
            </w: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7"/>
        </w:trPr>
        <w:tc>
          <w:tcPr>
            <w:tcW w:w="740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Property and transportation</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2,144</w:t>
            </w:r>
          </w:p>
        </w:tc>
      </w:tr>
      <w:tr>
        <w:trPr>
          <w:trHeight w:val="215"/>
        </w:trPr>
        <w:tc>
          <w:tcPr>
            <w:tcW w:w="7400" w:type="dxa"/>
            <w:vAlign w:val="bottom"/>
          </w:tcPr>
          <w:p>
            <w:pPr>
              <w:ind w:left="1120"/>
              <w:spacing w:after="0"/>
              <w:rPr>
                <w:sz w:val="20"/>
                <w:szCs w:val="20"/>
                <w:color w:val="auto"/>
              </w:rPr>
            </w:pPr>
            <w:r>
              <w:rPr>
                <w:rFonts w:ascii="Arial" w:cs="Arial" w:eastAsia="Arial" w:hAnsi="Arial"/>
                <w:sz w:val="16"/>
                <w:szCs w:val="16"/>
                <w:color w:val="auto"/>
              </w:rPr>
              <w:t>Specialty casualty</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2,886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2,659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2,408</w:t>
            </w:r>
          </w:p>
        </w:tc>
      </w:tr>
      <w:tr>
        <w:trPr>
          <w:trHeight w:val="217"/>
        </w:trPr>
        <w:tc>
          <w:tcPr>
            <w:tcW w:w="740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Specialty financial</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w:t>
            </w:r>
          </w:p>
        </w:tc>
      </w:tr>
      <w:tr>
        <w:trPr>
          <w:trHeight w:val="215"/>
        </w:trPr>
        <w:tc>
          <w:tcPr>
            <w:tcW w:w="740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Other specialty</w:t>
            </w: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w:t>
            </w:r>
          </w:p>
        </w:tc>
      </w:tr>
      <w:tr>
        <w:trPr>
          <w:trHeight w:val="210"/>
        </w:trPr>
        <w:tc>
          <w:tcPr>
            <w:tcW w:w="740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Total premiums earned</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5,404</w:t>
            </w:r>
          </w:p>
        </w:tc>
      </w:tr>
      <w:tr>
        <w:trPr>
          <w:trHeight w:val="215"/>
        </w:trPr>
        <w:tc>
          <w:tcPr>
            <w:tcW w:w="7400" w:type="dxa"/>
            <w:vAlign w:val="bottom"/>
          </w:tcPr>
          <w:p>
            <w:pPr>
              <w:ind w:left="360"/>
              <w:spacing w:after="0"/>
              <w:rPr>
                <w:sz w:val="20"/>
                <w:szCs w:val="20"/>
                <w:color w:val="auto"/>
              </w:rPr>
            </w:pPr>
            <w:r>
              <w:rPr>
                <w:rFonts w:ascii="Arial" w:cs="Arial" w:eastAsia="Arial" w:hAnsi="Arial"/>
                <w:sz w:val="16"/>
                <w:szCs w:val="16"/>
                <w:color w:val="auto"/>
              </w:rPr>
              <w:t>Net investment income</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683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663</w:t>
            </w:r>
          </w:p>
        </w:tc>
      </w:tr>
      <w:tr>
        <w:trPr>
          <w:trHeight w:val="217"/>
        </w:trPr>
        <w:tc>
          <w:tcPr>
            <w:tcW w:w="7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income</w:t>
            </w: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09"/>
        </w:trPr>
        <w:tc>
          <w:tcPr>
            <w:tcW w:w="7400" w:type="dxa"/>
            <w:vAlign w:val="bottom"/>
          </w:tcPr>
          <w:p>
            <w:pPr>
              <w:ind w:left="680"/>
              <w:spacing w:after="0"/>
              <w:rPr>
                <w:sz w:val="20"/>
                <w:szCs w:val="20"/>
                <w:color w:val="auto"/>
              </w:rPr>
            </w:pPr>
            <w:r>
              <w:rPr>
                <w:rFonts w:ascii="Arial" w:cs="Arial" w:eastAsia="Arial" w:hAnsi="Arial"/>
                <w:sz w:val="16"/>
                <w:szCs w:val="16"/>
                <w:color w:val="auto"/>
              </w:rPr>
              <w:t>Total property and casualty insurance</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7,276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6,780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6,094</w:t>
            </w: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Real estate-related entities (*)</w:t>
            </w:r>
          </w:p>
        </w:tc>
        <w:tc>
          <w:tcPr>
            <w:tcW w:w="4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10"/>
        </w:trPr>
        <w:tc>
          <w:tcPr>
            <w:tcW w:w="740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revenues before realized gains (losses)</w:t>
            </w:r>
          </w:p>
        </w:tc>
        <w:tc>
          <w:tcPr>
            <w:tcW w:w="4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7,867</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7,156</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6,438</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Realized gains (losses) on securities</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Realized gains (losses) on subsidiaries</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0"/>
        </w:trPr>
        <w:tc>
          <w:tcPr>
            <w:tcW w:w="7400" w:type="dxa"/>
            <w:vAlign w:val="bottom"/>
          </w:tcPr>
          <w:p>
            <w:pPr>
              <w:ind w:left="680"/>
              <w:spacing w:after="0"/>
              <w:rPr>
                <w:sz w:val="20"/>
                <w:szCs w:val="20"/>
                <w:color w:val="auto"/>
              </w:rPr>
            </w:pPr>
            <w:r>
              <w:rPr>
                <w:rFonts w:ascii="Arial" w:cs="Arial" w:eastAsia="Arial" w:hAnsi="Arial"/>
                <w:sz w:val="16"/>
                <w:szCs w:val="16"/>
                <w:color w:val="auto"/>
              </w:rPr>
              <w:t>Total revenues</w:t>
            </w: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7,827</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7,040</w:t>
            </w:r>
          </w:p>
        </w:tc>
        <w:tc>
          <w:tcPr>
            <w:tcW w:w="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6,552</w:t>
            </w:r>
          </w:p>
        </w:tc>
      </w:tr>
      <w:tr>
        <w:trPr>
          <w:trHeight w:val="20"/>
        </w:trPr>
        <w:tc>
          <w:tcPr>
            <w:tcW w:w="7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420" w:right="120" w:hanging="412"/>
        <w:spacing w:after="0" w:line="266" w:lineRule="auto"/>
        <w:tabs>
          <w:tab w:leader="none" w:pos="411"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Represents investment income from the real estate and real estate-related entities acquired from AFG’s discontinued annuity operations while they were held by the annuity operations. Subsequent to the sale of the annuity operations, income from these investments is included in the segment of the acquirer.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AMERICAN FINANCIAL GROUP,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NOTES TO CONSOLIDATED FINANCIAL STATEMENTS — CONTINUED</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4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2022</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2021</w:t>
            </w:r>
          </w:p>
        </w:tc>
      </w:tr>
      <w:tr>
        <w:trPr>
          <w:trHeight w:val="200"/>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from Continuing Operations Before Income Taxes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Property and casualty insurance:</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7"/>
        </w:trPr>
        <w:tc>
          <w:tcPr>
            <w:tcW w:w="7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Underwriting:</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5"/>
        </w:trPr>
        <w:tc>
          <w:tcPr>
            <w:tcW w:w="7400" w:type="dxa"/>
            <w:vAlign w:val="bottom"/>
          </w:tcPr>
          <w:p>
            <w:pPr>
              <w:ind w:left="680"/>
              <w:spacing w:after="0"/>
              <w:rPr>
                <w:sz w:val="20"/>
                <w:szCs w:val="20"/>
                <w:color w:val="auto"/>
              </w:rPr>
            </w:pPr>
            <w:r>
              <w:rPr>
                <w:rFonts w:ascii="Arial" w:cs="Arial" w:eastAsia="Arial" w:hAnsi="Arial"/>
                <w:sz w:val="16"/>
                <w:szCs w:val="16"/>
                <w:color w:val="auto"/>
              </w:rPr>
              <w:t>Specialty</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7"/>
        </w:trPr>
        <w:tc>
          <w:tcPr>
            <w:tcW w:w="740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Property and transportation</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w:t>
            </w:r>
          </w:p>
        </w:tc>
      </w:tr>
      <w:tr>
        <w:trPr>
          <w:trHeight w:val="215"/>
        </w:trPr>
        <w:tc>
          <w:tcPr>
            <w:tcW w:w="7400" w:type="dxa"/>
            <w:vAlign w:val="bottom"/>
          </w:tcPr>
          <w:p>
            <w:pPr>
              <w:ind w:left="1120"/>
              <w:spacing w:after="0"/>
              <w:rPr>
                <w:sz w:val="20"/>
                <w:szCs w:val="20"/>
                <w:color w:val="auto"/>
              </w:rPr>
            </w:pPr>
            <w:r>
              <w:rPr>
                <w:rFonts w:ascii="Arial" w:cs="Arial" w:eastAsia="Arial" w:hAnsi="Arial"/>
                <w:sz w:val="16"/>
                <w:szCs w:val="16"/>
                <w:color w:val="auto"/>
              </w:rPr>
              <w:t>Specialty casualty</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377</w:t>
            </w:r>
          </w:p>
        </w:tc>
      </w:tr>
      <w:tr>
        <w:trPr>
          <w:trHeight w:val="217"/>
        </w:trPr>
        <w:tc>
          <w:tcPr>
            <w:tcW w:w="740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Specialty financial</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215"/>
        </w:trPr>
        <w:tc>
          <w:tcPr>
            <w:tcW w:w="7400" w:type="dxa"/>
            <w:vAlign w:val="bottom"/>
          </w:tcPr>
          <w:p>
            <w:pPr>
              <w:ind w:left="1120"/>
              <w:spacing w:after="0"/>
              <w:rPr>
                <w:sz w:val="20"/>
                <w:szCs w:val="20"/>
                <w:color w:val="auto"/>
              </w:rPr>
            </w:pPr>
            <w:r>
              <w:rPr>
                <w:rFonts w:ascii="Arial" w:cs="Arial" w:eastAsia="Arial" w:hAnsi="Arial"/>
                <w:sz w:val="16"/>
                <w:szCs w:val="16"/>
                <w:color w:val="auto"/>
              </w:rPr>
              <w:t>Other specialty</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7"/>
        </w:trPr>
        <w:tc>
          <w:tcPr>
            <w:tcW w:w="7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lines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09"/>
        </w:trPr>
        <w:tc>
          <w:tcPr>
            <w:tcW w:w="7400" w:type="dxa"/>
            <w:vAlign w:val="bottom"/>
          </w:tcPr>
          <w:p>
            <w:pPr>
              <w:ind w:left="1440"/>
              <w:spacing w:after="0"/>
              <w:rPr>
                <w:sz w:val="20"/>
                <w:szCs w:val="20"/>
                <w:color w:val="auto"/>
              </w:rPr>
            </w:pPr>
            <w:r>
              <w:rPr>
                <w:rFonts w:ascii="Arial" w:cs="Arial" w:eastAsia="Arial" w:hAnsi="Arial"/>
                <w:sz w:val="16"/>
                <w:szCs w:val="16"/>
                <w:color w:val="auto"/>
              </w:rPr>
              <w:t>Total underwriting</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776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733</w:t>
            </w:r>
          </w:p>
        </w:tc>
      </w:tr>
      <w:tr>
        <w:trPr>
          <w:trHeight w:val="217"/>
        </w:trPr>
        <w:tc>
          <w:tcPr>
            <w:tcW w:w="7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Investment and other income, net</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w:t>
            </w:r>
          </w:p>
        </w:tc>
      </w:tr>
      <w:tr>
        <w:trPr>
          <w:trHeight w:val="209"/>
        </w:trPr>
        <w:tc>
          <w:tcPr>
            <w:tcW w:w="7400" w:type="dxa"/>
            <w:vAlign w:val="bottom"/>
          </w:tcPr>
          <w:p>
            <w:pPr>
              <w:ind w:left="680"/>
              <w:spacing w:after="0"/>
              <w:rPr>
                <w:sz w:val="20"/>
                <w:szCs w:val="20"/>
                <w:color w:val="auto"/>
              </w:rPr>
            </w:pPr>
            <w:r>
              <w:rPr>
                <w:rFonts w:ascii="Arial" w:cs="Arial" w:eastAsia="Arial" w:hAnsi="Arial"/>
                <w:sz w:val="16"/>
                <w:szCs w:val="16"/>
                <w:color w:val="auto"/>
              </w:rPr>
              <w:t>Total property and casualty insurance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1,419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1,390</w:t>
            </w: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Real estate-related entities (b)</w:t>
            </w: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10"/>
        </w:trPr>
        <w:tc>
          <w:tcPr>
            <w:tcW w:w="740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earnings from continuing operations before realized gains (losses) and income taxes</w:t>
            </w: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1,239</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1,221</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Realized gains (losses) on securities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Realized gains (losses) on subsidiaries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0"/>
        </w:trPr>
        <w:tc>
          <w:tcPr>
            <w:tcW w:w="7400" w:type="dxa"/>
            <w:vAlign w:val="bottom"/>
          </w:tcPr>
          <w:p>
            <w:pPr>
              <w:ind w:left="680"/>
              <w:spacing w:after="0"/>
              <w:rPr>
                <w:sz w:val="20"/>
                <w:szCs w:val="20"/>
                <w:color w:val="auto"/>
              </w:rPr>
            </w:pPr>
            <w:r>
              <w:rPr>
                <w:rFonts w:ascii="Arial" w:cs="Arial" w:eastAsia="Arial" w:hAnsi="Arial"/>
                <w:sz w:val="16"/>
                <w:szCs w:val="16"/>
                <w:color w:val="auto"/>
              </w:rPr>
              <w:t>Total earnings from continuing operations before income taxes</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1,073</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1,123</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1,335</w:t>
            </w:r>
          </w:p>
        </w:tc>
      </w:tr>
      <w:tr>
        <w:trPr>
          <w:trHeight w:val="21"/>
        </w:trPr>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420" w:right="20" w:hanging="412"/>
        <w:spacing w:after="0" w:line="257" w:lineRule="auto"/>
        <w:tabs>
          <w:tab w:leader="none" w:pos="413"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Includes holding company interest and expenses, including a gain on retirement of debt of $1 million in 2023 and a loss on retirement of debt of $9 million in 2022, and a $15 million special charge in 2023 to increase asbestos and environmental (“A&amp;E”) reserves related to AFG’s former railroad and manufacturing operations.</w:t>
      </w:r>
    </w:p>
    <w:p>
      <w:pPr>
        <w:spacing w:after="0" w:line="1" w:lineRule="exact"/>
        <w:rPr>
          <w:rFonts w:ascii="Arial" w:cs="Arial" w:eastAsia="Arial" w:hAnsi="Arial"/>
          <w:sz w:val="17"/>
          <w:szCs w:val="17"/>
          <w:color w:val="auto"/>
        </w:rPr>
      </w:pPr>
    </w:p>
    <w:p>
      <w:pPr>
        <w:ind w:left="420" w:right="120" w:hanging="412"/>
        <w:spacing w:after="0" w:line="261" w:lineRule="auto"/>
        <w:tabs>
          <w:tab w:leader="none" w:pos="413"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Represents investment income from the real estate and real estate-related entities acquired from AFG’s discontinued annuity operations while they were held by the annuity operations. Subsequent to the sale of the annuity operations, income from these investments is included in the segment of the acquirer.</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3" w:name="page104"/>
    <w:bookmarkEnd w:id="10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00274E"/>
        </w:rPr>
        <w:t>AMERICAN FINANCIAL GROUP, INC. AND SUBSIDIARIES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00274E"/>
        </w:rPr>
        <w:t>NOTES TO CONSOLIDATED FINANCIAL STATEMENTS — CONTINUED</w:t>
      </w:r>
    </w:p>
    <w:p>
      <w:pPr>
        <w:spacing w:after="0" w:line="200" w:lineRule="exact"/>
        <w:rPr>
          <w:sz w:val="20"/>
          <w:szCs w:val="20"/>
          <w:color w:val="auto"/>
        </w:rPr>
      </w:pPr>
    </w:p>
    <w:p>
      <w:pPr>
        <w:spacing w:after="0" w:line="228" w:lineRule="exact"/>
        <w:rPr>
          <w:sz w:val="20"/>
          <w:szCs w:val="20"/>
          <w:color w:val="auto"/>
        </w:rPr>
      </w:pPr>
    </w:p>
    <w:p>
      <w:pPr>
        <w:ind w:left="600" w:hanging="592"/>
        <w:spacing w:after="0"/>
        <w:tabs>
          <w:tab w:leader="none" w:pos="600" w:val="left"/>
        </w:tabs>
        <w:numPr>
          <w:ilvl w:val="0"/>
          <w:numId w:val="49"/>
        </w:numPr>
        <w:rPr>
          <w:rFonts w:ascii="Arial" w:cs="Arial" w:eastAsia="Arial" w:hAnsi="Arial"/>
          <w:sz w:val="29"/>
          <w:szCs w:val="29"/>
          <w:b w:val="1"/>
          <w:bCs w:val="1"/>
          <w:color w:val="00274E"/>
        </w:rPr>
      </w:pPr>
      <w:r>
        <w:rPr>
          <w:rFonts w:ascii="Arial" w:cs="Arial" w:eastAsia="Arial" w:hAnsi="Arial"/>
          <w:sz w:val="29"/>
          <w:szCs w:val="29"/>
          <w:b w:val="1"/>
          <w:bCs w:val="1"/>
          <w:color w:val="00274E"/>
        </w:rPr>
        <w:t>Fair Value Measurements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Accounting standards for measuring fair value are based on inputs used in estimating fair value. The three levels of the hierarchy are as follows:</w:t>
      </w:r>
    </w:p>
    <w:p>
      <w:pPr>
        <w:spacing w:after="0" w:line="250"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Level 1 — Quoted prices for identical assets or liabilities in active markets (markets in which transactions occur with sufficient frequency and volume to provide pricing information on an ongoing basis). AFG’s Level 1 financial instruments consist primarily of publicly traded equity securities, highly liquid government bonds for which quoted market prices in active markets are available and short-term investments of managed investment entities.</w:t>
      </w:r>
    </w:p>
    <w:p>
      <w:pPr>
        <w:spacing w:after="0" w:line="201"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Level 2 — Quoted prices for similar instruments in active markets; quoted prices for identical or similar assets or liabilities in inactive markets (markets in which there are few transactions, the prices are not current, price quotations vary substantially over time or among market makers, or in which little information is released publicly); and valuations based on other significant inputs that are observable in active markets. AFG’s Level 2 financial instruments include corporate and municipal fixed maturity securities, asset-backed securities (“ABS”), mortgage-backed securities (“MBS”), certain non-affiliated common stocks and investments of managed investment entities priced using observable inputs. Level 2 inputs include benchmark yields, reported trades, corroborated broker/dealer quotes, issuer spreads and benchmark securities. When non-binding broker quotes can be corroborated by comparison to similar securities priced using observable inputs, they are classified as Level 2.</w:t>
      </w:r>
    </w:p>
    <w:p>
      <w:pPr>
        <w:spacing w:after="0" w:line="222"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Level 3 — Valuations derived from market valuation techniques generally consistent with those used to estimate the fair values of Level 2 financial instruments in which one or more significant inputs are unobservable or when the market for a security exhibits significantly less liquidity relative to markets supporting Level 2 fair value measurements. The unobservable inputs may include management’s own assumptions about the assumptions market participants would use based on the best information available at the valuation date. Financial instruments whose fair value is estimated based on non-binding broker quotes or internally developed using significant inputs not based on, or corroborated by, observable market information are classified as Level 3.</w:t>
      </w:r>
    </w:p>
    <w:p>
      <w:pPr>
        <w:spacing w:after="0" w:line="206"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 xml:space="preserve">The contingent consideration liability related to the 2021 acquisition of Verikai, was measured using a weighted probability-based income approach which includes significant unobservable inputs and is classified as Level 3 and represents the fair value of the up to $50 million in potential acquisition-related contingent consideration tied to performance measures over a specific time period. Due to slower than anticipated growth in the business supported by the Verikai technology, the fair value of this liability was reduced to zero in the third quarter of 2023. The $22 million gain from this change in fair value and a goodwill impairment charge of $26 million related to Verikai (see </w:t>
      </w:r>
      <w:r>
        <w:rPr>
          <w:rFonts w:ascii="Arial" w:cs="Arial" w:eastAsia="Arial" w:hAnsi="Arial"/>
          <w:sz w:val="17"/>
          <w:szCs w:val="17"/>
          <w:i w:val="1"/>
          <w:iCs w:val="1"/>
          <w:color w:val="auto"/>
        </w:rPr>
        <w:t>Note I — “Goodwill and Other Intangibles”</w:t>
      </w:r>
      <w:r>
        <w:rPr>
          <w:rFonts w:ascii="Arial" w:cs="Arial" w:eastAsia="Arial" w:hAnsi="Arial"/>
          <w:sz w:val="17"/>
          <w:szCs w:val="17"/>
          <w:color w:val="auto"/>
        </w:rPr>
        <w:t>) is included in realized gain (loss) on subsidiaries in AFG’s Statement of Earnings.</w:t>
      </w:r>
    </w:p>
    <w:p>
      <w:pPr>
        <w:spacing w:after="0" w:line="206" w:lineRule="exact"/>
        <w:rPr>
          <w:sz w:val="20"/>
          <w:szCs w:val="20"/>
          <w:color w:val="auto"/>
        </w:rPr>
      </w:pPr>
    </w:p>
    <w:p>
      <w:pPr>
        <w:ind w:right="220"/>
        <w:spacing w:after="0" w:line="261" w:lineRule="auto"/>
        <w:rPr>
          <w:sz w:val="20"/>
          <w:szCs w:val="20"/>
          <w:color w:val="auto"/>
        </w:rPr>
      </w:pPr>
      <w:r>
        <w:rPr>
          <w:rFonts w:ascii="Arial" w:cs="Arial" w:eastAsia="Arial" w:hAnsi="Arial"/>
          <w:sz w:val="17"/>
          <w:szCs w:val="17"/>
          <w:color w:val="auto"/>
        </w:rPr>
        <w:t xml:space="preserve">As discussed in </w:t>
      </w:r>
      <w:r>
        <w:rPr>
          <w:rFonts w:ascii="Arial" w:cs="Arial" w:eastAsia="Arial" w:hAnsi="Arial"/>
          <w:sz w:val="17"/>
          <w:szCs w:val="17"/>
          <w:i w:val="1"/>
          <w:iCs w:val="1"/>
          <w:color w:val="auto"/>
        </w:rPr>
        <w:t>Note A — “Accounting Policies — Managed Investment Entities,”</w:t>
      </w:r>
      <w:r>
        <w:rPr>
          <w:rFonts w:ascii="Arial" w:cs="Arial" w:eastAsia="Arial" w:hAnsi="Arial"/>
          <w:sz w:val="17"/>
          <w:szCs w:val="17"/>
          <w:color w:val="auto"/>
        </w:rPr>
        <w:t xml:space="preserve"> AFG has set the carrying value of its CLO liabilities equal to the fair value of the CLO assets (which have more observable fair values) as an alternative to reporting those liabilities at separately measured fair values. As a result, the CLO liabilities are categorized within the fair value hierarchy on the same basis (proportionally) as the related CLO assets. Since the portion of the CLO liabilities allocated to Level 3 is derived from the fair value of the CLO assets, these amounts are excluded from the progression of Level 3 financial instruments.</w:t>
      </w:r>
    </w:p>
    <w:p>
      <w:pPr>
        <w:spacing w:after="0" w:line="206"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AFG’s management is responsible for the valuation process and uses data from outside sources (including nationally recognized pricing services and broker/dealers) in establishing fair value. AFG’s internal investment professionals are a group of approximately 20 investment professionals whose primary responsibility is to manage AFG’s investment portfolio. These professionals monitor individual investments as well as overall industries and are active in the financial markets on a daily basis. The group is led by AFG’s chief investment officer, who reports directly to one of AFG’s Co-CEOs. Valuation techniques utilized by pricing services and prices obtained from external sources are reviewed by AFG’s internal investment professionals who are familiar with the securities being priced and the markets in which they trade to ensure the fair value determination is representative of an exit price. To validate the appropriateness of the prices obtained, these investment managers consider widely published indices (as benchmarks), recent trades, changes in interest rates, general economic conditions and the credit quality of the specific issuers. In addition, AFG communicates directly with the pricing services regarding the methods and assumptions used in pricing, including verifying, on a test basis, the inputs used by the service to value specific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04" w:name="page105"/>
    <w:bookmarkEnd w:id="10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AMERICAN FINANCIAL GROUP,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NOTES TO CONSOLIDATED FINANCIAL STATEMENTS — CONTINUED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Assets and liabilities measured and carried at fair value in the financial statements are summarized below (in millions):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color w:val="auto"/>
              </w:rPr>
              <w:t>Level 1</w:t>
            </w:r>
          </w:p>
        </w:tc>
        <w:tc>
          <w:tcPr>
            <w:tcW w:w="240" w:type="dxa"/>
            <w:vAlign w:val="bottom"/>
          </w:tcPr>
          <w:p>
            <w:pPr>
              <w:spacing w:after="0"/>
              <w:rPr>
                <w:sz w:val="16"/>
                <w:szCs w:val="16"/>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color w:val="auto"/>
              </w:rPr>
              <w:t>Level 2</w:t>
            </w:r>
          </w:p>
        </w:tc>
        <w:tc>
          <w:tcPr>
            <w:tcW w:w="240" w:type="dxa"/>
            <w:vAlign w:val="bottom"/>
          </w:tcPr>
          <w:p>
            <w:pPr>
              <w:spacing w:after="0"/>
              <w:rPr>
                <w:sz w:val="16"/>
                <w:szCs w:val="16"/>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color w:val="auto"/>
              </w:rPr>
              <w:t>Level 3</w:t>
            </w:r>
          </w:p>
        </w:tc>
        <w:tc>
          <w:tcPr>
            <w:tcW w:w="280" w:type="dxa"/>
            <w:vAlign w:val="bottom"/>
          </w:tcPr>
          <w:p>
            <w:pPr>
              <w:spacing w:after="0"/>
              <w:rPr>
                <w:sz w:val="16"/>
                <w:szCs w:val="16"/>
                <w:color w:val="auto"/>
              </w:rPr>
            </w:pPr>
          </w:p>
        </w:tc>
        <w:tc>
          <w:tcPr>
            <w:tcW w:w="920" w:type="dxa"/>
            <w:vAlign w:val="bottom"/>
          </w:tcPr>
          <w:p>
            <w:pPr>
              <w:jc w:val="right"/>
              <w:ind w:right="35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0"/>
        </w:trPr>
        <w:tc>
          <w:tcPr>
            <w:tcW w:w="20" w:type="dxa"/>
            <w:vAlign w:val="bottom"/>
            <w:tcBorders>
              <w:top w:val="single" w:sz="8" w:color="CCEEFF"/>
            </w:tcBorders>
            <w:shd w:val="clear" w:color="auto" w:fill="CCEEFF"/>
          </w:tcPr>
          <w:p>
            <w:pPr>
              <w:spacing w:after="0"/>
              <w:rPr>
                <w:sz w:val="15"/>
                <w:szCs w:val="15"/>
                <w:color w:val="auto"/>
              </w:rPr>
            </w:pPr>
          </w:p>
        </w:tc>
        <w:tc>
          <w:tcPr>
            <w:tcW w:w="6140" w:type="dxa"/>
            <w:vAlign w:val="bottom"/>
            <w:tcBorders>
              <w:top w:val="single" w:sz="8" w:color="CCEEFF"/>
            </w:tcBorders>
            <w:gridSpan w:val="2"/>
            <w:shd w:val="clear" w:color="auto" w:fill="CCEEFF"/>
          </w:tcPr>
          <w:p>
            <w:pPr>
              <w:spacing w:after="0" w:line="160" w:lineRule="exact"/>
              <w:rPr>
                <w:sz w:val="20"/>
                <w:szCs w:val="20"/>
                <w:color w:val="auto"/>
              </w:rPr>
            </w:pPr>
            <w:r>
              <w:rPr>
                <w:rFonts w:ascii="Arial" w:cs="Arial" w:eastAsia="Arial" w:hAnsi="Arial"/>
                <w:sz w:val="16"/>
                <w:szCs w:val="16"/>
                <w:b w:val="1"/>
                <w:bCs w:val="1"/>
                <w:color w:val="auto"/>
              </w:rPr>
              <w:t>December 31, 2023</w:t>
            </w:r>
          </w:p>
        </w:tc>
        <w:tc>
          <w:tcPr>
            <w:tcW w:w="2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Assets:</w:t>
            </w:r>
          </w:p>
        </w:tc>
        <w:tc>
          <w:tcPr>
            <w:tcW w:w="46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Available for sale (“AFS”) fixed maturities: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2"/>
          </w:tcPr>
          <w:p>
            <w:pPr>
              <w:ind w:left="340"/>
              <w:spacing w:after="0"/>
              <w:rPr>
                <w:sz w:val="20"/>
                <w:szCs w:val="20"/>
                <w:color w:val="auto"/>
              </w:rPr>
            </w:pPr>
            <w:r>
              <w:rPr>
                <w:rFonts w:ascii="Arial" w:cs="Arial" w:eastAsia="Arial" w:hAnsi="Arial"/>
                <w:sz w:val="16"/>
                <w:szCs w:val="16"/>
                <w:color w:val="auto"/>
              </w:rPr>
              <w:t>U.S. Government and government agencies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235</w:t>
            </w: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2"/>
          </w:tcPr>
          <w:p>
            <w:pPr>
              <w:ind w:left="340"/>
              <w:spacing w:after="0"/>
              <w:rPr>
                <w:sz w:val="20"/>
                <w:szCs w:val="20"/>
                <w:color w:val="auto"/>
              </w:rPr>
            </w:pPr>
            <w:r>
              <w:rPr>
                <w:rFonts w:ascii="Arial" w:cs="Arial" w:eastAsia="Arial" w:hAnsi="Arial"/>
                <w:sz w:val="16"/>
                <w:szCs w:val="16"/>
                <w:color w:val="auto"/>
              </w:rPr>
              <w:t>Foreign government</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Residential MBS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2"/>
          </w:tcPr>
          <w:p>
            <w:pPr>
              <w:ind w:left="340"/>
              <w:spacing w:after="0"/>
              <w:rPr>
                <w:sz w:val="20"/>
                <w:szCs w:val="20"/>
                <w:color w:val="auto"/>
              </w:rPr>
            </w:pPr>
            <w:r>
              <w:rPr>
                <w:rFonts w:ascii="Arial" w:cs="Arial" w:eastAsia="Arial" w:hAnsi="Arial"/>
                <w:sz w:val="16"/>
                <w:szCs w:val="16"/>
                <w:color w:val="auto"/>
              </w:rPr>
              <w:t>Commercial MBS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Collateralized loan obligations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2"/>
          </w:tcPr>
          <w:p>
            <w:pPr>
              <w:ind w:left="340"/>
              <w:spacing w:after="0"/>
              <w:rPr>
                <w:sz w:val="20"/>
                <w:szCs w:val="20"/>
                <w:color w:val="auto"/>
              </w:rPr>
            </w:pPr>
            <w:r>
              <w:rPr>
                <w:rFonts w:ascii="Arial" w:cs="Arial" w:eastAsia="Arial" w:hAnsi="Arial"/>
                <w:sz w:val="16"/>
                <w:szCs w:val="16"/>
                <w:color w:val="auto"/>
              </w:rPr>
              <w:t>Other asset-backed securities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2,362</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Corporate and other</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40" w:type="dxa"/>
            <w:vAlign w:val="bottom"/>
            <w:gridSpan w:val="2"/>
          </w:tcPr>
          <w:p>
            <w:pPr>
              <w:ind w:left="820"/>
              <w:spacing w:after="0"/>
              <w:rPr>
                <w:sz w:val="20"/>
                <w:szCs w:val="20"/>
                <w:color w:val="auto"/>
              </w:rPr>
            </w:pPr>
            <w:r>
              <w:rPr>
                <w:rFonts w:ascii="Arial" w:cs="Arial" w:eastAsia="Arial" w:hAnsi="Arial"/>
                <w:sz w:val="16"/>
                <w:szCs w:val="16"/>
                <w:color w:val="auto"/>
              </w:rPr>
              <w:t>Total AFS fixed maturities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9,397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10,377</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Trading fixed maturities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6"/>
                <w:szCs w:val="16"/>
                <w:color w:val="auto"/>
              </w:rPr>
              <w:t>Equity securities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1,018</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Assets of managed investment entities (“MIE”)</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6"/>
                <w:szCs w:val="16"/>
                <w:color w:val="auto"/>
              </w:rPr>
              <w:t>Other assets — derivatives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14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 assets accounted for at fair value</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15,942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1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61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Contingent consideration — acquisitions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6"/>
                <w:szCs w:val="16"/>
                <w:color w:val="auto"/>
              </w:rPr>
              <w:t>Liabilities of managed investment entities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4,307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liabilities — derivatives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gridSpan w:val="2"/>
          </w:tcPr>
          <w:p>
            <w:pPr>
              <w:ind w:left="340"/>
              <w:spacing w:after="0"/>
              <w:rPr>
                <w:sz w:val="20"/>
                <w:szCs w:val="20"/>
                <w:color w:val="auto"/>
              </w:rPr>
            </w:pPr>
            <w:r>
              <w:rPr>
                <w:rFonts w:ascii="Arial" w:cs="Arial" w:eastAsia="Arial" w:hAnsi="Arial"/>
                <w:sz w:val="16"/>
                <w:szCs w:val="16"/>
                <w:color w:val="auto"/>
              </w:rPr>
              <w:t>Total liabilities accounted for at fair value</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322</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3,998</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4,331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46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14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December 31, 2022</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6"/>
                <w:szCs w:val="16"/>
                <w:color w:val="auto"/>
              </w:rPr>
              <w:t>Available for sale fixed maturities: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U.S. Government and government agencies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2"/>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1,186</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Foreign government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2"/>
          </w:tcPr>
          <w:p>
            <w:pPr>
              <w:ind w:left="340"/>
              <w:spacing w:after="0"/>
              <w:rPr>
                <w:sz w:val="20"/>
                <w:szCs w:val="20"/>
                <w:color w:val="auto"/>
              </w:rPr>
            </w:pPr>
            <w:r>
              <w:rPr>
                <w:rFonts w:ascii="Arial" w:cs="Arial" w:eastAsia="Arial" w:hAnsi="Arial"/>
                <w:sz w:val="16"/>
                <w:szCs w:val="16"/>
                <w:color w:val="auto"/>
              </w:rPr>
              <w:t>Residential MBS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1,598</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Commercial MBS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2"/>
          </w:tcPr>
          <w:p>
            <w:pPr>
              <w:ind w:left="340"/>
              <w:spacing w:after="0"/>
              <w:rPr>
                <w:sz w:val="20"/>
                <w:szCs w:val="20"/>
                <w:color w:val="auto"/>
              </w:rPr>
            </w:pPr>
            <w:r>
              <w:rPr>
                <w:rFonts w:ascii="Arial" w:cs="Arial" w:eastAsia="Arial" w:hAnsi="Arial"/>
                <w:sz w:val="16"/>
                <w:szCs w:val="16"/>
                <w:color w:val="auto"/>
              </w:rPr>
              <w:t>Collateralized loan obligations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1,921</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Other asset-backed securities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2,245</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614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Corporate and other</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2,615</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Total AFS fixed maturities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6"/>
                <w:szCs w:val="16"/>
                <w:color w:val="auto"/>
              </w:rPr>
              <w:t>Trading fixed maturities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 securities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61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Assets of managed investment entities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659</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5,447</w:t>
            </w: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61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 assets accounted for at fair value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1,442</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14,040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16,584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1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61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Contingent consideration — acquisitions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6"/>
                <w:szCs w:val="16"/>
                <w:color w:val="auto"/>
              </w:rPr>
              <w:t>Liabilities of managed investment entities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645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5,332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liabilities — derivatives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gridSpan w:val="2"/>
          </w:tcPr>
          <w:p>
            <w:pPr>
              <w:ind w:left="340"/>
              <w:spacing w:after="0"/>
              <w:rPr>
                <w:sz w:val="20"/>
                <w:szCs w:val="20"/>
                <w:color w:val="auto"/>
              </w:rPr>
            </w:pPr>
            <w:r>
              <w:rPr>
                <w:rFonts w:ascii="Arial" w:cs="Arial" w:eastAsia="Arial" w:hAnsi="Arial"/>
                <w:sz w:val="16"/>
                <w:szCs w:val="16"/>
                <w:color w:val="auto"/>
              </w:rPr>
              <w:t>Total liabilities accounted for at fair value</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645</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4,718</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Approximately 8% of the total assets carried at fair value at December 31, 2023, were Level 3 assets. Approximately 9% ($111 million) of those Level 3 assets were priced using non-binding broker quotes, for which there is a lack of transparency as to the inputs used to determine fair value. Details as to the quantitative inputs are neither provided by the brokers nor otherwise reasonably obtainable by AFG. Approximately 1% ($9 million) of the Level 3 assets were priced by pricing services where either a single price was not corroborated, prices varied enough among the providers, or other market factors led management to determine these securities be classified as Level 3 assets. Approximately 28% ($345 million) of the Level 3 assets were equity investments in limited partnerships and similar investments that do not</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AMERICAN FINANCIAL GROUP,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NOTES TO CONSOLIDATED FINANCIAL STATEMENTS — CONTINUED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qualify for equity method accounting whose prices were determined based on financial information provided by the limited partnerships.</w:t>
      </w:r>
    </w:p>
    <w:p>
      <w:pPr>
        <w:spacing w:after="0" w:line="250"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Internally developed prices for fixed maturities are estimated using a variety of inputs, including appropriate credit spreads over the treasury yield (of a similar duration), trade information and prices of comparable securities and other security specific features (such as optional early redemption). Internally developed Level 3 asset fair values represent approximately $765 million (62%) of the total fair value of Level 3 assets at December 31, 2023. Approximately 69% ($528 million) of these internally developed Level 3 assets are priced using a pricing model that uses a discounted cash flow approach to estimate the fair value of fixed maturity securities. The credit spread applied by management is the significant unobservable input of the pricing model. In instances where the security is currently callable at par value and the pricing model suggests a higher price, management caps the fair value at par value. Approximately 18% ($139 million) of the internally developed Level 3 assets are equity securities which are priced primarily using internal models with some inputs that are not market observable. Management believes that any justifiable changes in unobservable inputs used to determine internally developed fair values would not have resulted in a material change in AFG’s financial position.</w:t>
      </w:r>
    </w:p>
    <w:p>
      <w:pPr>
        <w:spacing w:after="0" w:line="209"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Changes in balances of Level 3 financial assets and liabilities carried at fair value during 2023, 2022 and 2021 are presented below (in millions). The transfers into and out of Level 3 were due to changes in the availability of market observable inputs. All transfers are reflected in the table at fair value as of the end of the reporting period.</w:t>
      </w:r>
    </w:p>
    <w:p>
      <w:pPr>
        <w:spacing w:after="0" w:line="135" w:lineRule="exact"/>
        <w:rPr>
          <w:sz w:val="20"/>
          <w:szCs w:val="20"/>
          <w:color w:val="auto"/>
        </w:rPr>
      </w:pPr>
    </w:p>
    <w:p>
      <w:pPr>
        <w:ind w:left="4660"/>
        <w:spacing w:after="0"/>
        <w:rPr>
          <w:sz w:val="20"/>
          <w:szCs w:val="20"/>
          <w:color w:val="auto"/>
        </w:rPr>
      </w:pPr>
      <w:r>
        <w:rPr>
          <w:rFonts w:ascii="Arial" w:cs="Arial" w:eastAsia="Arial" w:hAnsi="Arial"/>
          <w:sz w:val="13"/>
          <w:szCs w:val="13"/>
          <w:color w:val="auto"/>
        </w:rPr>
        <w:t>Total realized/unrealized</w:t>
      </w:r>
    </w:p>
    <w:p>
      <w:pPr>
        <w:ind w:left="4640"/>
        <w:spacing w:after="0"/>
        <w:rPr>
          <w:sz w:val="20"/>
          <w:szCs w:val="20"/>
          <w:color w:val="auto"/>
        </w:rPr>
      </w:pPr>
      <w:r>
        <w:rPr>
          <w:rFonts w:ascii="Arial" w:cs="Arial" w:eastAsia="Arial" w:hAnsi="Arial"/>
          <w:sz w:val="13"/>
          <w:szCs w:val="13"/>
          <w:color w:val="auto"/>
        </w:rPr>
        <w:t>gains (losses) included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20320</wp:posOffset>
            </wp:positionV>
            <wp:extent cx="129413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color w:val="auto"/>
                <w:w w:val="97"/>
              </w:rPr>
              <w:t>Balance at</w:t>
            </w:r>
          </w:p>
        </w:tc>
        <w:tc>
          <w:tcPr>
            <w:tcW w:w="140" w:type="dxa"/>
            <w:vAlign w:val="bottom"/>
          </w:tcPr>
          <w:p>
            <w:pPr>
              <w:spacing w:after="0"/>
              <w:rPr>
                <w:sz w:val="13"/>
                <w:szCs w:val="13"/>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3"/>
                <w:szCs w:val="13"/>
                <w:color w:val="auto"/>
                <w:w w:val="98"/>
              </w:rPr>
              <w:t>Net</w:t>
            </w:r>
          </w:p>
        </w:tc>
        <w:tc>
          <w:tcPr>
            <w:tcW w:w="14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color w:val="auto"/>
                <w:w w:val="98"/>
              </w:rPr>
              <w:t>Other</w:t>
            </w:r>
          </w:p>
        </w:tc>
        <w:tc>
          <w:tcPr>
            <w:tcW w:w="12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color w:val="auto"/>
                <w:w w:val="97"/>
              </w:rPr>
              <w:t>Purchases</w:t>
            </w:r>
          </w:p>
        </w:tc>
        <w:tc>
          <w:tcPr>
            <w:tcW w:w="120" w:type="dxa"/>
            <w:vAlign w:val="bottom"/>
          </w:tcPr>
          <w:p>
            <w:pPr>
              <w:spacing w:after="0"/>
              <w:rPr>
                <w:sz w:val="13"/>
                <w:szCs w:val="13"/>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3"/>
                <w:szCs w:val="13"/>
                <w:color w:val="auto"/>
              </w:rPr>
              <w:t>Sales and</w:t>
            </w:r>
          </w:p>
        </w:tc>
        <w:tc>
          <w:tcPr>
            <w:tcW w:w="12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Transfer</w:t>
            </w:r>
          </w:p>
        </w:tc>
        <w:tc>
          <w:tcPr>
            <w:tcW w:w="12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Transfer</w:t>
            </w:r>
          </w:p>
        </w:tc>
        <w:tc>
          <w:tcPr>
            <w:tcW w:w="120" w:type="dxa"/>
            <w:vAlign w:val="bottom"/>
          </w:tcPr>
          <w:p>
            <w:pPr>
              <w:spacing w:after="0"/>
              <w:rPr>
                <w:sz w:val="13"/>
                <w:szCs w:val="13"/>
                <w:color w:val="auto"/>
              </w:rPr>
            </w:pPr>
          </w:p>
        </w:tc>
        <w:tc>
          <w:tcPr>
            <w:tcW w:w="980" w:type="dxa"/>
            <w:vAlign w:val="bottom"/>
          </w:tcPr>
          <w:p>
            <w:pPr>
              <w:jc w:val="center"/>
              <w:ind w:right="70"/>
              <w:spacing w:after="0"/>
              <w:rPr>
                <w:sz w:val="20"/>
                <w:szCs w:val="20"/>
                <w:color w:val="auto"/>
              </w:rPr>
            </w:pPr>
            <w:r>
              <w:rPr>
                <w:rFonts w:ascii="Arial" w:cs="Arial" w:eastAsia="Arial" w:hAnsi="Arial"/>
                <w:sz w:val="13"/>
                <w:szCs w:val="13"/>
                <w:color w:val="auto"/>
                <w:w w:val="97"/>
              </w:rPr>
              <w:t>Balance at</w:t>
            </w:r>
          </w:p>
        </w:tc>
        <w:tc>
          <w:tcPr>
            <w:tcW w:w="0" w:type="dxa"/>
            <w:vAlign w:val="bottom"/>
          </w:tcPr>
          <w:p>
            <w:pPr>
              <w:spacing w:after="0"/>
              <w:rPr>
                <w:sz w:val="1"/>
                <w:szCs w:val="1"/>
                <w:color w:val="auto"/>
              </w:rPr>
            </w:pPr>
          </w:p>
        </w:tc>
      </w:tr>
      <w:tr>
        <w:trPr>
          <w:trHeight w:val="122"/>
        </w:trPr>
        <w:tc>
          <w:tcPr>
            <w:tcW w:w="3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95"/>
              </w:rPr>
              <w:t>December 31,</w:t>
            </w:r>
          </w:p>
        </w:tc>
        <w:tc>
          <w:tcPr>
            <w:tcW w:w="140" w:type="dxa"/>
            <w:vAlign w:val="bottom"/>
          </w:tcPr>
          <w:p>
            <w:pPr>
              <w:spacing w:after="0"/>
              <w:rPr>
                <w:sz w:val="10"/>
                <w:szCs w:val="10"/>
                <w:color w:val="auto"/>
              </w:rPr>
            </w:pPr>
          </w:p>
        </w:tc>
        <w:tc>
          <w:tcPr>
            <w:tcW w:w="740" w:type="dxa"/>
            <w:vAlign w:val="bottom"/>
            <w:gridSpan w:val="2"/>
          </w:tcPr>
          <w:p>
            <w:pPr>
              <w:jc w:val="center"/>
              <w:ind w:right="220"/>
              <w:spacing w:after="0" w:line="122" w:lineRule="exact"/>
              <w:rPr>
                <w:sz w:val="20"/>
                <w:szCs w:val="20"/>
                <w:color w:val="auto"/>
              </w:rPr>
            </w:pPr>
            <w:r>
              <w:rPr>
                <w:rFonts w:ascii="Arial" w:cs="Arial" w:eastAsia="Arial" w:hAnsi="Arial"/>
                <w:sz w:val="13"/>
                <w:szCs w:val="13"/>
                <w:color w:val="auto"/>
                <w:w w:val="96"/>
              </w:rPr>
              <w:t>earnings</w:t>
            </w:r>
          </w:p>
        </w:tc>
        <w:tc>
          <w:tcPr>
            <w:tcW w:w="140" w:type="dxa"/>
            <w:vAlign w:val="bottom"/>
          </w:tcPr>
          <w:p>
            <w:pPr>
              <w:spacing w:after="0"/>
              <w:rPr>
                <w:sz w:val="10"/>
                <w:szCs w:val="10"/>
                <w:color w:val="auto"/>
              </w:rPr>
            </w:pPr>
          </w:p>
        </w:tc>
        <w:tc>
          <w:tcPr>
            <w:tcW w:w="1120" w:type="dxa"/>
            <w:vAlign w:val="bottom"/>
            <w:gridSpan w:val="2"/>
          </w:tcPr>
          <w:p>
            <w:pPr>
              <w:jc w:val="center"/>
              <w:ind w:right="220"/>
              <w:spacing w:after="0" w:line="122" w:lineRule="exact"/>
              <w:rPr>
                <w:sz w:val="20"/>
                <w:szCs w:val="20"/>
                <w:color w:val="auto"/>
              </w:rPr>
            </w:pPr>
            <w:r>
              <w:rPr>
                <w:rFonts w:ascii="Arial" w:cs="Arial" w:eastAsia="Arial" w:hAnsi="Arial"/>
                <w:sz w:val="13"/>
                <w:szCs w:val="13"/>
                <w:color w:val="auto"/>
                <w:w w:val="97"/>
              </w:rPr>
              <w:t>comprehensive</w:t>
            </w:r>
          </w:p>
        </w:tc>
        <w:tc>
          <w:tcPr>
            <w:tcW w:w="120" w:type="dxa"/>
            <w:vAlign w:val="bottom"/>
          </w:tcPr>
          <w:p>
            <w:pPr>
              <w:spacing w:after="0"/>
              <w:rPr>
                <w:sz w:val="10"/>
                <w:szCs w:val="10"/>
                <w:color w:val="auto"/>
              </w:rPr>
            </w:pPr>
          </w:p>
        </w:tc>
        <w:tc>
          <w:tcPr>
            <w:tcW w:w="86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rPr>
              <w:t>and</w:t>
            </w:r>
          </w:p>
        </w:tc>
        <w:tc>
          <w:tcPr>
            <w:tcW w:w="1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20"/>
              <w:spacing w:after="0" w:line="122" w:lineRule="exact"/>
              <w:rPr>
                <w:sz w:val="20"/>
                <w:szCs w:val="20"/>
                <w:color w:val="auto"/>
              </w:rPr>
            </w:pPr>
            <w:r>
              <w:rPr>
                <w:rFonts w:ascii="Arial" w:cs="Arial" w:eastAsia="Arial" w:hAnsi="Arial"/>
                <w:sz w:val="13"/>
                <w:szCs w:val="13"/>
                <w:color w:val="auto"/>
              </w:rPr>
              <w:t>into</w:t>
            </w:r>
          </w:p>
        </w:tc>
        <w:tc>
          <w:tcPr>
            <w:tcW w:w="120" w:type="dxa"/>
            <w:vAlign w:val="bottom"/>
          </w:tcPr>
          <w:p>
            <w:pPr>
              <w:spacing w:after="0"/>
              <w:rPr>
                <w:sz w:val="10"/>
                <w:szCs w:val="10"/>
                <w:color w:val="auto"/>
              </w:rPr>
            </w:pPr>
          </w:p>
        </w:tc>
        <w:tc>
          <w:tcPr>
            <w:tcW w:w="720" w:type="dxa"/>
            <w:vAlign w:val="bottom"/>
            <w:gridSpan w:val="2"/>
          </w:tcPr>
          <w:p>
            <w:pPr>
              <w:jc w:val="center"/>
              <w:ind w:right="240"/>
              <w:spacing w:after="0" w:line="122" w:lineRule="exact"/>
              <w:rPr>
                <w:sz w:val="20"/>
                <w:szCs w:val="20"/>
                <w:color w:val="auto"/>
              </w:rPr>
            </w:pPr>
            <w:r>
              <w:rPr>
                <w:rFonts w:ascii="Arial" w:cs="Arial" w:eastAsia="Arial" w:hAnsi="Arial"/>
                <w:sz w:val="13"/>
                <w:szCs w:val="13"/>
                <w:color w:val="auto"/>
                <w:w w:val="98"/>
              </w:rPr>
              <w:t>out of</w:t>
            </w:r>
          </w:p>
        </w:tc>
        <w:tc>
          <w:tcPr>
            <w:tcW w:w="120" w:type="dxa"/>
            <w:vAlign w:val="bottom"/>
          </w:tcPr>
          <w:p>
            <w:pPr>
              <w:spacing w:after="0"/>
              <w:rPr>
                <w:sz w:val="10"/>
                <w:szCs w:val="10"/>
                <w:color w:val="auto"/>
              </w:rPr>
            </w:pPr>
          </w:p>
        </w:tc>
        <w:tc>
          <w:tcPr>
            <w:tcW w:w="980" w:type="dxa"/>
            <w:vAlign w:val="bottom"/>
          </w:tcPr>
          <w:p>
            <w:pPr>
              <w:jc w:val="center"/>
              <w:ind w:right="50"/>
              <w:spacing w:after="0" w:line="122" w:lineRule="exact"/>
              <w:rPr>
                <w:sz w:val="20"/>
                <w:szCs w:val="20"/>
                <w:color w:val="auto"/>
              </w:rPr>
            </w:pPr>
            <w:r>
              <w:rPr>
                <w:rFonts w:ascii="Arial" w:cs="Arial" w:eastAsia="Arial" w:hAnsi="Arial"/>
                <w:sz w:val="13"/>
                <w:szCs w:val="13"/>
                <w:color w:val="auto"/>
                <w:w w:val="95"/>
              </w:rPr>
              <w:t>December 31,</w:t>
            </w:r>
          </w:p>
        </w:tc>
        <w:tc>
          <w:tcPr>
            <w:tcW w:w="0" w:type="dxa"/>
            <w:vAlign w:val="bottom"/>
          </w:tcPr>
          <w:p>
            <w:pPr>
              <w:spacing w:after="0"/>
              <w:rPr>
                <w:sz w:val="1"/>
                <w:szCs w:val="1"/>
                <w:color w:val="auto"/>
              </w:rPr>
            </w:pPr>
          </w:p>
        </w:tc>
      </w:tr>
      <w:tr>
        <w:trPr>
          <w:trHeight w:val="183"/>
        </w:trPr>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70"/>
              <w:spacing w:after="0"/>
              <w:rPr>
                <w:sz w:val="20"/>
                <w:szCs w:val="20"/>
                <w:color w:val="auto"/>
              </w:rPr>
            </w:pPr>
            <w:r>
              <w:rPr>
                <w:rFonts w:ascii="Arial" w:cs="Arial" w:eastAsia="Arial" w:hAnsi="Arial"/>
                <w:sz w:val="13"/>
                <w:szCs w:val="13"/>
                <w:color w:val="auto"/>
                <w:w w:val="96"/>
              </w:rPr>
              <w:t>2022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3"/>
                <w:szCs w:val="13"/>
                <w:color w:val="auto"/>
              </w:rPr>
              <w:t>(loss)</w:t>
            </w:r>
          </w:p>
        </w:tc>
        <w:tc>
          <w:tcPr>
            <w:tcW w:w="14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color w:val="auto"/>
                <w:w w:val="95"/>
              </w:rPr>
              <w:t>income (loss)</w:t>
            </w:r>
          </w:p>
        </w:tc>
        <w:tc>
          <w:tcPr>
            <w:tcW w:w="12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color w:val="auto"/>
                <w:w w:val="96"/>
              </w:rPr>
              <w:t>issuances</w:t>
            </w:r>
          </w:p>
        </w:tc>
        <w:tc>
          <w:tcPr>
            <w:tcW w:w="12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color w:val="auto"/>
              </w:rPr>
              <w:t>settlements</w:t>
            </w:r>
          </w:p>
        </w:tc>
        <w:tc>
          <w:tcPr>
            <w:tcW w:w="120" w:type="dxa"/>
            <w:vAlign w:val="bottom"/>
          </w:tcPr>
          <w:p>
            <w:pPr>
              <w:spacing w:after="0"/>
              <w:rPr>
                <w:sz w:val="15"/>
                <w:szCs w:val="15"/>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color w:val="auto"/>
              </w:rPr>
              <w:t>Level 3</w:t>
            </w:r>
          </w:p>
        </w:tc>
        <w:tc>
          <w:tcPr>
            <w:tcW w:w="120" w:type="dxa"/>
            <w:vAlign w:val="bottom"/>
          </w:tcPr>
          <w:p>
            <w:pPr>
              <w:spacing w:after="0"/>
              <w:rPr>
                <w:sz w:val="15"/>
                <w:szCs w:val="15"/>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color w:val="auto"/>
              </w:rPr>
              <w:t>Level 3</w:t>
            </w:r>
          </w:p>
        </w:tc>
        <w:tc>
          <w:tcPr>
            <w:tcW w:w="120" w:type="dxa"/>
            <w:vAlign w:val="bottom"/>
          </w:tcPr>
          <w:p>
            <w:pPr>
              <w:spacing w:after="0"/>
              <w:rPr>
                <w:sz w:val="15"/>
                <w:szCs w:val="15"/>
                <w:color w:val="auto"/>
              </w:rPr>
            </w:pPr>
          </w:p>
        </w:tc>
        <w:tc>
          <w:tcPr>
            <w:tcW w:w="980" w:type="dxa"/>
            <w:vAlign w:val="bottom"/>
          </w:tcPr>
          <w:p>
            <w:pPr>
              <w:jc w:val="center"/>
              <w:ind w:right="70"/>
              <w:spacing w:after="0"/>
              <w:rPr>
                <w:sz w:val="20"/>
                <w:szCs w:val="20"/>
                <w:color w:val="auto"/>
              </w:rPr>
            </w:pPr>
            <w:r>
              <w:rPr>
                <w:rFonts w:ascii="Arial" w:cs="Arial" w:eastAsia="Arial" w:hAnsi="Arial"/>
                <w:sz w:val="13"/>
                <w:szCs w:val="13"/>
                <w:color w:val="auto"/>
                <w:w w:val="96"/>
              </w:rPr>
              <w:t>2023</w:t>
            </w:r>
          </w:p>
        </w:tc>
        <w:tc>
          <w:tcPr>
            <w:tcW w:w="0" w:type="dxa"/>
            <w:vAlign w:val="bottom"/>
          </w:tcPr>
          <w:p>
            <w:pPr>
              <w:spacing w:after="0"/>
              <w:rPr>
                <w:sz w:val="1"/>
                <w:szCs w:val="1"/>
                <w:color w:val="auto"/>
              </w:rPr>
            </w:pPr>
          </w:p>
        </w:tc>
      </w:tr>
      <w:tr>
        <w:trPr>
          <w:trHeight w:val="189"/>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AFS fixed maturities:</w:t>
            </w: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140" w:type="dxa"/>
            <w:vAlign w:val="bottom"/>
          </w:tcPr>
          <w:p>
            <w:pPr>
              <w:ind w:left="140"/>
              <w:spacing w:after="0"/>
              <w:rPr>
                <w:sz w:val="20"/>
                <w:szCs w:val="20"/>
                <w:color w:val="auto"/>
              </w:rPr>
            </w:pPr>
            <w:r>
              <w:rPr>
                <w:rFonts w:ascii="Arial" w:cs="Arial" w:eastAsia="Arial" w:hAnsi="Arial"/>
                <w:sz w:val="14"/>
                <w:szCs w:val="14"/>
                <w:color w:val="auto"/>
              </w:rPr>
              <w:t>U.S. government agency</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3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State and municipal</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9"/>
        </w:trPr>
        <w:tc>
          <w:tcPr>
            <w:tcW w:w="3140" w:type="dxa"/>
            <w:vAlign w:val="bottom"/>
          </w:tcPr>
          <w:p>
            <w:pPr>
              <w:ind w:left="140"/>
              <w:spacing w:after="0"/>
              <w:rPr>
                <w:sz w:val="20"/>
                <w:szCs w:val="20"/>
                <w:color w:val="auto"/>
              </w:rPr>
            </w:pPr>
            <w:r>
              <w:rPr>
                <w:rFonts w:ascii="Arial" w:cs="Arial" w:eastAsia="Arial" w:hAnsi="Arial"/>
                <w:sz w:val="14"/>
                <w:szCs w:val="14"/>
                <w:color w:val="auto"/>
              </w:rPr>
              <w:t>Residential MBS</w:t>
            </w:r>
          </w:p>
        </w:tc>
        <w:tc>
          <w:tcPr>
            <w:tcW w:w="120" w:type="dxa"/>
            <w:vAlign w:val="bottom"/>
          </w:tcPr>
          <w:p>
            <w:pPr>
              <w:spacing w:after="0"/>
              <w:rPr>
                <w:sz w:val="17"/>
                <w:szCs w:val="17"/>
                <w:color w:val="auto"/>
              </w:rPr>
            </w:pPr>
          </w:p>
        </w:tc>
        <w:tc>
          <w:tcPr>
            <w:tcW w:w="980" w:type="dxa"/>
            <w:vAlign w:val="bottom"/>
          </w:tcPr>
          <w:p>
            <w:pPr>
              <w:jc w:val="right"/>
              <w:ind w:right="10"/>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6"/>
        </w:trPr>
        <w:tc>
          <w:tcPr>
            <w:tcW w:w="3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Commercial MBS</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3140" w:type="dxa"/>
            <w:vAlign w:val="bottom"/>
          </w:tcPr>
          <w:p>
            <w:pPr>
              <w:ind w:left="140"/>
              <w:spacing w:after="0"/>
              <w:rPr>
                <w:sz w:val="20"/>
                <w:szCs w:val="20"/>
                <w:color w:val="auto"/>
              </w:rPr>
            </w:pPr>
            <w:r>
              <w:rPr>
                <w:rFonts w:ascii="Arial" w:cs="Arial" w:eastAsia="Arial" w:hAnsi="Arial"/>
                <w:sz w:val="14"/>
                <w:szCs w:val="14"/>
                <w:color w:val="auto"/>
              </w:rPr>
              <w:t>Collateralized loan obligations</w:t>
            </w:r>
          </w:p>
        </w:tc>
        <w:tc>
          <w:tcPr>
            <w:tcW w:w="120" w:type="dxa"/>
            <w:vAlign w:val="bottom"/>
          </w:tcPr>
          <w:p>
            <w:pPr>
              <w:spacing w:after="0"/>
              <w:rPr>
                <w:sz w:val="17"/>
                <w:szCs w:val="17"/>
                <w:color w:val="auto"/>
              </w:rPr>
            </w:pPr>
          </w:p>
        </w:tc>
        <w:tc>
          <w:tcPr>
            <w:tcW w:w="980" w:type="dxa"/>
            <w:vAlign w:val="bottom"/>
          </w:tcPr>
          <w:p>
            <w:pPr>
              <w:jc w:val="right"/>
              <w:ind w:right="10"/>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6"/>
        </w:trPr>
        <w:tc>
          <w:tcPr>
            <w:tcW w:w="31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asset-backed securities</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329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198"/>
        </w:trPr>
        <w:tc>
          <w:tcPr>
            <w:tcW w:w="31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Corporate and other</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319</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92</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200"/>
        </w:trPr>
        <w:tc>
          <w:tcPr>
            <w:tcW w:w="3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AFS fixed maturities</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664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147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w:t>
            </w:r>
          </w:p>
        </w:tc>
        <w:tc>
          <w:tcPr>
            <w:tcW w:w="0" w:type="dxa"/>
            <w:vAlign w:val="bottom"/>
          </w:tcPr>
          <w:p>
            <w:pPr>
              <w:spacing w:after="0"/>
              <w:rPr>
                <w:sz w:val="1"/>
                <w:szCs w:val="1"/>
                <w:color w:val="auto"/>
              </w:rPr>
            </w:pPr>
          </w:p>
        </w:tc>
      </w:tr>
      <w:tr>
        <w:trPr>
          <w:trHeight w:val="198"/>
        </w:trPr>
        <w:tc>
          <w:tcPr>
            <w:tcW w:w="3140" w:type="dxa"/>
            <w:vAlign w:val="bottom"/>
          </w:tcPr>
          <w:p>
            <w:pPr>
              <w:ind w:left="20"/>
              <w:spacing w:after="0"/>
              <w:rPr>
                <w:sz w:val="20"/>
                <w:szCs w:val="20"/>
                <w:color w:val="auto"/>
              </w:rPr>
            </w:pPr>
            <w:r>
              <w:rPr>
                <w:rFonts w:ascii="Arial" w:cs="Arial" w:eastAsia="Arial" w:hAnsi="Arial"/>
                <w:sz w:val="14"/>
                <w:szCs w:val="14"/>
                <w:color w:val="auto"/>
              </w:rPr>
              <w:t>Equity securities</w:t>
            </w:r>
          </w:p>
        </w:tc>
        <w:tc>
          <w:tcPr>
            <w:tcW w:w="120" w:type="dxa"/>
            <w:vAlign w:val="bottom"/>
          </w:tcPr>
          <w:p>
            <w:pPr>
              <w:spacing w:after="0"/>
              <w:rPr>
                <w:sz w:val="17"/>
                <w:szCs w:val="17"/>
                <w:color w:val="auto"/>
              </w:rPr>
            </w:pPr>
          </w:p>
        </w:tc>
        <w:tc>
          <w:tcPr>
            <w:tcW w:w="980" w:type="dxa"/>
            <w:vAlign w:val="bottom"/>
          </w:tcPr>
          <w:p>
            <w:pPr>
              <w:jc w:val="right"/>
              <w:ind w:right="10"/>
              <w:spacing w:after="0"/>
              <w:rPr>
                <w:sz w:val="20"/>
                <w:szCs w:val="20"/>
                <w:color w:val="auto"/>
              </w:rPr>
            </w:pPr>
            <w:r>
              <w:rPr>
                <w:rFonts w:ascii="Arial" w:cs="Arial" w:eastAsia="Arial" w:hAnsi="Arial"/>
                <w:sz w:val="14"/>
                <w:szCs w:val="14"/>
                <w:color w:val="auto"/>
              </w:rPr>
              <w:t>427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121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485</w:t>
            </w:r>
          </w:p>
        </w:tc>
        <w:tc>
          <w:tcPr>
            <w:tcW w:w="0" w:type="dxa"/>
            <w:vAlign w:val="bottom"/>
          </w:tcPr>
          <w:p>
            <w:pPr>
              <w:spacing w:after="0"/>
              <w:rPr>
                <w:sz w:val="1"/>
                <w:szCs w:val="1"/>
                <w:color w:val="auto"/>
              </w:rPr>
            </w:pPr>
          </w:p>
        </w:tc>
      </w:tr>
      <w:tr>
        <w:trPr>
          <w:trHeight w:val="203"/>
        </w:trPr>
        <w:tc>
          <w:tcPr>
            <w:tcW w:w="3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 of MIE</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0"/>
        </w:trPr>
        <w:tc>
          <w:tcPr>
            <w:tcW w:w="3140" w:type="dxa"/>
            <w:vAlign w:val="bottom"/>
          </w:tcPr>
          <w:p>
            <w:pPr>
              <w:ind w:left="220"/>
              <w:spacing w:after="0"/>
              <w:rPr>
                <w:sz w:val="20"/>
                <w:szCs w:val="20"/>
                <w:color w:val="auto"/>
              </w:rPr>
            </w:pPr>
            <w:r>
              <w:rPr>
                <w:rFonts w:ascii="Arial" w:cs="Arial" w:eastAsia="Arial" w:hAnsi="Arial"/>
                <w:sz w:val="14"/>
                <w:szCs w:val="14"/>
                <w:color w:val="auto"/>
              </w:rPr>
              <w:t>Total Level 3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1,102</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270</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1,230</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Contingent consideration — acquisitions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23</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Level 3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6" w:name="page107"/>
    <w:bookmarkEnd w:id="10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AMERICAN FINANCIAL GROUP,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NOTES TO CONSOLIDATED FINANCIAL STATEMENTS — CONTINUED</w:t>
      </w:r>
    </w:p>
    <w:p>
      <w:pPr>
        <w:spacing w:after="0" w:line="200" w:lineRule="exact"/>
        <w:rPr>
          <w:sz w:val="20"/>
          <w:szCs w:val="20"/>
          <w:color w:val="auto"/>
        </w:rPr>
      </w:pPr>
    </w:p>
    <w:p>
      <w:pPr>
        <w:spacing w:after="0" w:line="323" w:lineRule="exact"/>
        <w:rPr>
          <w:sz w:val="20"/>
          <w:szCs w:val="20"/>
          <w:color w:val="auto"/>
        </w:rPr>
      </w:pPr>
    </w:p>
    <w:p>
      <w:pPr>
        <w:ind w:left="4660"/>
        <w:spacing w:after="0"/>
        <w:rPr>
          <w:sz w:val="20"/>
          <w:szCs w:val="20"/>
          <w:color w:val="auto"/>
        </w:rPr>
      </w:pPr>
      <w:r>
        <w:rPr>
          <w:rFonts w:ascii="Arial" w:cs="Arial" w:eastAsia="Arial" w:hAnsi="Arial"/>
          <w:sz w:val="13"/>
          <w:szCs w:val="13"/>
          <w:color w:val="auto"/>
        </w:rPr>
        <w:t>Total realized/unrealized</w:t>
      </w:r>
    </w:p>
    <w:p>
      <w:pPr>
        <w:ind w:left="4640"/>
        <w:spacing w:after="0"/>
        <w:rPr>
          <w:sz w:val="20"/>
          <w:szCs w:val="20"/>
          <w:color w:val="auto"/>
        </w:rPr>
      </w:pPr>
      <w:r>
        <w:rPr>
          <w:rFonts w:ascii="Arial" w:cs="Arial" w:eastAsia="Arial" w:hAnsi="Arial"/>
          <w:sz w:val="13"/>
          <w:szCs w:val="13"/>
          <w:color w:val="auto"/>
        </w:rPr>
        <w:t>gains (losses) included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20320</wp:posOffset>
            </wp:positionV>
            <wp:extent cx="129413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3"/>
                <w:szCs w:val="13"/>
                <w:color w:val="auto"/>
                <w:w w:val="97"/>
              </w:rPr>
              <w:t>Balance at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3"/>
                <w:szCs w:val="13"/>
                <w:color w:val="auto"/>
                <w:w w:val="98"/>
              </w:rPr>
              <w:t>Net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4"/>
          </w:tcPr>
          <w:p>
            <w:pPr>
              <w:jc w:val="center"/>
              <w:ind w:right="290"/>
              <w:spacing w:after="0"/>
              <w:rPr>
                <w:sz w:val="20"/>
                <w:szCs w:val="20"/>
                <w:color w:val="auto"/>
              </w:rPr>
            </w:pPr>
            <w:r>
              <w:rPr>
                <w:rFonts w:ascii="Arial" w:cs="Arial" w:eastAsia="Arial" w:hAnsi="Arial"/>
                <w:sz w:val="13"/>
                <w:szCs w:val="13"/>
                <w:color w:val="auto"/>
                <w:w w:val="98"/>
              </w:rPr>
              <w:t>Other</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3"/>
          </w:tcPr>
          <w:p>
            <w:pPr>
              <w:jc w:val="center"/>
              <w:ind w:right="49"/>
              <w:spacing w:after="0"/>
              <w:rPr>
                <w:sz w:val="20"/>
                <w:szCs w:val="20"/>
                <w:color w:val="auto"/>
              </w:rPr>
            </w:pPr>
            <w:r>
              <w:rPr>
                <w:rFonts w:ascii="Arial" w:cs="Arial" w:eastAsia="Arial" w:hAnsi="Arial"/>
                <w:sz w:val="13"/>
                <w:szCs w:val="13"/>
                <w:color w:val="auto"/>
                <w:w w:val="97"/>
              </w:rPr>
              <w:t>Purchases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5"/>
            <w:vMerge w:val="restart"/>
          </w:tcPr>
          <w:p>
            <w:pPr>
              <w:jc w:val="center"/>
              <w:ind w:right="260"/>
              <w:spacing w:after="0"/>
              <w:rPr>
                <w:sz w:val="20"/>
                <w:szCs w:val="20"/>
                <w:color w:val="auto"/>
              </w:rPr>
            </w:pPr>
            <w:r>
              <w:rPr>
                <w:rFonts w:ascii="Arial" w:cs="Arial" w:eastAsia="Arial" w:hAnsi="Arial"/>
                <w:sz w:val="13"/>
                <w:szCs w:val="13"/>
                <w:color w:val="auto"/>
                <w:w w:val="96"/>
              </w:rPr>
              <w:t>Sales and</w:t>
            </w:r>
          </w:p>
        </w:tc>
        <w:tc>
          <w:tcPr>
            <w:tcW w:w="60" w:type="dxa"/>
            <w:vAlign w:val="bottom"/>
          </w:tcPr>
          <w:p>
            <w:pPr>
              <w:spacing w:after="0"/>
              <w:rPr>
                <w:sz w:val="13"/>
                <w:szCs w:val="13"/>
                <w:color w:val="auto"/>
              </w:rPr>
            </w:pPr>
          </w:p>
        </w:tc>
        <w:tc>
          <w:tcPr>
            <w:tcW w:w="780" w:type="dxa"/>
            <w:vAlign w:val="bottom"/>
            <w:gridSpan w:val="4"/>
          </w:tcPr>
          <w:p>
            <w:pPr>
              <w:jc w:val="center"/>
              <w:ind w:right="160"/>
              <w:spacing w:after="0"/>
              <w:rPr>
                <w:sz w:val="20"/>
                <w:szCs w:val="20"/>
                <w:color w:val="auto"/>
              </w:rPr>
            </w:pPr>
            <w:r>
              <w:rPr>
                <w:rFonts w:ascii="Arial" w:cs="Arial" w:eastAsia="Arial" w:hAnsi="Arial"/>
                <w:sz w:val="13"/>
                <w:szCs w:val="13"/>
                <w:color w:val="auto"/>
                <w:w w:val="94"/>
              </w:rPr>
              <w:t>Transfer</w:t>
            </w:r>
          </w:p>
        </w:tc>
        <w:tc>
          <w:tcPr>
            <w:tcW w:w="40" w:type="dxa"/>
            <w:vAlign w:val="bottom"/>
          </w:tcPr>
          <w:p>
            <w:pPr>
              <w:spacing w:after="0"/>
              <w:rPr>
                <w:sz w:val="13"/>
                <w:szCs w:val="13"/>
                <w:color w:val="auto"/>
              </w:rPr>
            </w:pPr>
          </w:p>
        </w:tc>
        <w:tc>
          <w:tcPr>
            <w:tcW w:w="800" w:type="dxa"/>
            <w:vAlign w:val="bottom"/>
            <w:gridSpan w:val="4"/>
          </w:tcPr>
          <w:p>
            <w:pPr>
              <w:jc w:val="center"/>
              <w:ind w:right="140"/>
              <w:spacing w:after="0"/>
              <w:rPr>
                <w:sz w:val="20"/>
                <w:szCs w:val="20"/>
                <w:color w:val="auto"/>
              </w:rPr>
            </w:pPr>
            <w:r>
              <w:rPr>
                <w:rFonts w:ascii="Arial" w:cs="Arial" w:eastAsia="Arial" w:hAnsi="Arial"/>
                <w:sz w:val="13"/>
                <w:szCs w:val="13"/>
                <w:color w:val="auto"/>
                <w:w w:val="94"/>
              </w:rPr>
              <w:t>Transfer</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center"/>
              <w:ind w:right="90"/>
              <w:spacing w:after="0"/>
              <w:rPr>
                <w:sz w:val="20"/>
                <w:szCs w:val="20"/>
                <w:color w:val="auto"/>
              </w:rPr>
            </w:pPr>
            <w:r>
              <w:rPr>
                <w:rFonts w:ascii="Arial" w:cs="Arial" w:eastAsia="Arial" w:hAnsi="Arial"/>
                <w:sz w:val="13"/>
                <w:szCs w:val="13"/>
                <w:color w:val="auto"/>
                <w:w w:val="97"/>
              </w:rPr>
              <w:t>Balance at</w:t>
            </w:r>
          </w:p>
        </w:tc>
        <w:tc>
          <w:tcPr>
            <w:tcW w:w="0" w:type="dxa"/>
            <w:vAlign w:val="bottom"/>
          </w:tcPr>
          <w:p>
            <w:pPr>
              <w:spacing w:after="0"/>
              <w:rPr>
                <w:sz w:val="1"/>
                <w:szCs w:val="1"/>
                <w:color w:val="auto"/>
              </w:rPr>
            </w:pPr>
          </w:p>
        </w:tc>
      </w:tr>
      <w:tr>
        <w:trPr>
          <w:trHeight w:val="122"/>
        </w:trPr>
        <w:tc>
          <w:tcPr>
            <w:tcW w:w="3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100"/>
              <w:spacing w:after="0" w:line="122" w:lineRule="exact"/>
              <w:rPr>
                <w:sz w:val="20"/>
                <w:szCs w:val="20"/>
                <w:color w:val="auto"/>
              </w:rPr>
            </w:pPr>
            <w:r>
              <w:rPr>
                <w:rFonts w:ascii="Arial" w:cs="Arial" w:eastAsia="Arial" w:hAnsi="Arial"/>
                <w:sz w:val="13"/>
                <w:szCs w:val="13"/>
                <w:color w:val="auto"/>
                <w:w w:val="95"/>
              </w:rPr>
              <w:t>December 31,</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center"/>
              <w:ind w:right="60"/>
              <w:spacing w:after="0" w:line="122" w:lineRule="exact"/>
              <w:rPr>
                <w:sz w:val="20"/>
                <w:szCs w:val="20"/>
                <w:color w:val="auto"/>
              </w:rPr>
            </w:pPr>
            <w:r>
              <w:rPr>
                <w:rFonts w:ascii="Arial" w:cs="Arial" w:eastAsia="Arial" w:hAnsi="Arial"/>
                <w:sz w:val="13"/>
                <w:szCs w:val="13"/>
                <w:color w:val="auto"/>
                <w:w w:val="96"/>
              </w:rPr>
              <w:t>earnings</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5"/>
          </w:tcPr>
          <w:p>
            <w:pPr>
              <w:jc w:val="center"/>
              <w:ind w:left="9"/>
              <w:spacing w:after="0" w:line="122" w:lineRule="exact"/>
              <w:rPr>
                <w:sz w:val="20"/>
                <w:szCs w:val="20"/>
                <w:color w:val="auto"/>
              </w:rPr>
            </w:pPr>
            <w:r>
              <w:rPr>
                <w:rFonts w:ascii="Arial" w:cs="Arial" w:eastAsia="Arial" w:hAnsi="Arial"/>
                <w:sz w:val="13"/>
                <w:szCs w:val="13"/>
                <w:color w:val="auto"/>
                <w:w w:val="97"/>
              </w:rPr>
              <w:t>comprehensive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center"/>
              <w:ind w:right="229"/>
              <w:spacing w:after="0" w:line="122" w:lineRule="exact"/>
              <w:rPr>
                <w:sz w:val="20"/>
                <w:szCs w:val="20"/>
                <w:color w:val="auto"/>
              </w:rPr>
            </w:pPr>
            <w:r>
              <w:rPr>
                <w:rFonts w:ascii="Arial" w:cs="Arial" w:eastAsia="Arial" w:hAnsi="Arial"/>
                <w:sz w:val="13"/>
                <w:szCs w:val="13"/>
                <w:color w:val="auto"/>
              </w:rPr>
              <w:t>and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3"/>
          </w:tcPr>
          <w:p>
            <w:pPr>
              <w:jc w:val="center"/>
              <w:ind w:right="260"/>
              <w:spacing w:after="0" w:line="122" w:lineRule="exact"/>
              <w:rPr>
                <w:sz w:val="20"/>
                <w:szCs w:val="20"/>
                <w:color w:val="auto"/>
              </w:rPr>
            </w:pPr>
            <w:r>
              <w:rPr>
                <w:rFonts w:ascii="Arial" w:cs="Arial" w:eastAsia="Arial" w:hAnsi="Arial"/>
                <w:sz w:val="13"/>
                <w:szCs w:val="13"/>
                <w:color w:val="auto"/>
              </w:rPr>
              <w:t>into</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3"/>
          </w:tcPr>
          <w:p>
            <w:pPr>
              <w:ind w:left="40"/>
              <w:spacing w:after="0" w:line="122" w:lineRule="exact"/>
              <w:rPr>
                <w:sz w:val="20"/>
                <w:szCs w:val="20"/>
                <w:color w:val="auto"/>
              </w:rPr>
            </w:pPr>
            <w:r>
              <w:rPr>
                <w:rFonts w:ascii="Arial" w:cs="Arial" w:eastAsia="Arial" w:hAnsi="Arial"/>
                <w:sz w:val="13"/>
                <w:szCs w:val="13"/>
                <w:color w:val="auto"/>
              </w:rPr>
              <w:t>out of</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center"/>
              <w:ind w:right="70"/>
              <w:spacing w:after="0" w:line="122" w:lineRule="exact"/>
              <w:rPr>
                <w:sz w:val="20"/>
                <w:szCs w:val="20"/>
                <w:color w:val="auto"/>
              </w:rPr>
            </w:pPr>
            <w:r>
              <w:rPr>
                <w:rFonts w:ascii="Arial" w:cs="Arial" w:eastAsia="Arial" w:hAnsi="Arial"/>
                <w:sz w:val="13"/>
                <w:szCs w:val="13"/>
                <w:color w:val="auto"/>
                <w:w w:val="95"/>
              </w:rPr>
              <w:t>December 31,</w:t>
            </w:r>
          </w:p>
        </w:tc>
        <w:tc>
          <w:tcPr>
            <w:tcW w:w="0" w:type="dxa"/>
            <w:vAlign w:val="bottom"/>
          </w:tcPr>
          <w:p>
            <w:pPr>
              <w:spacing w:after="0"/>
              <w:rPr>
                <w:sz w:val="1"/>
                <w:szCs w:val="1"/>
                <w:color w:val="auto"/>
              </w:rPr>
            </w:pPr>
          </w:p>
        </w:tc>
      </w:tr>
      <w:tr>
        <w:trPr>
          <w:trHeight w:val="183"/>
        </w:trPr>
        <w:tc>
          <w:tcPr>
            <w:tcW w:w="3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6"/>
              </w:rPr>
              <w:t>2021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3"/>
                <w:szCs w:val="13"/>
                <w:color w:val="auto"/>
              </w:rPr>
              <w:t>(loss)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5"/>
          </w:tcPr>
          <w:p>
            <w:pPr>
              <w:jc w:val="center"/>
              <w:ind w:left="9"/>
              <w:spacing w:after="0"/>
              <w:rPr>
                <w:sz w:val="20"/>
                <w:szCs w:val="20"/>
                <w:color w:val="auto"/>
              </w:rPr>
            </w:pPr>
            <w:r>
              <w:rPr>
                <w:rFonts w:ascii="Arial" w:cs="Arial" w:eastAsia="Arial" w:hAnsi="Arial"/>
                <w:sz w:val="13"/>
                <w:szCs w:val="13"/>
                <w:color w:val="auto"/>
                <w:w w:val="95"/>
              </w:rPr>
              <w:t>income (loss)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3"/>
          </w:tcPr>
          <w:p>
            <w:pPr>
              <w:jc w:val="center"/>
              <w:ind w:right="49"/>
              <w:spacing w:after="0"/>
              <w:rPr>
                <w:sz w:val="20"/>
                <w:szCs w:val="20"/>
                <w:color w:val="auto"/>
              </w:rPr>
            </w:pPr>
            <w:r>
              <w:rPr>
                <w:rFonts w:ascii="Arial" w:cs="Arial" w:eastAsia="Arial" w:hAnsi="Arial"/>
                <w:sz w:val="13"/>
                <w:szCs w:val="13"/>
                <w:color w:val="auto"/>
                <w:w w:val="96"/>
              </w:rPr>
              <w:t>issuances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6"/>
          </w:tcPr>
          <w:p>
            <w:pPr>
              <w:jc w:val="center"/>
              <w:ind w:right="240"/>
              <w:spacing w:after="0"/>
              <w:rPr>
                <w:sz w:val="20"/>
                <w:szCs w:val="20"/>
                <w:color w:val="auto"/>
              </w:rPr>
            </w:pPr>
            <w:r>
              <w:rPr>
                <w:rFonts w:ascii="Arial" w:cs="Arial" w:eastAsia="Arial" w:hAnsi="Arial"/>
                <w:sz w:val="13"/>
                <w:szCs w:val="13"/>
                <w:color w:val="auto"/>
                <w:w w:val="96"/>
              </w:rPr>
              <w:t>settlements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3"/>
          </w:tcPr>
          <w:p>
            <w:pPr>
              <w:jc w:val="center"/>
              <w:ind w:right="260"/>
              <w:spacing w:after="0"/>
              <w:rPr>
                <w:sz w:val="20"/>
                <w:szCs w:val="20"/>
                <w:color w:val="auto"/>
              </w:rPr>
            </w:pPr>
            <w:r>
              <w:rPr>
                <w:rFonts w:ascii="Arial" w:cs="Arial" w:eastAsia="Arial" w:hAnsi="Arial"/>
                <w:sz w:val="13"/>
                <w:szCs w:val="13"/>
                <w:color w:val="auto"/>
              </w:rPr>
              <w:t>Level 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3"/>
          </w:tcPr>
          <w:p>
            <w:pPr>
              <w:jc w:val="center"/>
              <w:ind w:right="260"/>
              <w:spacing w:after="0"/>
              <w:rPr>
                <w:sz w:val="20"/>
                <w:szCs w:val="20"/>
                <w:color w:val="auto"/>
              </w:rPr>
            </w:pPr>
            <w:r>
              <w:rPr>
                <w:rFonts w:ascii="Arial" w:cs="Arial" w:eastAsia="Arial" w:hAnsi="Arial"/>
                <w:sz w:val="13"/>
                <w:szCs w:val="13"/>
                <w:color w:val="auto"/>
              </w:rPr>
              <w:t>Level 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90"/>
              <w:spacing w:after="0"/>
              <w:rPr>
                <w:sz w:val="20"/>
                <w:szCs w:val="20"/>
                <w:color w:val="auto"/>
              </w:rPr>
            </w:pPr>
            <w:r>
              <w:rPr>
                <w:rFonts w:ascii="Arial" w:cs="Arial" w:eastAsia="Arial" w:hAnsi="Arial"/>
                <w:sz w:val="13"/>
                <w:szCs w:val="13"/>
                <w:color w:val="auto"/>
                <w:w w:val="96"/>
              </w:rPr>
              <w:t>2022</w:t>
            </w:r>
          </w:p>
        </w:tc>
        <w:tc>
          <w:tcPr>
            <w:tcW w:w="0" w:type="dxa"/>
            <w:vAlign w:val="bottom"/>
          </w:tcPr>
          <w:p>
            <w:pPr>
              <w:spacing w:after="0"/>
              <w:rPr>
                <w:sz w:val="1"/>
                <w:szCs w:val="1"/>
                <w:color w:val="auto"/>
              </w:rPr>
            </w:pPr>
          </w:p>
        </w:tc>
      </w:tr>
      <w:tr>
        <w:trPr>
          <w:trHeight w:val="189"/>
        </w:trPr>
        <w:tc>
          <w:tcPr>
            <w:tcW w:w="31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AFS fixed maturities:</w:t>
            </w: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140" w:type="dxa"/>
            <w:vAlign w:val="bottom"/>
            <w:gridSpan w:val="2"/>
          </w:tcPr>
          <w:p>
            <w:pPr>
              <w:ind w:left="140"/>
              <w:spacing w:after="0"/>
              <w:rPr>
                <w:sz w:val="20"/>
                <w:szCs w:val="20"/>
                <w:color w:val="auto"/>
              </w:rPr>
            </w:pPr>
            <w:r>
              <w:rPr>
                <w:rFonts w:ascii="Arial" w:cs="Arial" w:eastAsia="Arial" w:hAnsi="Arial"/>
                <w:sz w:val="14"/>
                <w:szCs w:val="14"/>
                <w:color w:val="auto"/>
              </w:rPr>
              <w:t>U.S. government agency</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ind w:left="300"/>
              <w:spacing w:after="0"/>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1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State and municipal</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8"/>
        </w:trPr>
        <w:tc>
          <w:tcPr>
            <w:tcW w:w="3140" w:type="dxa"/>
            <w:vAlign w:val="bottom"/>
            <w:gridSpan w:val="2"/>
          </w:tcPr>
          <w:p>
            <w:pPr>
              <w:ind w:left="140"/>
              <w:spacing w:after="0"/>
              <w:rPr>
                <w:sz w:val="20"/>
                <w:szCs w:val="20"/>
                <w:color w:val="auto"/>
              </w:rPr>
            </w:pPr>
            <w:r>
              <w:rPr>
                <w:rFonts w:ascii="Arial" w:cs="Arial" w:eastAsia="Arial" w:hAnsi="Arial"/>
                <w:sz w:val="14"/>
                <w:szCs w:val="14"/>
                <w:color w:val="auto"/>
              </w:rPr>
              <w:t>Residential MBS</w:t>
            </w:r>
          </w:p>
        </w:tc>
        <w:tc>
          <w:tcPr>
            <w:tcW w:w="10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14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7"/>
        </w:trPr>
        <w:tc>
          <w:tcPr>
            <w:tcW w:w="31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Commercial MBS</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ind w:left="300"/>
              <w:spacing w:after="0"/>
              <w:rPr>
                <w:sz w:val="20"/>
                <w:szCs w:val="20"/>
                <w:color w:val="auto"/>
              </w:rPr>
            </w:pPr>
            <w:r>
              <w:rPr>
                <w:rFonts w:ascii="Arial" w:cs="Arial" w:eastAsia="Arial" w:hAnsi="Arial"/>
                <w:sz w:val="14"/>
                <w:szCs w:val="14"/>
                <w:color w:val="auto"/>
                <w:w w:val="85"/>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140" w:type="dxa"/>
            <w:vAlign w:val="bottom"/>
            <w:gridSpan w:val="2"/>
          </w:tcPr>
          <w:p>
            <w:pPr>
              <w:ind w:left="140"/>
              <w:spacing w:after="0"/>
              <w:rPr>
                <w:sz w:val="20"/>
                <w:szCs w:val="20"/>
                <w:color w:val="auto"/>
              </w:rPr>
            </w:pPr>
            <w:r>
              <w:rPr>
                <w:rFonts w:ascii="Arial" w:cs="Arial" w:eastAsia="Arial" w:hAnsi="Arial"/>
                <w:sz w:val="14"/>
                <w:szCs w:val="14"/>
                <w:color w:val="auto"/>
              </w:rPr>
              <w:t>Collateralized loan obligations</w:t>
            </w:r>
          </w:p>
        </w:tc>
        <w:tc>
          <w:tcPr>
            <w:tcW w:w="10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ind w:left="300"/>
              <w:spacing w:after="0"/>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7"/>
        </w:trPr>
        <w:tc>
          <w:tcPr>
            <w:tcW w:w="31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Other asset-backed securities</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278</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198"/>
        </w:trPr>
        <w:tc>
          <w:tcPr>
            <w:tcW w:w="314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Corporate and other</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267</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200"/>
        </w:trPr>
        <w:tc>
          <w:tcPr>
            <w:tcW w:w="31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Total AFS fixed maturities</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600</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664</w:t>
            </w:r>
          </w:p>
        </w:tc>
        <w:tc>
          <w:tcPr>
            <w:tcW w:w="0" w:type="dxa"/>
            <w:vAlign w:val="bottom"/>
          </w:tcPr>
          <w:p>
            <w:pPr>
              <w:spacing w:after="0"/>
              <w:rPr>
                <w:sz w:val="1"/>
                <w:szCs w:val="1"/>
                <w:color w:val="auto"/>
              </w:rPr>
            </w:pPr>
          </w:p>
        </w:tc>
      </w:tr>
      <w:tr>
        <w:trPr>
          <w:trHeight w:val="198"/>
        </w:trPr>
        <w:tc>
          <w:tcPr>
            <w:tcW w:w="3140" w:type="dxa"/>
            <w:vAlign w:val="bottom"/>
            <w:gridSpan w:val="2"/>
          </w:tcPr>
          <w:p>
            <w:pPr>
              <w:ind w:left="20"/>
              <w:spacing w:after="0"/>
              <w:rPr>
                <w:sz w:val="20"/>
                <w:szCs w:val="20"/>
                <w:color w:val="auto"/>
              </w:rPr>
            </w:pPr>
            <w:r>
              <w:rPr>
                <w:rFonts w:ascii="Arial" w:cs="Arial" w:eastAsia="Arial" w:hAnsi="Arial"/>
                <w:sz w:val="14"/>
                <w:szCs w:val="14"/>
                <w:color w:val="auto"/>
              </w:rPr>
              <w:t>Equity securities</w:t>
            </w:r>
          </w:p>
        </w:tc>
        <w:tc>
          <w:tcPr>
            <w:tcW w:w="10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313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29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ind w:left="300"/>
              <w:spacing w:after="0"/>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427</w:t>
            </w:r>
          </w:p>
        </w:tc>
        <w:tc>
          <w:tcPr>
            <w:tcW w:w="0" w:type="dxa"/>
            <w:vAlign w:val="bottom"/>
          </w:tcPr>
          <w:p>
            <w:pPr>
              <w:spacing w:after="0"/>
              <w:rPr>
                <w:sz w:val="1"/>
                <w:szCs w:val="1"/>
                <w:color w:val="auto"/>
              </w:rPr>
            </w:pPr>
          </w:p>
        </w:tc>
      </w:tr>
      <w:tr>
        <w:trPr>
          <w:trHeight w:val="203"/>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 of MIE</w:t>
            </w: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w w:val="85"/>
              </w:rPr>
              <w:t>—</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0"/>
        </w:trPr>
        <w:tc>
          <w:tcPr>
            <w:tcW w:w="3140" w:type="dxa"/>
            <w:vAlign w:val="bottom"/>
            <w:gridSpan w:val="2"/>
          </w:tcPr>
          <w:p>
            <w:pPr>
              <w:ind w:left="220"/>
              <w:spacing w:after="0"/>
              <w:rPr>
                <w:sz w:val="20"/>
                <w:szCs w:val="20"/>
                <w:color w:val="auto"/>
              </w:rPr>
            </w:pPr>
            <w:r>
              <w:rPr>
                <w:rFonts w:ascii="Arial" w:cs="Arial" w:eastAsia="Arial" w:hAnsi="Arial"/>
                <w:sz w:val="14"/>
                <w:szCs w:val="14"/>
                <w:color w:val="auto"/>
              </w:rPr>
              <w:t>Total Level 3 assets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926</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24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(53)</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338</w:t>
            </w:r>
          </w:p>
        </w:tc>
        <w:tc>
          <w:tcPr>
            <w:tcW w:w="2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72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(88)</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1,102</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1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Contingent consideration — acquisitions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(23)</w:t>
            </w:r>
          </w:p>
        </w:tc>
        <w:tc>
          <w:tcPr>
            <w:tcW w:w="80" w:type="dxa"/>
            <w:vAlign w:val="bottom"/>
            <w:tcBorders>
              <w:bottom w:val="single" w:sz="8" w:color="CCEEFF"/>
            </w:tcBorders>
            <w:gridSpan w:val="2"/>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w w:val="85"/>
              </w:rPr>
              <w:t>—</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tcPr>
          <w:p>
            <w:pPr>
              <w:spacing w:after="0"/>
              <w:rPr>
                <w:sz w:val="17"/>
                <w:szCs w:val="17"/>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tcPr>
          <w:p>
            <w:pPr>
              <w:spacing w:after="0"/>
              <w:rPr>
                <w:sz w:val="17"/>
                <w:szCs w:val="17"/>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tcPr>
          <w:p>
            <w:pPr>
              <w:spacing w:after="0"/>
              <w:rPr>
                <w:sz w:val="17"/>
                <w:szCs w:val="17"/>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20"/>
        </w:trPr>
        <w:tc>
          <w:tcPr>
            <w:tcW w:w="31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Total Level 3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(23)</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ind w:left="300"/>
              <w:spacing w:after="0"/>
              <w:rPr>
                <w:sz w:val="20"/>
                <w:szCs w:val="20"/>
                <w:color w:val="auto"/>
              </w:rPr>
            </w:pPr>
            <w:r>
              <w:rPr>
                <w:rFonts w:ascii="Arial" w:cs="Arial" w:eastAsia="Arial" w:hAnsi="Arial"/>
                <w:sz w:val="14"/>
                <w:szCs w:val="14"/>
                <w:color w:val="auto"/>
                <w:w w:val="85"/>
              </w:rPr>
              <w:t>—</w:t>
            </w:r>
          </w:p>
        </w:tc>
        <w:tc>
          <w:tcPr>
            <w:tcW w:w="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3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center"/>
              <w:ind w:left="330"/>
              <w:spacing w:after="0"/>
              <w:rPr>
                <w:sz w:val="20"/>
                <w:szCs w:val="20"/>
                <w:color w:val="auto"/>
              </w:rPr>
            </w:pPr>
            <w:r>
              <w:rPr>
                <w:rFonts w:ascii="Arial" w:cs="Arial" w:eastAsia="Arial" w:hAnsi="Arial"/>
                <w:sz w:val="13"/>
                <w:szCs w:val="13"/>
                <w:color w:val="auto"/>
                <w:w w:val="89"/>
              </w:rPr>
              <w:t>Total</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5"/>
          </w:tcPr>
          <w:p>
            <w:pPr>
              <w:jc w:val="center"/>
              <w:ind w:right="69"/>
              <w:spacing w:after="0" w:line="122" w:lineRule="exact"/>
              <w:rPr>
                <w:sz w:val="20"/>
                <w:szCs w:val="20"/>
                <w:color w:val="auto"/>
              </w:rPr>
            </w:pPr>
            <w:r>
              <w:rPr>
                <w:rFonts w:ascii="Arial" w:cs="Arial" w:eastAsia="Arial" w:hAnsi="Arial"/>
                <w:sz w:val="13"/>
                <w:szCs w:val="13"/>
                <w:color w:val="auto"/>
                <w:w w:val="97"/>
              </w:rPr>
              <w:t>realized/unrealized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gridSpan w:val="7"/>
          </w:tcPr>
          <w:p>
            <w:pPr>
              <w:jc w:val="center"/>
              <w:spacing w:after="0" w:line="131" w:lineRule="exact"/>
              <w:rPr>
                <w:sz w:val="20"/>
                <w:szCs w:val="20"/>
                <w:color w:val="auto"/>
              </w:rPr>
            </w:pPr>
            <w:r>
              <w:rPr>
                <w:rFonts w:ascii="Arial" w:cs="Arial" w:eastAsia="Arial" w:hAnsi="Arial"/>
                <w:sz w:val="13"/>
                <w:szCs w:val="13"/>
                <w:color w:val="auto"/>
                <w:w w:val="96"/>
              </w:rPr>
              <w:t>gains (losses) included</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center"/>
              <w:ind w:left="330"/>
              <w:spacing w:after="0"/>
              <w:rPr>
                <w:sz w:val="20"/>
                <w:szCs w:val="20"/>
                <w:color w:val="auto"/>
              </w:rPr>
            </w:pPr>
            <w:r>
              <w:rPr>
                <w:rFonts w:ascii="Arial" w:cs="Arial" w:eastAsia="Arial" w:hAnsi="Arial"/>
                <w:sz w:val="13"/>
                <w:szCs w:val="13"/>
                <w:color w:val="auto"/>
                <w:w w:val="98"/>
              </w:rPr>
              <w:t>in</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color w:val="auto"/>
                <w:w w:val="97"/>
              </w:rPr>
              <w:t>Balance at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3"/>
                <w:szCs w:val="13"/>
                <w:color w:val="auto"/>
                <w:w w:val="98"/>
              </w:rPr>
              <w:t>Net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4"/>
          </w:tcPr>
          <w:p>
            <w:pPr>
              <w:jc w:val="center"/>
              <w:ind w:right="28"/>
              <w:spacing w:after="0"/>
              <w:rPr>
                <w:sz w:val="20"/>
                <w:szCs w:val="20"/>
                <w:color w:val="auto"/>
              </w:rPr>
            </w:pPr>
            <w:r>
              <w:rPr>
                <w:rFonts w:ascii="Arial" w:cs="Arial" w:eastAsia="Arial" w:hAnsi="Arial"/>
                <w:sz w:val="13"/>
                <w:szCs w:val="13"/>
                <w:color w:val="auto"/>
                <w:w w:val="97"/>
              </w:rPr>
              <w:t>Purchases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4"/>
            <w:vMerge w:val="restart"/>
          </w:tcPr>
          <w:p>
            <w:pPr>
              <w:jc w:val="right"/>
              <w:ind w:right="68"/>
              <w:spacing w:after="0"/>
              <w:rPr>
                <w:sz w:val="20"/>
                <w:szCs w:val="20"/>
                <w:color w:val="auto"/>
              </w:rPr>
            </w:pPr>
            <w:r>
              <w:rPr>
                <w:rFonts w:ascii="Arial" w:cs="Arial" w:eastAsia="Arial" w:hAnsi="Arial"/>
                <w:sz w:val="13"/>
                <w:szCs w:val="13"/>
                <w:color w:val="auto"/>
              </w:rPr>
              <w:t>Sales and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3"/>
                <w:szCs w:val="13"/>
                <w:color w:val="auto"/>
                <w:w w:val="94"/>
              </w:rPr>
              <w:t>Transfer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center"/>
              <w:ind w:right="140"/>
              <w:spacing w:after="0"/>
              <w:rPr>
                <w:sz w:val="20"/>
                <w:szCs w:val="20"/>
                <w:color w:val="auto"/>
              </w:rPr>
            </w:pPr>
            <w:r>
              <w:rPr>
                <w:rFonts w:ascii="Arial" w:cs="Arial" w:eastAsia="Arial" w:hAnsi="Arial"/>
                <w:sz w:val="13"/>
                <w:szCs w:val="13"/>
                <w:color w:val="auto"/>
                <w:w w:val="94"/>
              </w:rPr>
              <w:t>Transfer</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Sale of</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10"/>
              <w:spacing w:after="0"/>
              <w:rPr>
                <w:sz w:val="20"/>
                <w:szCs w:val="20"/>
                <w:color w:val="auto"/>
              </w:rPr>
            </w:pPr>
            <w:r>
              <w:rPr>
                <w:rFonts w:ascii="Arial" w:cs="Arial" w:eastAsia="Arial" w:hAnsi="Arial"/>
                <w:sz w:val="13"/>
                <w:szCs w:val="13"/>
                <w:color w:val="auto"/>
                <w:w w:val="97"/>
              </w:rPr>
              <w:t>Balance at</w:t>
            </w:r>
          </w:p>
        </w:tc>
        <w:tc>
          <w:tcPr>
            <w:tcW w:w="0" w:type="dxa"/>
            <w:vAlign w:val="bottom"/>
          </w:tcPr>
          <w:p>
            <w:pPr>
              <w:spacing w:after="0"/>
              <w:rPr>
                <w:sz w:val="1"/>
                <w:szCs w:val="1"/>
                <w:color w:val="auto"/>
              </w:rPr>
            </w:pPr>
          </w:p>
        </w:tc>
      </w:tr>
      <w:tr>
        <w:trPr>
          <w:trHeight w:val="121"/>
        </w:trPr>
        <w:tc>
          <w:tcPr>
            <w:tcW w:w="3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180"/>
              <w:spacing w:after="0" w:line="122" w:lineRule="exact"/>
              <w:rPr>
                <w:sz w:val="20"/>
                <w:szCs w:val="20"/>
                <w:color w:val="auto"/>
              </w:rPr>
            </w:pPr>
            <w:r>
              <w:rPr>
                <w:rFonts w:ascii="Arial" w:cs="Arial" w:eastAsia="Arial" w:hAnsi="Arial"/>
                <w:sz w:val="13"/>
                <w:szCs w:val="13"/>
                <w:color w:val="auto"/>
                <w:w w:val="95"/>
              </w:rPr>
              <w:t>December 31,</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tcPr>
          <w:p>
            <w:pPr>
              <w:jc w:val="center"/>
              <w:ind w:right="160"/>
              <w:spacing w:after="0" w:line="122" w:lineRule="exact"/>
              <w:rPr>
                <w:sz w:val="20"/>
                <w:szCs w:val="20"/>
                <w:color w:val="auto"/>
              </w:rPr>
            </w:pPr>
            <w:r>
              <w:rPr>
                <w:rFonts w:ascii="Arial" w:cs="Arial" w:eastAsia="Arial" w:hAnsi="Arial"/>
                <w:sz w:val="13"/>
                <w:szCs w:val="13"/>
                <w:color w:val="auto"/>
                <w:w w:val="96"/>
              </w:rPr>
              <w:t>earnings</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center"/>
              <w:ind w:left="130"/>
              <w:spacing w:after="0" w:line="122" w:lineRule="exact"/>
              <w:rPr>
                <w:sz w:val="20"/>
                <w:szCs w:val="20"/>
                <w:color w:val="auto"/>
              </w:rPr>
            </w:pPr>
            <w:r>
              <w:rPr>
                <w:rFonts w:ascii="Arial" w:cs="Arial" w:eastAsia="Arial" w:hAnsi="Arial"/>
                <w:sz w:val="13"/>
                <w:szCs w:val="13"/>
                <w:color w:val="auto"/>
                <w:w w:val="92"/>
              </w:rPr>
              <w:t>and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3"/>
          </w:tcPr>
          <w:p>
            <w:pPr>
              <w:jc w:val="center"/>
              <w:ind w:right="160"/>
              <w:spacing w:after="0" w:line="122" w:lineRule="exact"/>
              <w:rPr>
                <w:sz w:val="20"/>
                <w:szCs w:val="20"/>
                <w:color w:val="auto"/>
              </w:rPr>
            </w:pPr>
            <w:r>
              <w:rPr>
                <w:rFonts w:ascii="Arial" w:cs="Arial" w:eastAsia="Arial" w:hAnsi="Arial"/>
                <w:sz w:val="13"/>
                <w:szCs w:val="13"/>
                <w:color w:val="auto"/>
                <w:w w:val="95"/>
              </w:rPr>
              <w:t>into</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3"/>
          </w:tcPr>
          <w:p>
            <w:pPr>
              <w:jc w:val="center"/>
              <w:ind w:right="140"/>
              <w:spacing w:after="0" w:line="122" w:lineRule="exact"/>
              <w:rPr>
                <w:sz w:val="20"/>
                <w:szCs w:val="20"/>
                <w:color w:val="auto"/>
              </w:rPr>
            </w:pPr>
            <w:r>
              <w:rPr>
                <w:rFonts w:ascii="Arial" w:cs="Arial" w:eastAsia="Arial" w:hAnsi="Arial"/>
                <w:sz w:val="13"/>
                <w:szCs w:val="13"/>
                <w:color w:val="auto"/>
                <w:w w:val="92"/>
              </w:rPr>
              <w:t>out of</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3"/>
          </w:tcPr>
          <w:p>
            <w:pPr>
              <w:ind w:left="60"/>
              <w:spacing w:after="0" w:line="122" w:lineRule="exact"/>
              <w:rPr>
                <w:sz w:val="20"/>
                <w:szCs w:val="20"/>
                <w:color w:val="auto"/>
              </w:rPr>
            </w:pPr>
            <w:r>
              <w:rPr>
                <w:rFonts w:ascii="Arial" w:cs="Arial" w:eastAsia="Arial" w:hAnsi="Arial"/>
                <w:sz w:val="13"/>
                <w:szCs w:val="13"/>
                <w:color w:val="auto"/>
              </w:rPr>
              <w:t>annuity</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center"/>
              <w:ind w:right="30"/>
              <w:spacing w:after="0" w:line="122" w:lineRule="exact"/>
              <w:rPr>
                <w:sz w:val="20"/>
                <w:szCs w:val="20"/>
                <w:color w:val="auto"/>
              </w:rPr>
            </w:pPr>
            <w:r>
              <w:rPr>
                <w:rFonts w:ascii="Arial" w:cs="Arial" w:eastAsia="Arial" w:hAnsi="Arial"/>
                <w:sz w:val="13"/>
                <w:szCs w:val="13"/>
                <w:color w:val="auto"/>
                <w:w w:val="95"/>
              </w:rPr>
              <w:t>December 31,</w:t>
            </w:r>
          </w:p>
        </w:tc>
        <w:tc>
          <w:tcPr>
            <w:tcW w:w="0" w:type="dxa"/>
            <w:vAlign w:val="bottom"/>
          </w:tcPr>
          <w:p>
            <w:pPr>
              <w:spacing w:after="0"/>
              <w:rPr>
                <w:sz w:val="1"/>
                <w:szCs w:val="1"/>
                <w:color w:val="auto"/>
              </w:rPr>
            </w:pPr>
          </w:p>
        </w:tc>
      </w:tr>
      <w:tr>
        <w:trPr>
          <w:trHeight w:val="183"/>
        </w:trPr>
        <w:tc>
          <w:tcPr>
            <w:tcW w:w="3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center"/>
              <w:ind w:right="50"/>
              <w:spacing w:after="0"/>
              <w:rPr>
                <w:sz w:val="20"/>
                <w:szCs w:val="20"/>
                <w:color w:val="auto"/>
              </w:rPr>
            </w:pPr>
            <w:r>
              <w:rPr>
                <w:rFonts w:ascii="Arial" w:cs="Arial" w:eastAsia="Arial" w:hAnsi="Arial"/>
                <w:sz w:val="13"/>
                <w:szCs w:val="13"/>
                <w:color w:val="auto"/>
                <w:w w:val="96"/>
              </w:rPr>
              <w:t>2020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3"/>
                <w:szCs w:val="13"/>
                <w:color w:val="auto"/>
              </w:rPr>
              <w:t>(loss)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69"/>
              <w:spacing w:after="0"/>
              <w:rPr>
                <w:sz w:val="20"/>
                <w:szCs w:val="20"/>
                <w:color w:val="auto"/>
              </w:rPr>
            </w:pPr>
            <w:r>
              <w:rPr>
                <w:rFonts w:ascii="Arial" w:cs="Arial" w:eastAsia="Arial" w:hAnsi="Arial"/>
                <w:sz w:val="13"/>
                <w:szCs w:val="13"/>
                <w:color w:val="auto"/>
              </w:rPr>
              <w:t>OCI</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4"/>
          </w:tcPr>
          <w:p>
            <w:pPr>
              <w:jc w:val="center"/>
              <w:ind w:right="28"/>
              <w:spacing w:after="0"/>
              <w:rPr>
                <w:sz w:val="20"/>
                <w:szCs w:val="20"/>
                <w:color w:val="auto"/>
              </w:rPr>
            </w:pPr>
            <w:r>
              <w:rPr>
                <w:rFonts w:ascii="Arial" w:cs="Arial" w:eastAsia="Arial" w:hAnsi="Arial"/>
                <w:sz w:val="13"/>
                <w:szCs w:val="13"/>
                <w:color w:val="auto"/>
                <w:w w:val="96"/>
              </w:rPr>
              <w:t>issuances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4"/>
          </w:tcPr>
          <w:p>
            <w:pPr>
              <w:jc w:val="right"/>
              <w:ind w:right="28"/>
              <w:spacing w:after="0"/>
              <w:rPr>
                <w:sz w:val="20"/>
                <w:szCs w:val="20"/>
                <w:color w:val="auto"/>
              </w:rPr>
            </w:pPr>
            <w:r>
              <w:rPr>
                <w:rFonts w:ascii="Arial" w:cs="Arial" w:eastAsia="Arial" w:hAnsi="Arial"/>
                <w:sz w:val="13"/>
                <w:szCs w:val="13"/>
                <w:color w:val="auto"/>
                <w:w w:val="99"/>
              </w:rPr>
              <w:t>settlements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3"/>
          </w:tcPr>
          <w:p>
            <w:pPr>
              <w:jc w:val="center"/>
              <w:ind w:right="140"/>
              <w:spacing w:after="0"/>
              <w:rPr>
                <w:sz w:val="20"/>
                <w:szCs w:val="20"/>
                <w:color w:val="auto"/>
              </w:rPr>
            </w:pPr>
            <w:r>
              <w:rPr>
                <w:rFonts w:ascii="Arial" w:cs="Arial" w:eastAsia="Arial" w:hAnsi="Arial"/>
                <w:sz w:val="13"/>
                <w:szCs w:val="13"/>
                <w:color w:val="auto"/>
              </w:rPr>
              <w:t>Level 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3"/>
          </w:tcPr>
          <w:p>
            <w:pPr>
              <w:jc w:val="center"/>
              <w:ind w:right="140"/>
              <w:spacing w:after="0"/>
              <w:rPr>
                <w:sz w:val="20"/>
                <w:szCs w:val="20"/>
                <w:color w:val="auto"/>
              </w:rPr>
            </w:pPr>
            <w:r>
              <w:rPr>
                <w:rFonts w:ascii="Arial" w:cs="Arial" w:eastAsia="Arial" w:hAnsi="Arial"/>
                <w:sz w:val="13"/>
                <w:szCs w:val="13"/>
                <w:color w:val="auto"/>
              </w:rPr>
              <w:t>Level 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3"/>
                <w:szCs w:val="13"/>
                <w:color w:val="auto"/>
                <w:w w:val="93"/>
              </w:rPr>
              <w:t>business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10"/>
              <w:spacing w:after="0"/>
              <w:rPr>
                <w:sz w:val="20"/>
                <w:szCs w:val="20"/>
                <w:color w:val="auto"/>
              </w:rPr>
            </w:pPr>
            <w:r>
              <w:rPr>
                <w:rFonts w:ascii="Arial" w:cs="Arial" w:eastAsia="Arial" w:hAnsi="Arial"/>
                <w:sz w:val="13"/>
                <w:szCs w:val="13"/>
                <w:color w:val="auto"/>
                <w:w w:val="96"/>
              </w:rPr>
              <w:t>2021</w:t>
            </w:r>
          </w:p>
        </w:tc>
        <w:tc>
          <w:tcPr>
            <w:tcW w:w="0" w:type="dxa"/>
            <w:vAlign w:val="bottom"/>
          </w:tcPr>
          <w:p>
            <w:pPr>
              <w:spacing w:after="0"/>
              <w:rPr>
                <w:sz w:val="1"/>
                <w:szCs w:val="1"/>
                <w:color w:val="auto"/>
              </w:rPr>
            </w:pPr>
          </w:p>
        </w:tc>
      </w:tr>
      <w:tr>
        <w:trPr>
          <w:trHeight w:val="189"/>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AFS fixed maturities:</w:t>
            </w: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140" w:type="dxa"/>
            <w:vAlign w:val="bottom"/>
            <w:gridSpan w:val="2"/>
          </w:tcPr>
          <w:p>
            <w:pPr>
              <w:ind w:left="140"/>
              <w:spacing w:after="0"/>
              <w:rPr>
                <w:sz w:val="20"/>
                <w:szCs w:val="20"/>
                <w:color w:val="auto"/>
              </w:rPr>
            </w:pPr>
            <w:r>
              <w:rPr>
                <w:rFonts w:ascii="Arial" w:cs="Arial" w:eastAsia="Arial" w:hAnsi="Arial"/>
                <w:sz w:val="14"/>
                <w:szCs w:val="14"/>
                <w:color w:val="auto"/>
              </w:rPr>
              <w:t>U.S. government agency</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ind w:right="40"/>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3"/>
          </w:tcPr>
          <w:p>
            <w:pPr>
              <w:jc w:val="center"/>
              <w:ind w:left="5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3"/>
          </w:tcPr>
          <w:p>
            <w:pPr>
              <w:ind w:left="42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1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State and municipal</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98"/>
        </w:trPr>
        <w:tc>
          <w:tcPr>
            <w:tcW w:w="3140" w:type="dxa"/>
            <w:vAlign w:val="bottom"/>
            <w:gridSpan w:val="2"/>
          </w:tcPr>
          <w:p>
            <w:pPr>
              <w:ind w:left="140"/>
              <w:spacing w:after="0"/>
              <w:rPr>
                <w:sz w:val="20"/>
                <w:szCs w:val="20"/>
                <w:color w:val="auto"/>
              </w:rPr>
            </w:pPr>
            <w:r>
              <w:rPr>
                <w:rFonts w:ascii="Arial" w:cs="Arial" w:eastAsia="Arial" w:hAnsi="Arial"/>
                <w:sz w:val="14"/>
                <w:szCs w:val="14"/>
                <w:color w:val="auto"/>
              </w:rPr>
              <w:t>Residential MBS</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gridSpan w:val="3"/>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(29)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7"/>
        </w:trPr>
        <w:tc>
          <w:tcPr>
            <w:tcW w:w="31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Commercial MBS</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140" w:type="dxa"/>
            <w:vAlign w:val="bottom"/>
            <w:gridSpan w:val="2"/>
          </w:tcPr>
          <w:p>
            <w:pPr>
              <w:ind w:left="140"/>
              <w:spacing w:after="0"/>
              <w:rPr>
                <w:sz w:val="20"/>
                <w:szCs w:val="20"/>
                <w:color w:val="auto"/>
              </w:rPr>
            </w:pPr>
            <w:r>
              <w:rPr>
                <w:rFonts w:ascii="Arial" w:cs="Arial" w:eastAsia="Arial" w:hAnsi="Arial"/>
                <w:sz w:val="14"/>
                <w:szCs w:val="14"/>
                <w:color w:val="auto"/>
              </w:rPr>
              <w:t>Collateralized loan obligations</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1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gridSpan w:val="3"/>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(15)</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1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Other asset-backed securities</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4"/>
              </w:rPr>
              <w:t>154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(40)</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98"/>
        </w:trPr>
        <w:tc>
          <w:tcPr>
            <w:tcW w:w="31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Corporate and other</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94"/>
              </w:rPr>
              <w:t>184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96"/>
              </w:rPr>
              <w:t>(45)</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5</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(9)</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200"/>
        </w:trPr>
        <w:tc>
          <w:tcPr>
            <w:tcW w:w="31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Total AFS fixed maturities</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4"/>
              </w:rPr>
              <w:t>344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(97)</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198"/>
        </w:trPr>
        <w:tc>
          <w:tcPr>
            <w:tcW w:w="3140" w:type="dxa"/>
            <w:vAlign w:val="bottom"/>
            <w:gridSpan w:val="2"/>
          </w:tcPr>
          <w:p>
            <w:pPr>
              <w:ind w:left="20"/>
              <w:spacing w:after="0"/>
              <w:rPr>
                <w:sz w:val="20"/>
                <w:szCs w:val="20"/>
                <w:color w:val="auto"/>
              </w:rPr>
            </w:pPr>
            <w:r>
              <w:rPr>
                <w:rFonts w:ascii="Arial" w:cs="Arial" w:eastAsia="Arial" w:hAnsi="Arial"/>
                <w:sz w:val="14"/>
                <w:szCs w:val="14"/>
                <w:color w:val="auto"/>
              </w:rPr>
              <w:t>Equity securities</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10"/>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gridSpan w:val="3"/>
          </w:tcPr>
          <w:p>
            <w:pPr>
              <w:jc w:val="right"/>
              <w:spacing w:after="0"/>
              <w:rPr>
                <w:sz w:val="20"/>
                <w:szCs w:val="20"/>
                <w:color w:val="auto"/>
              </w:rPr>
            </w:pPr>
            <w:r>
              <w:rPr>
                <w:rFonts w:ascii="Arial" w:cs="Arial" w:eastAsia="Arial" w:hAnsi="Arial"/>
                <w:sz w:val="14"/>
                <w:szCs w:val="14"/>
                <w:color w:val="auto"/>
                <w:w w:val="96"/>
              </w:rPr>
              <w:t>(28)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(12)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207"/>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 of MIE</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8"/>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Assets of discontinued annuity operations</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2,971</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85</w:t>
            </w: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94"/>
              </w:rPr>
              <w:t>209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(327)</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32</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(229)</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(2,719)</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31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Total Level 3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3,706</w:t>
            </w:r>
          </w:p>
        </w:tc>
        <w:tc>
          <w:tcPr>
            <w:tcW w:w="80" w:type="dxa"/>
            <w:vAlign w:val="bottom"/>
            <w:shd w:val="clear" w:color="auto" w:fill="CCEEFF"/>
          </w:tcPr>
          <w:p>
            <w:pPr>
              <w:spacing w:after="0"/>
              <w:rPr>
                <w:sz w:val="19"/>
                <w:szCs w:val="19"/>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240" w:type="dxa"/>
            <w:vAlign w:val="bottom"/>
            <w:gridSpan w:val="3"/>
            <w:shd w:val="clear" w:color="auto" w:fill="CCEEFF"/>
          </w:tcPr>
          <w:p>
            <w:pPr>
              <w:jc w:val="center"/>
              <w:ind w:left="5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4"/>
              </w:rPr>
              <w:t>636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(565)</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66</w:t>
            </w:r>
          </w:p>
        </w:tc>
        <w:tc>
          <w:tcPr>
            <w:tcW w:w="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(352)</w:t>
            </w:r>
          </w:p>
        </w:tc>
        <w:tc>
          <w:tcPr>
            <w:tcW w:w="4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(2,719)</w:t>
            </w:r>
          </w:p>
        </w:tc>
        <w:tc>
          <w:tcPr>
            <w:tcW w:w="4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Contingent consideration — acquisitions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3"/>
            <w:shd w:val="clear" w:color="auto" w:fill="CCEEFF"/>
          </w:tcPr>
          <w:p>
            <w:pPr>
              <w:jc w:val="center"/>
              <w:ind w:left="5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98"/>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Liabilities of discontinued annuity operations</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(3,933)</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w:t>
            </w: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159</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4,143</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31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Total Level 3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(3,933)</w:t>
            </w:r>
          </w:p>
        </w:tc>
        <w:tc>
          <w:tcPr>
            <w:tcW w:w="80" w:type="dxa"/>
            <w:vAlign w:val="bottom"/>
            <w:shd w:val="clear" w:color="auto" w:fill="CCEEFF"/>
          </w:tcPr>
          <w:p>
            <w:pPr>
              <w:spacing w:after="0"/>
              <w:rPr>
                <w:sz w:val="19"/>
                <w:szCs w:val="19"/>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3"/>
            <w:shd w:val="clear" w:color="auto" w:fill="CCEEFF"/>
          </w:tcPr>
          <w:p>
            <w:pPr>
              <w:jc w:val="center"/>
              <w:ind w:left="50"/>
              <w:spacing w:after="0"/>
              <w:rPr>
                <w:sz w:val="20"/>
                <w:szCs w:val="20"/>
                <w:color w:val="auto"/>
              </w:rPr>
            </w:pPr>
            <w:r>
              <w:rPr>
                <w:rFonts w:ascii="Arial" w:cs="Arial" w:eastAsia="Arial" w:hAnsi="Arial"/>
                <w:sz w:val="14"/>
                <w:szCs w:val="14"/>
                <w:color w:val="auto"/>
              </w:rPr>
              <w:t>$</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7" w:name="page108"/>
    <w:bookmarkEnd w:id="10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AMERICAN FINANCIAL GROUP,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NOTES TO CONSOLIDATED FINANCIAL STATEMENTS — CONTINUED</w:t>
      </w:r>
    </w:p>
    <w:p>
      <w:pPr>
        <w:spacing w:after="0" w:line="200" w:lineRule="exact"/>
        <w:rPr>
          <w:sz w:val="20"/>
          <w:szCs w:val="20"/>
          <w:color w:val="auto"/>
        </w:rPr>
      </w:pPr>
    </w:p>
    <w:p>
      <w:pPr>
        <w:spacing w:after="0" w:line="239" w:lineRule="exact"/>
        <w:rPr>
          <w:sz w:val="20"/>
          <w:szCs w:val="20"/>
          <w:color w:val="auto"/>
        </w:rPr>
      </w:pPr>
    </w:p>
    <w:p>
      <w:pPr>
        <w:ind w:right="660"/>
        <w:spacing w:after="0" w:line="249" w:lineRule="auto"/>
        <w:rPr>
          <w:sz w:val="20"/>
          <w:szCs w:val="20"/>
          <w:color w:val="auto"/>
        </w:rPr>
      </w:pPr>
      <w:r>
        <w:rPr>
          <w:rFonts w:ascii="Arial" w:cs="Arial" w:eastAsia="Arial" w:hAnsi="Arial"/>
          <w:sz w:val="20"/>
          <w:szCs w:val="20"/>
          <w:b w:val="1"/>
          <w:bCs w:val="1"/>
          <w:color w:val="00274E"/>
        </w:rPr>
        <w:t xml:space="preserve">Fair Value of Financial Instruments </w:t>
      </w:r>
      <w:r>
        <w:rPr>
          <w:rFonts w:ascii="Arial" w:cs="Arial" w:eastAsia="Arial" w:hAnsi="Arial"/>
          <w:sz w:val="17"/>
          <w:szCs w:val="17"/>
          <w:color w:val="000000"/>
        </w:rPr>
        <w:t>The carrying value and fair value of financial instruments that are not carried at fair value in the</w:t>
      </w:r>
      <w:r>
        <w:rPr>
          <w:rFonts w:ascii="Arial" w:cs="Arial" w:eastAsia="Arial" w:hAnsi="Arial"/>
          <w:sz w:val="20"/>
          <w:szCs w:val="20"/>
          <w:b w:val="1"/>
          <w:bCs w:val="1"/>
          <w:color w:val="00274E"/>
        </w:rPr>
        <w:t xml:space="preserve"> </w:t>
      </w:r>
      <w:r>
        <w:rPr>
          <w:rFonts w:ascii="Arial" w:cs="Arial" w:eastAsia="Arial" w:hAnsi="Arial"/>
          <w:sz w:val="17"/>
          <w:szCs w:val="17"/>
          <w:color w:val="000000"/>
        </w:rPr>
        <w:t>financial statements at December 31 are summarized below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5"/>
                <w:szCs w:val="15"/>
                <w:color w:val="auto"/>
              </w:rPr>
              <w:t>Carrying</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5"/>
          </w:tcPr>
          <w:p>
            <w:pPr>
              <w:ind w:left="560"/>
              <w:spacing w:after="0"/>
              <w:rPr>
                <w:sz w:val="20"/>
                <w:szCs w:val="20"/>
                <w:color w:val="auto"/>
              </w:rPr>
            </w:pPr>
            <w:r>
              <w:rPr>
                <w:rFonts w:ascii="Arial" w:cs="Arial" w:eastAsia="Arial" w:hAnsi="Arial"/>
                <w:sz w:val="15"/>
                <w:szCs w:val="15"/>
                <w:color w:val="auto"/>
              </w:rPr>
              <w:t>Fair Value</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5"/>
                <w:szCs w:val="15"/>
                <w:color w:val="auto"/>
                <w:w w:val="98"/>
              </w:rPr>
              <w:t>Value</w:t>
            </w:r>
          </w:p>
        </w:tc>
        <w:tc>
          <w:tcPr>
            <w:tcW w:w="240" w:type="dxa"/>
            <w:vAlign w:val="bottom"/>
          </w:tcPr>
          <w:p>
            <w:pPr>
              <w:spacing w:after="0"/>
              <w:rPr>
                <w:sz w:val="17"/>
                <w:szCs w:val="17"/>
                <w:color w:val="auto"/>
              </w:rPr>
            </w:pPr>
          </w:p>
        </w:tc>
        <w:tc>
          <w:tcPr>
            <w:tcW w:w="900" w:type="dxa"/>
            <w:vAlign w:val="bottom"/>
            <w:gridSpan w:val="2"/>
          </w:tcPr>
          <w:p>
            <w:pPr>
              <w:ind w:left="120"/>
              <w:spacing w:after="0"/>
              <w:rPr>
                <w:sz w:val="20"/>
                <w:szCs w:val="20"/>
                <w:color w:val="auto"/>
              </w:rPr>
            </w:pPr>
            <w:r>
              <w:rPr>
                <w:rFonts w:ascii="Arial" w:cs="Arial" w:eastAsia="Arial" w:hAnsi="Arial"/>
                <w:sz w:val="15"/>
                <w:szCs w:val="15"/>
                <w:color w:val="auto"/>
              </w:rPr>
              <w:t>Total</w:t>
            </w:r>
          </w:p>
        </w:tc>
        <w:tc>
          <w:tcPr>
            <w:tcW w:w="18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Arial" w:cs="Arial" w:eastAsia="Arial" w:hAnsi="Arial"/>
                <w:sz w:val="15"/>
                <w:szCs w:val="15"/>
                <w:color w:val="auto"/>
              </w:rPr>
              <w:t>Level 1</w:t>
            </w:r>
          </w:p>
        </w:tc>
        <w:tc>
          <w:tcPr>
            <w:tcW w:w="20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Arial" w:cs="Arial" w:eastAsia="Arial" w:hAnsi="Arial"/>
                <w:sz w:val="15"/>
                <w:szCs w:val="15"/>
                <w:color w:val="auto"/>
              </w:rPr>
              <w:t>Level 2</w:t>
            </w:r>
          </w:p>
        </w:tc>
        <w:tc>
          <w:tcPr>
            <w:tcW w:w="200" w:type="dxa"/>
            <w:vAlign w:val="bottom"/>
          </w:tcPr>
          <w:p>
            <w:pPr>
              <w:spacing w:after="0"/>
              <w:rPr>
                <w:sz w:val="17"/>
                <w:szCs w:val="17"/>
                <w:color w:val="auto"/>
              </w:rPr>
            </w:pPr>
          </w:p>
        </w:tc>
        <w:tc>
          <w:tcPr>
            <w:tcW w:w="840" w:type="dxa"/>
            <w:vAlign w:val="bottom"/>
          </w:tcPr>
          <w:p>
            <w:pPr>
              <w:jc w:val="right"/>
              <w:ind w:right="199"/>
              <w:spacing w:after="0"/>
              <w:rPr>
                <w:sz w:val="20"/>
                <w:szCs w:val="20"/>
                <w:color w:val="auto"/>
              </w:rPr>
            </w:pPr>
            <w:r>
              <w:rPr>
                <w:rFonts w:ascii="Arial" w:cs="Arial" w:eastAsia="Arial" w:hAnsi="Arial"/>
                <w:sz w:val="15"/>
                <w:szCs w:val="15"/>
                <w:color w:val="auto"/>
              </w:rPr>
              <w:t>Level 3</w:t>
            </w:r>
          </w:p>
        </w:tc>
      </w:tr>
      <w:tr>
        <w:trPr>
          <w:trHeight w:val="177"/>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auto"/>
            </w:tcBorders>
            <w:shd w:val="clear" w:color="auto" w:fill="CCEEFF"/>
          </w:tcPr>
          <w:p>
            <w:pPr>
              <w:spacing w:after="0" w:line="157" w:lineRule="exact"/>
              <w:rPr>
                <w:sz w:val="20"/>
                <w:szCs w:val="20"/>
                <w:color w:val="auto"/>
              </w:rPr>
            </w:pPr>
            <w:r>
              <w:rPr>
                <w:rFonts w:ascii="Arial" w:cs="Arial" w:eastAsia="Arial" w:hAnsi="Arial"/>
                <w:sz w:val="16"/>
                <w:szCs w:val="16"/>
                <w:b w:val="1"/>
                <w:bCs w:val="1"/>
                <w:color w:val="auto"/>
                <w:w w:val="95"/>
              </w:rPr>
              <w:t>2023</w:t>
            </w:r>
          </w:p>
        </w:tc>
        <w:tc>
          <w:tcPr>
            <w:tcW w:w="52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6"/>
                <w:szCs w:val="16"/>
                <w:b w:val="1"/>
                <w:bCs w:val="1"/>
                <w:color w:val="auto"/>
              </w:rPr>
              <w:t>Financial assets: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6"/>
                <w:szCs w:val="16"/>
                <w:color w:val="auto"/>
              </w:rPr>
              <w:t>Mortgage loans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596</w:t>
            </w:r>
          </w:p>
        </w:tc>
      </w:tr>
      <w:tr>
        <w:trPr>
          <w:trHeight w:val="23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64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 financial assets not accounted for at fair value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debt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20" w:type="dxa"/>
            <w:vAlign w:val="bottom"/>
          </w:tcPr>
          <w:p>
            <w:pPr>
              <w:spacing w:after="0"/>
              <w:rPr>
                <w:sz w:val="18"/>
                <w:szCs w:val="18"/>
                <w:color w:val="auto"/>
              </w:rPr>
            </w:pPr>
          </w:p>
        </w:tc>
        <w:tc>
          <w:tcPr>
            <w:tcW w:w="5640" w:type="dxa"/>
            <w:vAlign w:val="bottom"/>
            <w:gridSpan w:val="2"/>
          </w:tcPr>
          <w:p>
            <w:pPr>
              <w:ind w:left="340"/>
              <w:spacing w:after="0"/>
              <w:rPr>
                <w:sz w:val="20"/>
                <w:szCs w:val="20"/>
                <w:color w:val="auto"/>
              </w:rPr>
            </w:pPr>
            <w:r>
              <w:rPr>
                <w:rFonts w:ascii="Arial" w:cs="Arial" w:eastAsia="Arial" w:hAnsi="Arial"/>
                <w:sz w:val="16"/>
                <w:szCs w:val="16"/>
                <w:color w:val="auto"/>
              </w:rPr>
              <w:t>Total financial liabilities not accounted for at fair value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1,475</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1,345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1,342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76"/>
        </w:trPr>
        <w:tc>
          <w:tcPr>
            <w:tcW w:w="38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w w:val="95"/>
              </w:rPr>
              <w:t>2022</w:t>
            </w:r>
          </w:p>
        </w:tc>
        <w:tc>
          <w:tcPr>
            <w:tcW w:w="5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Financial assets: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872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872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872</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Mortgage loans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w:t>
            </w:r>
          </w:p>
        </w:tc>
      </w:tr>
      <w:tr>
        <w:trPr>
          <w:trHeight w:val="210"/>
        </w:trPr>
        <w:tc>
          <w:tcPr>
            <w:tcW w:w="20" w:type="dxa"/>
            <w:vAlign w:val="bottom"/>
          </w:tcPr>
          <w:p>
            <w:pPr>
              <w:spacing w:after="0"/>
              <w:rPr>
                <w:sz w:val="18"/>
                <w:szCs w:val="18"/>
                <w:color w:val="auto"/>
              </w:rPr>
            </w:pPr>
          </w:p>
        </w:tc>
        <w:tc>
          <w:tcPr>
            <w:tcW w:w="5640" w:type="dxa"/>
            <w:vAlign w:val="bottom"/>
            <w:gridSpan w:val="2"/>
          </w:tcPr>
          <w:p>
            <w:pPr>
              <w:ind w:left="340"/>
              <w:spacing w:after="0"/>
              <w:rPr>
                <w:sz w:val="20"/>
                <w:szCs w:val="20"/>
                <w:color w:val="auto"/>
              </w:rPr>
            </w:pPr>
            <w:r>
              <w:rPr>
                <w:rFonts w:ascii="Arial" w:cs="Arial" w:eastAsia="Arial" w:hAnsi="Arial"/>
                <w:sz w:val="16"/>
                <w:szCs w:val="16"/>
                <w:color w:val="auto"/>
              </w:rPr>
              <w:t>Total financial assets not accounted for at fair value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1,548</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1,498</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872</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6"/>
                <w:szCs w:val="16"/>
                <w:color w:val="auto"/>
              </w:rPr>
              <w:t>Long-term debt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1,496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1,302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1,299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35"/>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64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 financial liabilities not accounted for at fair value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ind w:left="560" w:hanging="552"/>
        <w:spacing w:after="0"/>
        <w:tabs>
          <w:tab w:leader="none" w:pos="560" w:val="left"/>
        </w:tabs>
        <w:numPr>
          <w:ilvl w:val="0"/>
          <w:numId w:val="50"/>
        </w:numPr>
        <w:rPr>
          <w:rFonts w:ascii="Arial" w:cs="Arial" w:eastAsia="Arial" w:hAnsi="Arial"/>
          <w:sz w:val="29"/>
          <w:szCs w:val="29"/>
          <w:b w:val="1"/>
          <w:bCs w:val="1"/>
          <w:color w:val="00274E"/>
        </w:rPr>
      </w:pPr>
      <w:r>
        <w:rPr>
          <w:rFonts w:ascii="Arial" w:cs="Arial" w:eastAsia="Arial" w:hAnsi="Arial"/>
          <w:sz w:val="29"/>
          <w:szCs w:val="29"/>
          <w:b w:val="1"/>
          <w:bCs w:val="1"/>
          <w:color w:val="00274E"/>
        </w:rPr>
        <w:t>Investments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Available for sale fixed maturities at December 31 consisted of the following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color w:val="auto"/>
              </w:rPr>
              <w:t>Allowance for</w:t>
            </w:r>
          </w:p>
        </w:tc>
        <w:tc>
          <w:tcPr>
            <w:tcW w:w="160" w:type="dxa"/>
            <w:vAlign w:val="bottom"/>
          </w:tcPr>
          <w:p>
            <w:pPr>
              <w:spacing w:after="0"/>
              <w:rPr>
                <w:sz w:val="14"/>
                <w:szCs w:val="14"/>
                <w:color w:val="auto"/>
              </w:rPr>
            </w:pPr>
          </w:p>
        </w:tc>
        <w:tc>
          <w:tcPr>
            <w:tcW w:w="1720" w:type="dxa"/>
            <w:vAlign w:val="bottom"/>
            <w:gridSpan w:val="5"/>
          </w:tcPr>
          <w:p>
            <w:pPr>
              <w:ind w:left="180"/>
              <w:spacing w:after="0"/>
              <w:rPr>
                <w:sz w:val="20"/>
                <w:szCs w:val="20"/>
                <w:color w:val="auto"/>
              </w:rPr>
            </w:pPr>
            <w:r>
              <w:rPr>
                <w:rFonts w:ascii="Arial" w:cs="Arial" w:eastAsia="Arial" w:hAnsi="Arial"/>
                <w:sz w:val="14"/>
                <w:szCs w:val="14"/>
                <w:color w:val="auto"/>
              </w:rPr>
              <w:t>Gross Unrealized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3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restart"/>
          </w:tcPr>
          <w:p>
            <w:pPr>
              <w:jc w:val="center"/>
              <w:ind w:right="220"/>
              <w:spacing w:after="0" w:line="122" w:lineRule="exact"/>
              <w:rPr>
                <w:sz w:val="20"/>
                <w:szCs w:val="20"/>
                <w:color w:val="auto"/>
              </w:rPr>
            </w:pPr>
            <w:r>
              <w:rPr>
                <w:rFonts w:ascii="Arial" w:cs="Arial" w:eastAsia="Arial" w:hAnsi="Arial"/>
                <w:sz w:val="14"/>
                <w:szCs w:val="14"/>
                <w:color w:val="auto"/>
              </w:rPr>
              <w:t>Amortized</w:t>
            </w:r>
          </w:p>
        </w:tc>
        <w:tc>
          <w:tcPr>
            <w:tcW w:w="160" w:type="dxa"/>
            <w:vAlign w:val="bottom"/>
          </w:tcPr>
          <w:p>
            <w:pPr>
              <w:spacing w:after="0"/>
              <w:rPr>
                <w:sz w:val="4"/>
                <w:szCs w:val="4"/>
                <w:color w:val="auto"/>
              </w:rPr>
            </w:pPr>
          </w:p>
        </w:tc>
        <w:tc>
          <w:tcPr>
            <w:tcW w:w="1380" w:type="dxa"/>
            <w:vAlign w:val="bottom"/>
            <w:gridSpan w:val="2"/>
            <w:vMerge w:val="restart"/>
          </w:tcPr>
          <w:p>
            <w:pPr>
              <w:jc w:val="center"/>
              <w:ind w:right="260"/>
              <w:spacing w:after="0" w:line="122" w:lineRule="exact"/>
              <w:rPr>
                <w:sz w:val="20"/>
                <w:szCs w:val="20"/>
                <w:color w:val="auto"/>
              </w:rPr>
            </w:pPr>
            <w:r>
              <w:rPr>
                <w:rFonts w:ascii="Arial" w:cs="Arial" w:eastAsia="Arial" w:hAnsi="Arial"/>
                <w:sz w:val="14"/>
                <w:szCs w:val="14"/>
                <w:color w:val="auto"/>
              </w:rPr>
              <w:t>Expected Credit</w:t>
            </w: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jc w:val="center"/>
              <w:ind w:right="220"/>
              <w:spacing w:after="0" w:line="122" w:lineRule="exact"/>
              <w:rPr>
                <w:sz w:val="20"/>
                <w:szCs w:val="20"/>
                <w:color w:val="auto"/>
              </w:rPr>
            </w:pPr>
            <w:r>
              <w:rPr>
                <w:rFonts w:ascii="Arial" w:cs="Arial" w:eastAsia="Arial" w:hAnsi="Arial"/>
                <w:sz w:val="14"/>
                <w:szCs w:val="14"/>
                <w:color w:val="auto"/>
              </w:rPr>
              <w:t>Net</w:t>
            </w:r>
          </w:p>
        </w:tc>
        <w:tc>
          <w:tcPr>
            <w:tcW w:w="220" w:type="dxa"/>
            <w:vAlign w:val="bottom"/>
          </w:tcPr>
          <w:p>
            <w:pPr>
              <w:spacing w:after="0"/>
              <w:rPr>
                <w:sz w:val="4"/>
                <w:szCs w:val="4"/>
                <w:color w:val="auto"/>
              </w:rPr>
            </w:pPr>
          </w:p>
        </w:tc>
        <w:tc>
          <w:tcPr>
            <w:tcW w:w="760" w:type="dxa"/>
            <w:vAlign w:val="bottom"/>
            <w:vMerge w:val="restart"/>
          </w:tcPr>
          <w:p>
            <w:pPr>
              <w:jc w:val="right"/>
              <w:ind w:right="280"/>
              <w:spacing w:after="0" w:line="122" w:lineRule="exact"/>
              <w:rPr>
                <w:sz w:val="20"/>
                <w:szCs w:val="20"/>
                <w:color w:val="auto"/>
              </w:rPr>
            </w:pPr>
            <w:r>
              <w:rPr>
                <w:rFonts w:ascii="Arial" w:cs="Arial" w:eastAsia="Arial" w:hAnsi="Arial"/>
                <w:sz w:val="14"/>
                <w:szCs w:val="14"/>
                <w:color w:val="auto"/>
              </w:rPr>
              <w:t>Fair</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3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color w:val="auto"/>
              </w:rPr>
              <w:t>Gains</w:t>
            </w:r>
          </w:p>
        </w:tc>
        <w:tc>
          <w:tcPr>
            <w:tcW w:w="160" w:type="dxa"/>
            <w:vAlign w:val="bottom"/>
          </w:tcPr>
          <w:p>
            <w:pPr>
              <w:spacing w:after="0"/>
              <w:rPr>
                <w:sz w:val="4"/>
                <w:szCs w:val="4"/>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color w:val="auto"/>
              </w:rPr>
              <w:t>Losses</w:t>
            </w:r>
          </w:p>
        </w:tc>
        <w:tc>
          <w:tcPr>
            <w:tcW w:w="14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color w:val="auto"/>
              </w:rPr>
              <w:t>Cost</w:t>
            </w: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Losses</w:t>
            </w: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Unrealized</w:t>
            </w:r>
          </w:p>
        </w:tc>
        <w:tc>
          <w:tcPr>
            <w:tcW w:w="220" w:type="dxa"/>
            <w:vAlign w:val="bottom"/>
          </w:tcPr>
          <w:p>
            <w:pPr>
              <w:spacing w:after="0"/>
              <w:rPr>
                <w:sz w:val="16"/>
                <w:szCs w:val="16"/>
                <w:color w:val="auto"/>
              </w:rPr>
            </w:pPr>
          </w:p>
        </w:tc>
        <w:tc>
          <w:tcPr>
            <w:tcW w:w="760" w:type="dxa"/>
            <w:vAlign w:val="bottom"/>
          </w:tcPr>
          <w:p>
            <w:pPr>
              <w:jc w:val="right"/>
              <w:ind w:right="220"/>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76"/>
        </w:trPr>
        <w:tc>
          <w:tcPr>
            <w:tcW w:w="20" w:type="dxa"/>
            <w:vAlign w:val="bottom"/>
            <w:tcBorders>
              <w:top w:val="single" w:sz="8" w:color="CCEEFF"/>
            </w:tcBorders>
            <w:shd w:val="clear" w:color="auto" w:fill="CCEEFF"/>
          </w:tcPr>
          <w:p>
            <w:pPr>
              <w:spacing w:after="0"/>
              <w:rPr>
                <w:sz w:val="15"/>
                <w:szCs w:val="15"/>
                <w:color w:val="auto"/>
              </w:rPr>
            </w:pPr>
          </w:p>
        </w:tc>
        <w:tc>
          <w:tcPr>
            <w:tcW w:w="4660" w:type="dxa"/>
            <w:vAlign w:val="bottom"/>
            <w:tcBorders>
              <w:top w:val="single" w:sz="8" w:color="CCEEFF"/>
            </w:tcBorders>
            <w:gridSpan w:val="2"/>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December 31, 2023</w:t>
            </w: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Fixed maturities:</w:t>
            </w:r>
          </w:p>
        </w:tc>
        <w:tc>
          <w:tcPr>
            <w:tcW w:w="3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U.S. Government and government agencies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60" w:type="dxa"/>
            <w:vAlign w:val="bottom"/>
            <w:gridSpan w:val="2"/>
          </w:tcPr>
          <w:p>
            <w:pPr>
              <w:ind w:left="280"/>
              <w:spacing w:after="0"/>
              <w:rPr>
                <w:sz w:val="20"/>
                <w:szCs w:val="20"/>
                <w:color w:val="auto"/>
              </w:rPr>
            </w:pPr>
            <w:r>
              <w:rPr>
                <w:rFonts w:ascii="Arial" w:cs="Arial" w:eastAsia="Arial" w:hAnsi="Arial"/>
                <w:sz w:val="16"/>
                <w:szCs w:val="16"/>
                <w:color w:val="auto"/>
              </w:rPr>
              <w:t>States, municipalities and political subdivisions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984</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Foreign government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60" w:type="dxa"/>
            <w:vAlign w:val="bottom"/>
            <w:gridSpan w:val="2"/>
          </w:tcPr>
          <w:p>
            <w:pPr>
              <w:ind w:left="280"/>
              <w:spacing w:after="0"/>
              <w:rPr>
                <w:sz w:val="20"/>
                <w:szCs w:val="20"/>
                <w:color w:val="auto"/>
              </w:rPr>
            </w:pPr>
            <w:r>
              <w:rPr>
                <w:rFonts w:ascii="Arial" w:cs="Arial" w:eastAsia="Arial" w:hAnsi="Arial"/>
                <w:sz w:val="16"/>
                <w:szCs w:val="16"/>
                <w:color w:val="auto"/>
              </w:rPr>
              <w:t>Residential MBS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1,658</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Commercial MBS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60" w:type="dxa"/>
            <w:vAlign w:val="bottom"/>
            <w:gridSpan w:val="2"/>
          </w:tcPr>
          <w:p>
            <w:pPr>
              <w:ind w:left="280"/>
              <w:spacing w:after="0"/>
              <w:rPr>
                <w:sz w:val="20"/>
                <w:szCs w:val="20"/>
                <w:color w:val="auto"/>
              </w:rPr>
            </w:pPr>
            <w:r>
              <w:rPr>
                <w:rFonts w:ascii="Arial" w:cs="Arial" w:eastAsia="Arial" w:hAnsi="Arial"/>
                <w:sz w:val="16"/>
                <w:szCs w:val="16"/>
                <w:color w:val="auto"/>
              </w:rPr>
              <w:t>Collateralized loan obligations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1,687</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 asset-backed securities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2,362</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466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Corporate and other</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3,146</w:t>
            </w: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46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Total fixed maturities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10,752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10,377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66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December 31, 2022</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Fixed maturities:</w:t>
            </w:r>
          </w:p>
        </w:tc>
        <w:tc>
          <w:tcPr>
            <w:tcW w:w="3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U.S. Government and government agencies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60" w:type="dxa"/>
            <w:vAlign w:val="bottom"/>
            <w:gridSpan w:val="2"/>
          </w:tcPr>
          <w:p>
            <w:pPr>
              <w:ind w:left="280"/>
              <w:spacing w:after="0"/>
              <w:rPr>
                <w:sz w:val="20"/>
                <w:szCs w:val="20"/>
                <w:color w:val="auto"/>
              </w:rPr>
            </w:pPr>
            <w:r>
              <w:rPr>
                <w:rFonts w:ascii="Arial" w:cs="Arial" w:eastAsia="Arial" w:hAnsi="Arial"/>
                <w:sz w:val="16"/>
                <w:szCs w:val="16"/>
                <w:color w:val="auto"/>
              </w:rPr>
              <w:t>States, municipalities and political subdivisions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1,186</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Foreign government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60" w:type="dxa"/>
            <w:vAlign w:val="bottom"/>
            <w:gridSpan w:val="2"/>
          </w:tcPr>
          <w:p>
            <w:pPr>
              <w:ind w:left="280"/>
              <w:spacing w:after="0"/>
              <w:rPr>
                <w:sz w:val="20"/>
                <w:szCs w:val="20"/>
                <w:color w:val="auto"/>
              </w:rPr>
            </w:pPr>
            <w:r>
              <w:rPr>
                <w:rFonts w:ascii="Arial" w:cs="Arial" w:eastAsia="Arial" w:hAnsi="Arial"/>
                <w:sz w:val="16"/>
                <w:szCs w:val="16"/>
                <w:color w:val="auto"/>
              </w:rPr>
              <w:t>Residential MBS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1,598</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Commercial MBS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60" w:type="dxa"/>
            <w:vAlign w:val="bottom"/>
            <w:gridSpan w:val="2"/>
          </w:tcPr>
          <w:p>
            <w:pPr>
              <w:ind w:left="280"/>
              <w:spacing w:after="0"/>
              <w:rPr>
                <w:sz w:val="20"/>
                <w:szCs w:val="20"/>
                <w:color w:val="auto"/>
              </w:rPr>
            </w:pPr>
            <w:r>
              <w:rPr>
                <w:rFonts w:ascii="Arial" w:cs="Arial" w:eastAsia="Arial" w:hAnsi="Arial"/>
                <w:sz w:val="16"/>
                <w:szCs w:val="16"/>
                <w:color w:val="auto"/>
              </w:rPr>
              <w:t>Collateralized loan obligations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1,921</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 asset-backed securities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2,245</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466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Corporate and other</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2,615</w:t>
            </w: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46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Total fixed maturities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10,736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10,095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AMERICAN FINANCIAL GROUP,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NOTES TO CONSOLIDATED FINANCIAL STATEMENTS — CONTINUED</w:t>
      </w:r>
    </w:p>
    <w:p>
      <w:pPr>
        <w:spacing w:after="0" w:line="200" w:lineRule="exact"/>
        <w:rPr>
          <w:sz w:val="20"/>
          <w:szCs w:val="20"/>
          <w:color w:val="auto"/>
        </w:rPr>
      </w:pPr>
    </w:p>
    <w:p>
      <w:pPr>
        <w:spacing w:after="0" w:line="240"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Equity securities which are reported at fair value with holding gains and losses recognized in net earnings, consisted of the following at December 31 (in millions):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01"/>
              <w:spacing w:after="0"/>
              <w:rPr>
                <w:sz w:val="20"/>
                <w:szCs w:val="20"/>
                <w:color w:val="auto"/>
              </w:rPr>
            </w:pPr>
            <w:r>
              <w:rPr>
                <w:rFonts w:ascii="Arial" w:cs="Arial" w:eastAsia="Arial" w:hAnsi="Arial"/>
                <w:sz w:val="15"/>
                <w:szCs w:val="15"/>
                <w:color w:val="auto"/>
              </w:rPr>
              <w:t>2023</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1"/>
              <w:spacing w:after="0"/>
              <w:rPr>
                <w:sz w:val="20"/>
                <w:szCs w:val="20"/>
                <w:color w:val="auto"/>
              </w:rPr>
            </w:pPr>
            <w:r>
              <w:rPr>
                <w:rFonts w:ascii="Arial" w:cs="Arial" w:eastAsia="Arial" w:hAnsi="Arial"/>
                <w:sz w:val="15"/>
                <w:szCs w:val="15"/>
                <w:color w:val="auto"/>
              </w:rPr>
              <w:t>2022</w:t>
            </w: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145"/>
        </w:trPr>
        <w:tc>
          <w:tcPr>
            <w:tcW w:w="4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spacing w:after="0" w:line="145" w:lineRule="exact"/>
              <w:rPr>
                <w:sz w:val="20"/>
                <w:szCs w:val="20"/>
                <w:color w:val="auto"/>
              </w:rPr>
            </w:pPr>
            <w:r>
              <w:rPr>
                <w:rFonts w:ascii="Arial" w:cs="Arial" w:eastAsia="Arial" w:hAnsi="Arial"/>
                <w:sz w:val="15"/>
                <w:szCs w:val="15"/>
                <w:color w:val="auto"/>
              </w:rPr>
              <w:t>Fair Value Over</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spacing w:after="0" w:line="145" w:lineRule="exact"/>
              <w:rPr>
                <w:sz w:val="20"/>
                <w:szCs w:val="20"/>
                <w:color w:val="auto"/>
              </w:rPr>
            </w:pPr>
            <w:r>
              <w:rPr>
                <w:rFonts w:ascii="Arial" w:cs="Arial" w:eastAsia="Arial" w:hAnsi="Arial"/>
                <w:sz w:val="15"/>
                <w:szCs w:val="15"/>
                <w:color w:val="auto"/>
              </w:rPr>
              <w:t>Fair Value Over</w:t>
            </w:r>
          </w:p>
        </w:tc>
      </w:tr>
      <w:tr>
        <w:trPr>
          <w:trHeight w:val="213"/>
        </w:trPr>
        <w:tc>
          <w:tcPr>
            <w:tcW w:w="4620" w:type="dxa"/>
            <w:vAlign w:val="bottom"/>
          </w:tcPr>
          <w:p>
            <w:pPr>
              <w:spacing w:after="0"/>
              <w:rPr>
                <w:sz w:val="18"/>
                <w:szCs w:val="18"/>
                <w:color w:val="auto"/>
              </w:rPr>
            </w:pPr>
          </w:p>
        </w:tc>
        <w:tc>
          <w:tcPr>
            <w:tcW w:w="980" w:type="dxa"/>
            <w:vAlign w:val="bottom"/>
            <w:gridSpan w:val="3"/>
          </w:tcPr>
          <w:p>
            <w:pPr>
              <w:ind w:left="60"/>
              <w:spacing w:after="0"/>
              <w:rPr>
                <w:sz w:val="20"/>
                <w:szCs w:val="20"/>
                <w:color w:val="auto"/>
              </w:rPr>
            </w:pPr>
            <w:r>
              <w:rPr>
                <w:rFonts w:ascii="Arial" w:cs="Arial" w:eastAsia="Arial" w:hAnsi="Arial"/>
                <w:sz w:val="15"/>
                <w:szCs w:val="15"/>
                <w:color w:val="auto"/>
              </w:rPr>
              <w:t>Actual Cost</w:t>
            </w:r>
          </w:p>
        </w:tc>
        <w:tc>
          <w:tcPr>
            <w:tcW w:w="12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5"/>
                <w:szCs w:val="15"/>
                <w:color w:val="auto"/>
              </w:rPr>
              <w:t>Fair Value</w:t>
            </w: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5"/>
                <w:szCs w:val="15"/>
                <w:color w:val="auto"/>
              </w:rPr>
              <w:t>(Under) Cost</w:t>
            </w:r>
          </w:p>
        </w:tc>
        <w:tc>
          <w:tcPr>
            <w:tcW w:w="1040" w:type="dxa"/>
            <w:vAlign w:val="bottom"/>
            <w:gridSpan w:val="3"/>
          </w:tcPr>
          <w:p>
            <w:pPr>
              <w:ind w:left="80"/>
              <w:spacing w:after="0"/>
              <w:rPr>
                <w:sz w:val="20"/>
                <w:szCs w:val="20"/>
                <w:color w:val="auto"/>
              </w:rPr>
            </w:pPr>
            <w:r>
              <w:rPr>
                <w:rFonts w:ascii="Arial" w:cs="Arial" w:eastAsia="Arial" w:hAnsi="Arial"/>
                <w:sz w:val="15"/>
                <w:szCs w:val="15"/>
                <w:color w:val="auto"/>
              </w:rPr>
              <w:t>Actual Cost</w:t>
            </w:r>
          </w:p>
        </w:tc>
        <w:tc>
          <w:tcPr>
            <w:tcW w:w="140" w:type="dxa"/>
            <w:vAlign w:val="bottom"/>
          </w:tcPr>
          <w:p>
            <w:pPr>
              <w:spacing w:after="0"/>
              <w:rPr>
                <w:sz w:val="18"/>
                <w:szCs w:val="18"/>
                <w:color w:val="auto"/>
              </w:rPr>
            </w:pPr>
          </w:p>
        </w:tc>
        <w:tc>
          <w:tcPr>
            <w:tcW w:w="940" w:type="dxa"/>
            <w:vAlign w:val="bottom"/>
            <w:gridSpan w:val="2"/>
          </w:tcPr>
          <w:p>
            <w:pPr>
              <w:ind w:left="20"/>
              <w:spacing w:after="0"/>
              <w:rPr>
                <w:sz w:val="20"/>
                <w:szCs w:val="20"/>
                <w:color w:val="auto"/>
              </w:rPr>
            </w:pPr>
            <w:r>
              <w:rPr>
                <w:rFonts w:ascii="Arial" w:cs="Arial" w:eastAsia="Arial" w:hAnsi="Arial"/>
                <w:sz w:val="15"/>
                <w:szCs w:val="15"/>
                <w:color w:val="auto"/>
              </w:rPr>
              <w:t>Fair Value</w:t>
            </w:r>
          </w:p>
        </w:tc>
        <w:tc>
          <w:tcPr>
            <w:tcW w:w="140" w:type="dxa"/>
            <w:vAlign w:val="bottom"/>
          </w:tcPr>
          <w:p>
            <w:pPr>
              <w:spacing w:after="0"/>
              <w:rPr>
                <w:sz w:val="18"/>
                <w:szCs w:val="18"/>
                <w:color w:val="auto"/>
              </w:rPr>
            </w:pPr>
          </w:p>
        </w:tc>
        <w:tc>
          <w:tcPr>
            <w:tcW w:w="1040" w:type="dxa"/>
            <w:vAlign w:val="bottom"/>
          </w:tcPr>
          <w:p>
            <w:pPr>
              <w:jc w:val="right"/>
              <w:ind w:right="60"/>
              <w:spacing w:after="0"/>
              <w:rPr>
                <w:sz w:val="20"/>
                <w:szCs w:val="20"/>
                <w:color w:val="auto"/>
              </w:rPr>
            </w:pPr>
            <w:r>
              <w:rPr>
                <w:rFonts w:ascii="Arial" w:cs="Arial" w:eastAsia="Arial" w:hAnsi="Arial"/>
                <w:sz w:val="15"/>
                <w:szCs w:val="15"/>
                <w:color w:val="auto"/>
              </w:rPr>
              <w:t>(Under) Cost</w:t>
            </w:r>
          </w:p>
        </w:tc>
      </w:tr>
      <w:tr>
        <w:trPr>
          <w:trHeight w:val="213"/>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stocks</w:t>
            </w:r>
          </w:p>
        </w:tc>
        <w:tc>
          <w:tcPr>
            <w:tcW w:w="32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553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5"/>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Perpetual preferred stocks</w:t>
            </w:r>
          </w:p>
        </w:tc>
        <w:tc>
          <w:tcPr>
            <w:tcW w:w="3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457</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235"/>
        </w:trPr>
        <w:tc>
          <w:tcPr>
            <w:tcW w:w="4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equity securities carried at fair value</w:t>
            </w: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1,010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380"/>
        <w:spacing w:after="0" w:line="276" w:lineRule="auto"/>
        <w:rPr>
          <w:sz w:val="20"/>
          <w:szCs w:val="20"/>
          <w:color w:val="auto"/>
        </w:rPr>
      </w:pPr>
      <w:r>
        <w:rPr>
          <w:rFonts w:ascii="Arial" w:cs="Arial" w:eastAsia="Arial" w:hAnsi="Arial"/>
          <w:sz w:val="17"/>
          <w:szCs w:val="17"/>
          <w:color w:val="auto"/>
        </w:rPr>
        <w:t>The following table shows the carrying value and net investment income from investments accounted for using the equity method held by AFG’s continuing operations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20" w:type="dxa"/>
            <w:vAlign w:val="bottom"/>
            <w:gridSpan w:val="5"/>
          </w:tcPr>
          <w:p>
            <w:pPr>
              <w:ind w:left="1140"/>
              <w:spacing w:after="0"/>
              <w:rPr>
                <w:sz w:val="20"/>
                <w:szCs w:val="20"/>
                <w:color w:val="auto"/>
              </w:rPr>
            </w:pPr>
            <w:r>
              <w:rPr>
                <w:rFonts w:ascii="Arial" w:cs="Arial" w:eastAsia="Arial" w:hAnsi="Arial"/>
                <w:sz w:val="15"/>
                <w:szCs w:val="15"/>
                <w:color w:val="auto"/>
              </w:rPr>
              <w:t>Carrying Value</w:t>
            </w:r>
          </w:p>
        </w:tc>
        <w:tc>
          <w:tcPr>
            <w:tcW w:w="880" w:type="dxa"/>
            <w:vAlign w:val="bottom"/>
          </w:tcPr>
          <w:p>
            <w:pPr>
              <w:spacing w:after="0"/>
              <w:rPr>
                <w:sz w:val="17"/>
                <w:szCs w:val="17"/>
                <w:color w:val="auto"/>
              </w:rPr>
            </w:pPr>
          </w:p>
        </w:tc>
        <w:tc>
          <w:tcPr>
            <w:tcW w:w="2020" w:type="dxa"/>
            <w:vAlign w:val="bottom"/>
            <w:gridSpan w:val="6"/>
          </w:tcPr>
          <w:p>
            <w:pPr>
              <w:jc w:val="right"/>
              <w:ind w:right="119"/>
              <w:spacing w:after="0"/>
              <w:rPr>
                <w:sz w:val="20"/>
                <w:szCs w:val="20"/>
                <w:color w:val="auto"/>
              </w:rPr>
            </w:pPr>
            <w:r>
              <w:rPr>
                <w:rFonts w:ascii="Arial" w:cs="Arial" w:eastAsia="Arial" w:hAnsi="Arial"/>
                <w:sz w:val="15"/>
                <w:szCs w:val="15"/>
                <w:color w:val="auto"/>
              </w:rPr>
              <w:t>Net Investment Income</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gridSpan w:val="2"/>
          </w:tcPr>
          <w:p>
            <w:pPr>
              <w:ind w:left="60"/>
              <w:spacing w:after="0"/>
              <w:rPr>
                <w:sz w:val="20"/>
                <w:szCs w:val="20"/>
                <w:color w:val="auto"/>
              </w:rPr>
            </w:pPr>
            <w:r>
              <w:rPr>
                <w:rFonts w:ascii="Arial" w:cs="Arial" w:eastAsia="Arial" w:hAnsi="Arial"/>
                <w:sz w:val="15"/>
                <w:szCs w:val="15"/>
                <w:color w:val="auto"/>
              </w:rPr>
              <w:t>December 31, 2023</w:t>
            </w:r>
          </w:p>
        </w:tc>
        <w:tc>
          <w:tcPr>
            <w:tcW w:w="1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ind w:right="120"/>
              <w:spacing w:after="0"/>
              <w:rPr>
                <w:sz w:val="20"/>
                <w:szCs w:val="20"/>
                <w:color w:val="auto"/>
              </w:rPr>
            </w:pPr>
            <w:r>
              <w:rPr>
                <w:rFonts w:ascii="Arial" w:cs="Arial" w:eastAsia="Arial" w:hAnsi="Arial"/>
                <w:sz w:val="15"/>
                <w:szCs w:val="15"/>
                <w:color w:val="auto"/>
              </w:rPr>
              <w:t>December 31, 2022</w:t>
            </w:r>
          </w:p>
        </w:tc>
        <w:tc>
          <w:tcPr>
            <w:tcW w:w="80" w:type="dxa"/>
            <w:vAlign w:val="bottom"/>
          </w:tcPr>
          <w:p>
            <w:pPr>
              <w:spacing w:after="0"/>
              <w:rPr>
                <w:sz w:val="17"/>
                <w:szCs w:val="17"/>
                <w:color w:val="auto"/>
              </w:rPr>
            </w:pPr>
          </w:p>
        </w:tc>
        <w:tc>
          <w:tcPr>
            <w:tcW w:w="880" w:type="dxa"/>
            <w:vAlign w:val="bottom"/>
            <w:tcBorders>
              <w:top w:val="single" w:sz="8" w:color="auto"/>
            </w:tcBorders>
          </w:tcPr>
          <w:p>
            <w:pPr>
              <w:jc w:val="right"/>
              <w:ind w:right="21"/>
              <w:spacing w:after="0"/>
              <w:rPr>
                <w:sz w:val="20"/>
                <w:szCs w:val="20"/>
                <w:color w:val="auto"/>
              </w:rPr>
            </w:pPr>
            <w:r>
              <w:rPr>
                <w:rFonts w:ascii="Arial" w:cs="Arial" w:eastAsia="Arial" w:hAnsi="Arial"/>
                <w:sz w:val="15"/>
                <w:szCs w:val="15"/>
                <w:color w:val="auto"/>
              </w:rPr>
              <w:t>2023</w:t>
            </w:r>
          </w:p>
        </w:tc>
        <w:tc>
          <w:tcPr>
            <w:tcW w:w="3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360"/>
              <w:spacing w:after="0"/>
              <w:rPr>
                <w:sz w:val="20"/>
                <w:szCs w:val="20"/>
                <w:color w:val="auto"/>
              </w:rPr>
            </w:pPr>
            <w:r>
              <w:rPr>
                <w:rFonts w:ascii="Arial" w:cs="Arial" w:eastAsia="Arial" w:hAnsi="Arial"/>
                <w:sz w:val="15"/>
                <w:szCs w:val="15"/>
                <w:color w:val="auto"/>
              </w:rPr>
              <w:t>2022</w:t>
            </w:r>
          </w:p>
        </w:tc>
        <w:tc>
          <w:tcPr>
            <w:tcW w:w="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360"/>
              <w:spacing w:after="0"/>
              <w:rPr>
                <w:sz w:val="20"/>
                <w:szCs w:val="20"/>
                <w:color w:val="auto"/>
              </w:rPr>
            </w:pPr>
            <w:r>
              <w:rPr>
                <w:rFonts w:ascii="Arial" w:cs="Arial" w:eastAsia="Arial" w:hAnsi="Arial"/>
                <w:sz w:val="15"/>
                <w:szCs w:val="15"/>
                <w:color w:val="auto"/>
              </w:rPr>
              <w:t>2021</w:t>
            </w:r>
          </w:p>
        </w:tc>
        <w:tc>
          <w:tcPr>
            <w:tcW w:w="0" w:type="dxa"/>
            <w:vAlign w:val="bottom"/>
          </w:tcPr>
          <w:p>
            <w:pPr>
              <w:spacing w:after="0"/>
              <w:rPr>
                <w:sz w:val="1"/>
                <w:szCs w:val="1"/>
                <w:color w:val="auto"/>
              </w:rPr>
            </w:pPr>
          </w:p>
        </w:tc>
      </w:tr>
      <w:tr>
        <w:trPr>
          <w:trHeight w:val="211"/>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Real estate-related investments (*)</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1,320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1,229</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81"/>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15"/>
        </w:trPr>
        <w:tc>
          <w:tcPr>
            <w:tcW w:w="3740" w:type="dxa"/>
            <w:vAlign w:val="bottom"/>
          </w:tcPr>
          <w:p>
            <w:pPr>
              <w:ind w:left="20"/>
              <w:spacing w:after="0"/>
              <w:rPr>
                <w:sz w:val="20"/>
                <w:szCs w:val="20"/>
                <w:color w:val="auto"/>
              </w:rPr>
            </w:pPr>
            <w:r>
              <w:rPr>
                <w:rFonts w:ascii="Arial" w:cs="Arial" w:eastAsia="Arial" w:hAnsi="Arial"/>
                <w:sz w:val="16"/>
                <w:szCs w:val="16"/>
                <w:color w:val="auto"/>
              </w:rPr>
              <w:t>Private equity</w:t>
            </w:r>
          </w:p>
        </w:tc>
        <w:tc>
          <w:tcPr>
            <w:tcW w:w="14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457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438</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Private debt</w:t>
            </w:r>
          </w:p>
        </w:tc>
        <w:tc>
          <w:tcPr>
            <w:tcW w:w="1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37</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42"/>
        </w:trPr>
        <w:tc>
          <w:tcPr>
            <w:tcW w:w="3740" w:type="dxa"/>
            <w:vAlign w:val="bottom"/>
          </w:tcPr>
          <w:p>
            <w:pPr>
              <w:ind w:left="180"/>
              <w:spacing w:after="0" w:line="142" w:lineRule="exact"/>
              <w:rPr>
                <w:sz w:val="20"/>
                <w:szCs w:val="20"/>
                <w:color w:val="auto"/>
              </w:rPr>
            </w:pPr>
            <w:r>
              <w:rPr>
                <w:rFonts w:ascii="Arial" w:cs="Arial" w:eastAsia="Arial" w:hAnsi="Arial"/>
                <w:sz w:val="16"/>
                <w:szCs w:val="16"/>
                <w:color w:val="auto"/>
              </w:rPr>
              <w:t>Total investments accounted for using the equity</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vMerge w:val="restart"/>
          </w:tcPr>
          <w:p>
            <w:pPr>
              <w:jc w:val="right"/>
              <w:ind w:right="1"/>
              <w:spacing w:after="0"/>
              <w:rPr>
                <w:sz w:val="20"/>
                <w:szCs w:val="20"/>
                <w:color w:val="auto"/>
              </w:rPr>
            </w:pPr>
            <w:r>
              <w:rPr>
                <w:rFonts w:ascii="Arial" w:cs="Arial" w:eastAsia="Arial" w:hAnsi="Arial"/>
                <w:sz w:val="16"/>
                <w:szCs w:val="16"/>
                <w:color w:val="auto"/>
              </w:rPr>
              <w:t>1,814</w:t>
            </w:r>
          </w:p>
        </w:tc>
        <w:tc>
          <w:tcPr>
            <w:tcW w:w="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1,700</w:t>
            </w:r>
          </w:p>
        </w:tc>
        <w:tc>
          <w:tcPr>
            <w:tcW w:w="80" w:type="dxa"/>
            <w:vAlign w:val="bottom"/>
          </w:tcPr>
          <w:p>
            <w:pPr>
              <w:spacing w:after="0"/>
              <w:rPr>
                <w:sz w:val="12"/>
                <w:szCs w:val="12"/>
                <w:color w:val="auto"/>
              </w:rPr>
            </w:pPr>
          </w:p>
        </w:tc>
        <w:tc>
          <w:tcPr>
            <w:tcW w:w="880" w:type="dxa"/>
            <w:vAlign w:val="bottom"/>
            <w:vMerge w:val="restart"/>
          </w:tcPr>
          <w:p>
            <w:pPr>
              <w:jc w:val="right"/>
              <w:ind w:right="681"/>
              <w:spacing w:after="0"/>
              <w:rPr>
                <w:sz w:val="20"/>
                <w:szCs w:val="20"/>
                <w:color w:val="auto"/>
              </w:rPr>
            </w:pPr>
            <w:r>
              <w:rPr>
                <w:rFonts w:ascii="Arial" w:cs="Arial" w:eastAsia="Arial" w:hAnsi="Arial"/>
                <w:sz w:val="16"/>
                <w:szCs w:val="16"/>
                <w:color w:val="auto"/>
              </w:rPr>
              <w:t>$</w:t>
            </w: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2"/>
                <w:szCs w:val="12"/>
                <w:color w:val="auto"/>
              </w:rPr>
            </w:pP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267</w:t>
            </w:r>
          </w:p>
        </w:tc>
        <w:tc>
          <w:tcPr>
            <w:tcW w:w="80" w:type="dxa"/>
            <w:vAlign w:val="bottom"/>
          </w:tcPr>
          <w:p>
            <w:pPr>
              <w:spacing w:after="0"/>
              <w:rPr>
                <w:sz w:val="12"/>
                <w:szCs w:val="12"/>
                <w:color w:val="auto"/>
              </w:rPr>
            </w:pPr>
          </w:p>
        </w:tc>
        <w:tc>
          <w:tcPr>
            <w:tcW w:w="28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194"/>
        </w:trPr>
        <w:tc>
          <w:tcPr>
            <w:tcW w:w="3740" w:type="dxa"/>
            <w:vAlign w:val="bottom"/>
          </w:tcPr>
          <w:p>
            <w:pPr>
              <w:ind w:left="360"/>
              <w:spacing w:after="0"/>
              <w:rPr>
                <w:sz w:val="20"/>
                <w:szCs w:val="20"/>
                <w:color w:val="auto"/>
              </w:rPr>
            </w:pPr>
            <w:r>
              <w:rPr>
                <w:rFonts w:ascii="Arial" w:cs="Arial" w:eastAsia="Arial" w:hAnsi="Arial"/>
                <w:sz w:val="16"/>
                <w:szCs w:val="16"/>
                <w:color w:val="auto"/>
              </w:rPr>
              <w:t>method</w:t>
            </w:r>
          </w:p>
        </w:tc>
        <w:tc>
          <w:tcPr>
            <w:tcW w:w="140" w:type="dxa"/>
            <w:vAlign w:val="bottom"/>
            <w:tcBorders>
              <w:bottom w:val="single" w:sz="8" w:color="auto"/>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20" w:right="240" w:hanging="412"/>
        <w:spacing w:after="0" w:line="284" w:lineRule="auto"/>
        <w:tabs>
          <w:tab w:leader="none" w:pos="411" w:val="left"/>
        </w:tabs>
        <w:numPr>
          <w:ilvl w:val="0"/>
          <w:numId w:val="51"/>
        </w:numPr>
        <w:rPr>
          <w:rFonts w:ascii="Arial" w:cs="Arial" w:eastAsia="Arial" w:hAnsi="Arial"/>
          <w:sz w:val="17"/>
          <w:szCs w:val="17"/>
          <w:color w:val="auto"/>
        </w:rPr>
      </w:pPr>
      <w:r>
        <w:rPr>
          <w:rFonts w:ascii="Arial" w:cs="Arial" w:eastAsia="Arial" w:hAnsi="Arial"/>
          <w:sz w:val="17"/>
          <w:szCs w:val="17"/>
          <w:color w:val="auto"/>
        </w:rPr>
        <w:t>92% of the carrying value relates to underlying investments in multi-family housing properties at both December 31, 2023 and December 31, 2022.</w:t>
      </w:r>
    </w:p>
    <w:p>
      <w:pPr>
        <w:spacing w:after="0" w:line="185"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The earnings (losses) from these investments are generally reported on a quarter lag due to the timing required to obtain the necessary information from the funds. AFG regularly reviews and discusses fund performance with the fund managers to corroborate the reasonableness of the underlying reported asset values and to assess whether any events have occurred within the lag period that may materially affect the valuation of these investments.</w:t>
      </w:r>
    </w:p>
    <w:p>
      <w:pPr>
        <w:spacing w:after="0" w:line="200" w:lineRule="exact"/>
        <w:rPr>
          <w:sz w:val="20"/>
          <w:szCs w:val="20"/>
          <w:color w:val="auto"/>
        </w:rPr>
      </w:pPr>
    </w:p>
    <w:p>
      <w:pPr>
        <w:ind w:right="260"/>
        <w:spacing w:after="0" w:line="284" w:lineRule="auto"/>
        <w:rPr>
          <w:sz w:val="20"/>
          <w:szCs w:val="20"/>
          <w:color w:val="auto"/>
        </w:rPr>
      </w:pPr>
      <w:r>
        <w:rPr>
          <w:rFonts w:ascii="Arial" w:cs="Arial" w:eastAsia="Arial" w:hAnsi="Arial"/>
          <w:sz w:val="17"/>
          <w:szCs w:val="17"/>
          <w:color w:val="auto"/>
        </w:rPr>
        <w:t>With respect to partnerships and similar investments, AFG had unfunded commitments of $418 million and $396 million as of December 31, 2023 and December 31, 2022, respectively.</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9" w:name="page110"/>
    <w:bookmarkEnd w:id="10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AMERICAN FINANCIAL GROUP,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NOTES TO CONSOLIDATED FINANCIAL STATEMENTS — CONTINUED</w:t>
      </w:r>
    </w:p>
    <w:p>
      <w:pPr>
        <w:spacing w:after="0" w:line="200" w:lineRule="exact"/>
        <w:rPr>
          <w:sz w:val="20"/>
          <w:szCs w:val="20"/>
          <w:color w:val="auto"/>
        </w:rPr>
      </w:pPr>
    </w:p>
    <w:p>
      <w:pPr>
        <w:spacing w:after="0" w:line="240"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The following table shows gross unrealized losses (dollars in millions) on available for sale fixed maturities by investment category and length of time that individual securities have been in a continuous unrealized loss position at the following balance sheet dates.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6"/>
          </w:tcPr>
          <w:p>
            <w:pPr>
              <w:jc w:val="right"/>
              <w:ind w:right="828"/>
              <w:spacing w:after="0"/>
              <w:rPr>
                <w:sz w:val="20"/>
                <w:szCs w:val="20"/>
                <w:color w:val="auto"/>
              </w:rPr>
            </w:pPr>
            <w:r>
              <w:rPr>
                <w:rFonts w:ascii="Arial" w:cs="Arial" w:eastAsia="Arial" w:hAnsi="Arial"/>
                <w:sz w:val="13"/>
                <w:szCs w:val="13"/>
                <w:color w:val="auto"/>
              </w:rPr>
              <w:t>Less Than Twelve Months</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color w:val="auto"/>
                <w:w w:val="95"/>
              </w:rPr>
              <w:t>Twelve Months or More</w:t>
            </w:r>
          </w:p>
        </w:tc>
        <w:tc>
          <w:tcPr>
            <w:tcW w:w="960" w:type="dxa"/>
            <w:vAlign w:val="bottom"/>
            <w:tcBorders>
              <w:bottom w:val="single" w:sz="8" w:color="auto"/>
            </w:tcBorders>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color w:val="auto"/>
              </w:rPr>
              <w:t>Unrealized</w:t>
            </w:r>
          </w:p>
        </w:tc>
        <w:tc>
          <w:tcPr>
            <w:tcW w:w="200" w:type="dxa"/>
            <w:vAlign w:val="bottom"/>
          </w:tcPr>
          <w:p>
            <w:pPr>
              <w:spacing w:after="0"/>
              <w:rPr>
                <w:sz w:val="14"/>
                <w:szCs w:val="14"/>
                <w:color w:val="auto"/>
              </w:rPr>
            </w:pPr>
          </w:p>
        </w:tc>
        <w:tc>
          <w:tcPr>
            <w:tcW w:w="740" w:type="dxa"/>
            <w:vAlign w:val="bottom"/>
          </w:tcPr>
          <w:p>
            <w:pPr>
              <w:jc w:val="right"/>
              <w:ind w:right="281"/>
              <w:spacing w:after="0"/>
              <w:rPr>
                <w:sz w:val="20"/>
                <w:szCs w:val="20"/>
                <w:color w:val="auto"/>
              </w:rPr>
            </w:pPr>
            <w:r>
              <w:rPr>
                <w:rFonts w:ascii="Arial" w:cs="Arial" w:eastAsia="Arial" w:hAnsi="Arial"/>
                <w:sz w:val="13"/>
                <w:szCs w:val="13"/>
                <w:color w:val="auto"/>
              </w:rPr>
              <w:t>Fair</w:t>
            </w:r>
          </w:p>
        </w:tc>
        <w:tc>
          <w:tcPr>
            <w:tcW w:w="10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3"/>
                <w:szCs w:val="13"/>
                <w:color w:val="auto"/>
                <w:w w:val="96"/>
              </w:rPr>
              <w:t>Fair Value as</w:t>
            </w:r>
          </w:p>
        </w:tc>
        <w:tc>
          <w:tcPr>
            <w:tcW w:w="140" w:type="dxa"/>
            <w:vAlign w:val="bottom"/>
          </w:tcPr>
          <w:p>
            <w:pPr>
              <w:spacing w:after="0"/>
              <w:rPr>
                <w:sz w:val="14"/>
                <w:szCs w:val="14"/>
                <w:color w:val="auto"/>
              </w:rPr>
            </w:pPr>
          </w:p>
        </w:tc>
        <w:tc>
          <w:tcPr>
            <w:tcW w:w="820" w:type="dxa"/>
            <w:vAlign w:val="bottom"/>
          </w:tcPr>
          <w:p>
            <w:pPr>
              <w:jc w:val="right"/>
              <w:ind w:right="101"/>
              <w:spacing w:after="0"/>
              <w:rPr>
                <w:sz w:val="20"/>
                <w:szCs w:val="20"/>
                <w:color w:val="auto"/>
              </w:rPr>
            </w:pPr>
            <w:r>
              <w:rPr>
                <w:rFonts w:ascii="Arial" w:cs="Arial" w:eastAsia="Arial" w:hAnsi="Arial"/>
                <w:sz w:val="13"/>
                <w:szCs w:val="13"/>
                <w:color w:val="auto"/>
                <w:w w:val="99"/>
              </w:rPr>
              <w:t>Unrealized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tcPr>
          <w:p>
            <w:pPr>
              <w:jc w:val="center"/>
              <w:ind w:right="520"/>
              <w:spacing w:after="0"/>
              <w:rPr>
                <w:sz w:val="20"/>
                <w:szCs w:val="20"/>
                <w:color w:val="auto"/>
              </w:rPr>
            </w:pPr>
            <w:r>
              <w:rPr>
                <w:rFonts w:ascii="Arial" w:cs="Arial" w:eastAsia="Arial" w:hAnsi="Arial"/>
                <w:sz w:val="13"/>
                <w:szCs w:val="13"/>
                <w:color w:val="auto"/>
                <w:w w:val="98"/>
              </w:rPr>
              <w:t>Fair</w:t>
            </w:r>
          </w:p>
        </w:tc>
        <w:tc>
          <w:tcPr>
            <w:tcW w:w="960" w:type="dxa"/>
            <w:vAlign w:val="bottom"/>
          </w:tcPr>
          <w:p>
            <w:pPr>
              <w:jc w:val="right"/>
              <w:ind w:right="141"/>
              <w:spacing w:after="0"/>
              <w:rPr>
                <w:sz w:val="20"/>
                <w:szCs w:val="20"/>
                <w:color w:val="auto"/>
              </w:rPr>
            </w:pPr>
            <w:r>
              <w:rPr>
                <w:rFonts w:ascii="Arial" w:cs="Arial" w:eastAsia="Arial" w:hAnsi="Arial"/>
                <w:sz w:val="13"/>
                <w:szCs w:val="13"/>
                <w:color w:val="auto"/>
                <w:w w:val="93"/>
              </w:rPr>
              <w:t>Fair Value as</w:t>
            </w:r>
          </w:p>
        </w:tc>
      </w:tr>
      <w:tr>
        <w:trPr>
          <w:trHeight w:val="166"/>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200"/>
              <w:spacing w:after="0"/>
              <w:rPr>
                <w:sz w:val="20"/>
                <w:szCs w:val="20"/>
                <w:color w:val="auto"/>
              </w:rPr>
            </w:pPr>
            <w:r>
              <w:rPr>
                <w:rFonts w:ascii="Arial" w:cs="Arial" w:eastAsia="Arial" w:hAnsi="Arial"/>
                <w:sz w:val="13"/>
                <w:szCs w:val="13"/>
                <w:color w:val="auto"/>
              </w:rPr>
              <w:t>Loss</w:t>
            </w:r>
          </w:p>
        </w:tc>
        <w:tc>
          <w:tcPr>
            <w:tcW w:w="200" w:type="dxa"/>
            <w:vAlign w:val="bottom"/>
          </w:tcPr>
          <w:p>
            <w:pPr>
              <w:spacing w:after="0"/>
              <w:rPr>
                <w:sz w:val="14"/>
                <w:szCs w:val="14"/>
                <w:color w:val="auto"/>
              </w:rPr>
            </w:pPr>
          </w:p>
        </w:tc>
        <w:tc>
          <w:tcPr>
            <w:tcW w:w="740" w:type="dxa"/>
            <w:vAlign w:val="bottom"/>
          </w:tcPr>
          <w:p>
            <w:pPr>
              <w:jc w:val="right"/>
              <w:ind w:right="241"/>
              <w:spacing w:after="0"/>
              <w:rPr>
                <w:sz w:val="20"/>
                <w:szCs w:val="20"/>
                <w:color w:val="auto"/>
              </w:rPr>
            </w:pPr>
            <w:r>
              <w:rPr>
                <w:rFonts w:ascii="Arial" w:cs="Arial" w:eastAsia="Arial" w:hAnsi="Arial"/>
                <w:sz w:val="13"/>
                <w:szCs w:val="13"/>
                <w:color w:val="auto"/>
              </w:rPr>
              <w:t>Value</w:t>
            </w:r>
          </w:p>
        </w:tc>
        <w:tc>
          <w:tcPr>
            <w:tcW w:w="10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 of Cost</w:t>
            </w:r>
          </w:p>
        </w:tc>
        <w:tc>
          <w:tcPr>
            <w:tcW w:w="140" w:type="dxa"/>
            <w:vAlign w:val="bottom"/>
          </w:tcPr>
          <w:p>
            <w:pPr>
              <w:spacing w:after="0"/>
              <w:rPr>
                <w:sz w:val="14"/>
                <w:szCs w:val="14"/>
                <w:color w:val="auto"/>
              </w:rPr>
            </w:pPr>
          </w:p>
        </w:tc>
        <w:tc>
          <w:tcPr>
            <w:tcW w:w="820" w:type="dxa"/>
            <w:vAlign w:val="bottom"/>
          </w:tcPr>
          <w:p>
            <w:pPr>
              <w:jc w:val="right"/>
              <w:ind w:right="261"/>
              <w:spacing w:after="0"/>
              <w:rPr>
                <w:sz w:val="20"/>
                <w:szCs w:val="20"/>
                <w:color w:val="auto"/>
              </w:rPr>
            </w:pPr>
            <w:r>
              <w:rPr>
                <w:rFonts w:ascii="Arial" w:cs="Arial" w:eastAsia="Arial" w:hAnsi="Arial"/>
                <w:sz w:val="13"/>
                <w:szCs w:val="13"/>
                <w:color w:val="auto"/>
              </w:rPr>
              <w:t>Loss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tcPr>
          <w:p>
            <w:pPr>
              <w:jc w:val="center"/>
              <w:ind w:right="520"/>
              <w:spacing w:after="0"/>
              <w:rPr>
                <w:sz w:val="20"/>
                <w:szCs w:val="20"/>
                <w:color w:val="auto"/>
              </w:rPr>
            </w:pPr>
            <w:r>
              <w:rPr>
                <w:rFonts w:ascii="Arial" w:cs="Arial" w:eastAsia="Arial" w:hAnsi="Arial"/>
                <w:sz w:val="13"/>
                <w:szCs w:val="13"/>
                <w:color w:val="auto"/>
                <w:w w:val="90"/>
              </w:rPr>
              <w:t>Value</w:t>
            </w:r>
          </w:p>
        </w:tc>
        <w:tc>
          <w:tcPr>
            <w:tcW w:w="960" w:type="dxa"/>
            <w:vAlign w:val="bottom"/>
          </w:tcPr>
          <w:p>
            <w:pPr>
              <w:jc w:val="right"/>
              <w:ind w:right="221"/>
              <w:spacing w:after="0"/>
              <w:rPr>
                <w:sz w:val="20"/>
                <w:szCs w:val="20"/>
                <w:color w:val="auto"/>
              </w:rPr>
            </w:pPr>
            <w:r>
              <w:rPr>
                <w:rFonts w:ascii="Arial" w:cs="Arial" w:eastAsia="Arial" w:hAnsi="Arial"/>
                <w:sz w:val="13"/>
                <w:szCs w:val="13"/>
                <w:color w:val="auto"/>
              </w:rPr>
              <w:t>% of Cost</w:t>
            </w:r>
          </w:p>
        </w:tc>
      </w:tr>
      <w:tr>
        <w:trPr>
          <w:trHeight w:val="23"/>
        </w:trPr>
        <w:tc>
          <w:tcPr>
            <w:tcW w:w="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76"/>
        </w:trPr>
        <w:tc>
          <w:tcPr>
            <w:tcW w:w="20" w:type="dxa"/>
            <w:vAlign w:val="bottom"/>
            <w:shd w:val="clear" w:color="auto" w:fill="CCEEFF"/>
          </w:tcPr>
          <w:p>
            <w:pPr>
              <w:spacing w:after="0"/>
              <w:rPr>
                <w:sz w:val="15"/>
                <w:szCs w:val="15"/>
                <w:color w:val="auto"/>
              </w:rPr>
            </w:pPr>
          </w:p>
        </w:tc>
        <w:tc>
          <w:tcPr>
            <w:tcW w:w="4640" w:type="dxa"/>
            <w:vAlign w:val="bottom"/>
            <w:gridSpan w:val="2"/>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December 31, 2023</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Fixed maturities:</w:t>
            </w:r>
          </w:p>
        </w:tc>
        <w:tc>
          <w:tcPr>
            <w:tcW w:w="3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46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U.S. Government and government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3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96 %</w:t>
            </w:r>
          </w:p>
        </w:tc>
      </w:tr>
      <w:tr>
        <w:trPr>
          <w:trHeight w:val="215"/>
        </w:trPr>
        <w:tc>
          <w:tcPr>
            <w:tcW w:w="20" w:type="dxa"/>
            <w:vAlign w:val="bottom"/>
          </w:tcPr>
          <w:p>
            <w:pPr>
              <w:spacing w:after="0"/>
              <w:rPr>
                <w:sz w:val="18"/>
                <w:szCs w:val="18"/>
                <w:color w:val="auto"/>
              </w:rPr>
            </w:pPr>
          </w:p>
        </w:tc>
        <w:tc>
          <w:tcPr>
            <w:tcW w:w="4640" w:type="dxa"/>
            <w:vAlign w:val="bottom"/>
            <w:gridSpan w:val="2"/>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76</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99 %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93 %</w:t>
            </w:r>
          </w:p>
        </w:tc>
      </w:tr>
      <w:tr>
        <w:trPr>
          <w:trHeight w:val="217"/>
        </w:trPr>
        <w:tc>
          <w:tcPr>
            <w:tcW w:w="20" w:type="dxa"/>
            <w:vAlign w:val="bottom"/>
            <w:shd w:val="clear" w:color="auto" w:fill="CCEEFF"/>
          </w:tcPr>
          <w:p>
            <w:pPr>
              <w:spacing w:after="0"/>
              <w:rPr>
                <w:sz w:val="18"/>
                <w:szCs w:val="18"/>
                <w:color w:val="auto"/>
              </w:rPr>
            </w:pPr>
          </w:p>
        </w:tc>
        <w:tc>
          <w:tcPr>
            <w:tcW w:w="46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Foreign government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 %</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97 %</w:t>
            </w:r>
          </w:p>
        </w:tc>
      </w:tr>
      <w:tr>
        <w:trPr>
          <w:trHeight w:val="215"/>
        </w:trPr>
        <w:tc>
          <w:tcPr>
            <w:tcW w:w="20" w:type="dxa"/>
            <w:vAlign w:val="bottom"/>
          </w:tcPr>
          <w:p>
            <w:pPr>
              <w:spacing w:after="0"/>
              <w:rPr>
                <w:sz w:val="18"/>
                <w:szCs w:val="18"/>
                <w:color w:val="auto"/>
              </w:rPr>
            </w:pPr>
          </w:p>
        </w:tc>
        <w:tc>
          <w:tcPr>
            <w:tcW w:w="4640" w:type="dxa"/>
            <w:vAlign w:val="bottom"/>
            <w:gridSpan w:val="2"/>
          </w:tcPr>
          <w:p>
            <w:pPr>
              <w:ind w:left="340"/>
              <w:spacing w:after="0"/>
              <w:rPr>
                <w:sz w:val="20"/>
                <w:szCs w:val="20"/>
                <w:color w:val="auto"/>
              </w:rPr>
            </w:pPr>
            <w:r>
              <w:rPr>
                <w:rFonts w:ascii="Arial" w:cs="Arial" w:eastAsia="Arial" w:hAnsi="Arial"/>
                <w:sz w:val="16"/>
                <w:szCs w:val="16"/>
                <w:color w:val="auto"/>
              </w:rPr>
              <w:t>Residential MBS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42</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98 %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88 %</w:t>
            </w:r>
          </w:p>
        </w:tc>
      </w:tr>
      <w:tr>
        <w:trPr>
          <w:trHeight w:val="217"/>
        </w:trPr>
        <w:tc>
          <w:tcPr>
            <w:tcW w:w="20" w:type="dxa"/>
            <w:vAlign w:val="bottom"/>
            <w:shd w:val="clear" w:color="auto" w:fill="CCEEFF"/>
          </w:tcPr>
          <w:p>
            <w:pPr>
              <w:spacing w:after="0"/>
              <w:rPr>
                <w:sz w:val="18"/>
                <w:szCs w:val="18"/>
                <w:color w:val="auto"/>
              </w:rPr>
            </w:pPr>
          </w:p>
        </w:tc>
        <w:tc>
          <w:tcPr>
            <w:tcW w:w="46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Commercial MBS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 %</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98 %</w:t>
            </w:r>
          </w:p>
        </w:tc>
      </w:tr>
      <w:tr>
        <w:trPr>
          <w:trHeight w:val="215"/>
        </w:trPr>
        <w:tc>
          <w:tcPr>
            <w:tcW w:w="20" w:type="dxa"/>
            <w:vAlign w:val="bottom"/>
          </w:tcPr>
          <w:p>
            <w:pPr>
              <w:spacing w:after="0"/>
              <w:rPr>
                <w:sz w:val="18"/>
                <w:szCs w:val="18"/>
                <w:color w:val="auto"/>
              </w:rPr>
            </w:pPr>
          </w:p>
        </w:tc>
        <w:tc>
          <w:tcPr>
            <w:tcW w:w="4640" w:type="dxa"/>
            <w:vAlign w:val="bottom"/>
            <w:gridSpan w:val="2"/>
          </w:tcPr>
          <w:p>
            <w:pPr>
              <w:ind w:left="340"/>
              <w:spacing w:after="0"/>
              <w:rPr>
                <w:sz w:val="20"/>
                <w:szCs w:val="20"/>
                <w:color w:val="auto"/>
              </w:rPr>
            </w:pPr>
            <w:r>
              <w:rPr>
                <w:rFonts w:ascii="Arial" w:cs="Arial" w:eastAsia="Arial" w:hAnsi="Arial"/>
                <w:sz w:val="16"/>
                <w:szCs w:val="16"/>
                <w:color w:val="auto"/>
              </w:rPr>
              <w:t>Collateralized loan obligations</w:t>
            </w:r>
          </w:p>
        </w:tc>
        <w:tc>
          <w:tcPr>
            <w:tcW w:w="14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25</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97 %</w:t>
            </w:r>
          </w:p>
        </w:tc>
      </w:tr>
      <w:tr>
        <w:trPr>
          <w:trHeight w:val="217"/>
        </w:trPr>
        <w:tc>
          <w:tcPr>
            <w:tcW w:w="20" w:type="dxa"/>
            <w:vAlign w:val="bottom"/>
            <w:shd w:val="clear" w:color="auto" w:fill="CCEEFF"/>
          </w:tcPr>
          <w:p>
            <w:pPr>
              <w:spacing w:after="0"/>
              <w:rPr>
                <w:sz w:val="18"/>
                <w:szCs w:val="18"/>
                <w:color w:val="auto"/>
              </w:rPr>
            </w:pPr>
          </w:p>
        </w:tc>
        <w:tc>
          <w:tcPr>
            <w:tcW w:w="46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Other asset-backed securities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93 %</w:t>
            </w:r>
          </w:p>
        </w:tc>
      </w:tr>
      <w:tr>
        <w:trPr>
          <w:trHeight w:val="215"/>
        </w:trPr>
        <w:tc>
          <w:tcPr>
            <w:tcW w:w="20" w:type="dxa"/>
            <w:vAlign w:val="bottom"/>
            <w:tcBorders>
              <w:bottom w:val="single" w:sz="8" w:color="CCEEFF"/>
            </w:tcBorders>
          </w:tcPr>
          <w:p>
            <w:pPr>
              <w:spacing w:after="0"/>
              <w:rPr>
                <w:sz w:val="18"/>
                <w:szCs w:val="18"/>
                <w:color w:val="auto"/>
              </w:rPr>
            </w:pPr>
          </w:p>
        </w:tc>
        <w:tc>
          <w:tcPr>
            <w:tcW w:w="464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Corporate and other</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123</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97 %</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93 %</w:t>
            </w: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46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Total fixed maturities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428</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98 %</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5,999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96"/>
        </w:trPr>
        <w:tc>
          <w:tcPr>
            <w:tcW w:w="20" w:type="dxa"/>
            <w:vAlign w:val="bottom"/>
            <w:shd w:val="clear" w:color="auto" w:fill="CCEEFF"/>
          </w:tcPr>
          <w:p>
            <w:pPr>
              <w:spacing w:after="0"/>
              <w:rPr>
                <w:sz w:val="17"/>
                <w:szCs w:val="17"/>
                <w:color w:val="auto"/>
              </w:rPr>
            </w:pPr>
          </w:p>
        </w:tc>
        <w:tc>
          <w:tcPr>
            <w:tcW w:w="464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December 31, 2022</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Fixed maturities:</w:t>
            </w:r>
          </w:p>
        </w:tc>
        <w:tc>
          <w:tcPr>
            <w:tcW w:w="3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217"/>
        </w:trPr>
        <w:tc>
          <w:tcPr>
            <w:tcW w:w="20" w:type="dxa"/>
            <w:vAlign w:val="bottom"/>
            <w:shd w:val="clear" w:color="auto" w:fill="CCEEFF"/>
          </w:tcPr>
          <w:p>
            <w:pPr>
              <w:spacing w:after="0"/>
              <w:rPr>
                <w:sz w:val="18"/>
                <w:szCs w:val="18"/>
                <w:color w:val="auto"/>
              </w:rPr>
            </w:pPr>
          </w:p>
        </w:tc>
        <w:tc>
          <w:tcPr>
            <w:tcW w:w="46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U.S. Government and government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3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91 %</w:t>
            </w:r>
          </w:p>
        </w:tc>
      </w:tr>
      <w:tr>
        <w:trPr>
          <w:trHeight w:val="215"/>
        </w:trPr>
        <w:tc>
          <w:tcPr>
            <w:tcW w:w="20" w:type="dxa"/>
            <w:vAlign w:val="bottom"/>
          </w:tcPr>
          <w:p>
            <w:pPr>
              <w:spacing w:after="0"/>
              <w:rPr>
                <w:sz w:val="18"/>
                <w:szCs w:val="18"/>
                <w:color w:val="auto"/>
              </w:rPr>
            </w:pPr>
          </w:p>
        </w:tc>
        <w:tc>
          <w:tcPr>
            <w:tcW w:w="4640" w:type="dxa"/>
            <w:vAlign w:val="bottom"/>
            <w:gridSpan w:val="2"/>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967</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95 %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94 %</w:t>
            </w:r>
          </w:p>
        </w:tc>
      </w:tr>
      <w:tr>
        <w:trPr>
          <w:trHeight w:val="217"/>
        </w:trPr>
        <w:tc>
          <w:tcPr>
            <w:tcW w:w="20" w:type="dxa"/>
            <w:vAlign w:val="bottom"/>
            <w:shd w:val="clear" w:color="auto" w:fill="CCEEFF"/>
          </w:tcPr>
          <w:p>
            <w:pPr>
              <w:spacing w:after="0"/>
              <w:rPr>
                <w:sz w:val="18"/>
                <w:szCs w:val="18"/>
                <w:color w:val="auto"/>
              </w:rPr>
            </w:pPr>
          </w:p>
        </w:tc>
        <w:tc>
          <w:tcPr>
            <w:tcW w:w="46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Foreign government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94 %</w:t>
            </w:r>
          </w:p>
        </w:tc>
      </w:tr>
      <w:tr>
        <w:trPr>
          <w:trHeight w:val="215"/>
        </w:trPr>
        <w:tc>
          <w:tcPr>
            <w:tcW w:w="20" w:type="dxa"/>
            <w:vAlign w:val="bottom"/>
          </w:tcPr>
          <w:p>
            <w:pPr>
              <w:spacing w:after="0"/>
              <w:rPr>
                <w:sz w:val="18"/>
                <w:szCs w:val="18"/>
                <w:color w:val="auto"/>
              </w:rPr>
            </w:pPr>
          </w:p>
        </w:tc>
        <w:tc>
          <w:tcPr>
            <w:tcW w:w="4640" w:type="dxa"/>
            <w:vAlign w:val="bottom"/>
            <w:gridSpan w:val="2"/>
          </w:tcPr>
          <w:p>
            <w:pPr>
              <w:ind w:left="340"/>
              <w:spacing w:after="0"/>
              <w:rPr>
                <w:sz w:val="20"/>
                <w:szCs w:val="20"/>
                <w:color w:val="auto"/>
              </w:rPr>
            </w:pPr>
            <w:r>
              <w:rPr>
                <w:rFonts w:ascii="Arial" w:cs="Arial" w:eastAsia="Arial" w:hAnsi="Arial"/>
                <w:sz w:val="16"/>
                <w:szCs w:val="16"/>
                <w:color w:val="auto"/>
              </w:rPr>
              <w:t>Residential MBS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1,078</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90 %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83 %</w:t>
            </w:r>
          </w:p>
        </w:tc>
      </w:tr>
      <w:tr>
        <w:trPr>
          <w:trHeight w:val="217"/>
        </w:trPr>
        <w:tc>
          <w:tcPr>
            <w:tcW w:w="20" w:type="dxa"/>
            <w:vAlign w:val="bottom"/>
            <w:shd w:val="clear" w:color="auto" w:fill="CCEEFF"/>
          </w:tcPr>
          <w:p>
            <w:pPr>
              <w:spacing w:after="0"/>
              <w:rPr>
                <w:sz w:val="18"/>
                <w:szCs w:val="18"/>
                <w:color w:val="auto"/>
              </w:rPr>
            </w:pPr>
          </w:p>
        </w:tc>
        <w:tc>
          <w:tcPr>
            <w:tcW w:w="46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Commercial MBS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96 %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97 %</w:t>
            </w:r>
          </w:p>
        </w:tc>
      </w:tr>
      <w:tr>
        <w:trPr>
          <w:trHeight w:val="215"/>
        </w:trPr>
        <w:tc>
          <w:tcPr>
            <w:tcW w:w="20" w:type="dxa"/>
            <w:vAlign w:val="bottom"/>
          </w:tcPr>
          <w:p>
            <w:pPr>
              <w:spacing w:after="0"/>
              <w:rPr>
                <w:sz w:val="18"/>
                <w:szCs w:val="18"/>
                <w:color w:val="auto"/>
              </w:rPr>
            </w:pPr>
          </w:p>
        </w:tc>
        <w:tc>
          <w:tcPr>
            <w:tcW w:w="4640" w:type="dxa"/>
            <w:vAlign w:val="bottom"/>
            <w:gridSpan w:val="2"/>
          </w:tcPr>
          <w:p>
            <w:pPr>
              <w:ind w:left="340"/>
              <w:spacing w:after="0"/>
              <w:rPr>
                <w:sz w:val="20"/>
                <w:szCs w:val="20"/>
                <w:color w:val="auto"/>
              </w:rPr>
            </w:pPr>
            <w:r>
              <w:rPr>
                <w:rFonts w:ascii="Arial" w:cs="Arial" w:eastAsia="Arial" w:hAnsi="Arial"/>
                <w:sz w:val="16"/>
                <w:szCs w:val="16"/>
                <w:color w:val="auto"/>
              </w:rPr>
              <w:t>Collateralized loan obligations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1,224</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97 %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96 %</w:t>
            </w:r>
          </w:p>
        </w:tc>
      </w:tr>
      <w:tr>
        <w:trPr>
          <w:trHeight w:val="217"/>
        </w:trPr>
        <w:tc>
          <w:tcPr>
            <w:tcW w:w="20" w:type="dxa"/>
            <w:vAlign w:val="bottom"/>
            <w:shd w:val="clear" w:color="auto" w:fill="CCEEFF"/>
          </w:tcPr>
          <w:p>
            <w:pPr>
              <w:spacing w:after="0"/>
              <w:rPr>
                <w:sz w:val="18"/>
                <w:szCs w:val="18"/>
                <w:color w:val="auto"/>
              </w:rPr>
            </w:pPr>
          </w:p>
        </w:tc>
        <w:tc>
          <w:tcPr>
            <w:tcW w:w="46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Other asset-backed securities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1,361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93 %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90 %</w:t>
            </w:r>
          </w:p>
        </w:tc>
      </w:tr>
      <w:tr>
        <w:trPr>
          <w:trHeight w:val="215"/>
        </w:trPr>
        <w:tc>
          <w:tcPr>
            <w:tcW w:w="20" w:type="dxa"/>
            <w:vAlign w:val="bottom"/>
            <w:tcBorders>
              <w:bottom w:val="single" w:sz="8" w:color="CCEEFF"/>
            </w:tcBorders>
          </w:tcPr>
          <w:p>
            <w:pPr>
              <w:spacing w:after="0"/>
              <w:rPr>
                <w:sz w:val="18"/>
                <w:szCs w:val="18"/>
                <w:color w:val="auto"/>
              </w:rPr>
            </w:pPr>
          </w:p>
        </w:tc>
        <w:tc>
          <w:tcPr>
            <w:tcW w:w="464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Corporate and other</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1,665</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94 %</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89 %</w:t>
            </w: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46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Total fixed maturities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6,540</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94 %</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r>
    </w:tbl>
    <w:p>
      <w:pPr>
        <w:spacing w:after="0" w:line="315"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At December 31, 2023, the gross unrealized losses on fixed maturities of $470 million relate to approximately 1,450 securities. Investment grade securities (as determined by nationally recognized rating agencies) represented approximately 94% of the gross unrealized loss and 95% of the fair value of securities with unrealized losses.</w:t>
      </w:r>
    </w:p>
    <w:p>
      <w:pPr>
        <w:spacing w:after="0" w:line="201"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To evaluate fixed maturities for expected credit losses (impairment), management considers whether the unrealized loss is credit-driven or a result of changes in market interest rates, the extent to which fair value is less than cost basis, historical operating, balance sheet and cash flow data from the issuer, third party research and communications with industry specialists and discussions with issuer management.</w:t>
      </w:r>
    </w:p>
    <w:p>
      <w:pPr>
        <w:spacing w:after="0" w:line="195" w:lineRule="exact"/>
        <w:rPr>
          <w:sz w:val="20"/>
          <w:szCs w:val="20"/>
          <w:color w:val="auto"/>
        </w:rPr>
      </w:pPr>
    </w:p>
    <w:p>
      <w:pPr>
        <w:ind w:right="640"/>
        <w:spacing w:after="0" w:line="260" w:lineRule="auto"/>
        <w:rPr>
          <w:sz w:val="20"/>
          <w:szCs w:val="20"/>
          <w:color w:val="auto"/>
        </w:rPr>
      </w:pPr>
      <w:r>
        <w:rPr>
          <w:rFonts w:ascii="Arial" w:cs="Arial" w:eastAsia="Arial" w:hAnsi="Arial"/>
          <w:sz w:val="17"/>
          <w:szCs w:val="17"/>
          <w:color w:val="auto"/>
        </w:rPr>
        <w:t>AFG analyzes its MBS for expected credit losses (impairment) each quarter based upon expected future cash flows. Management estimates expected future cash flows based upon its knowledge of the MBS market, cash flow projections (which reflect loan to collateral values, subordination, vintage and geographic concentration) received from independent sources, implied cash flows inherent in security ratings and analysis of historical payment data.</w:t>
      </w:r>
    </w:p>
    <w:p>
      <w:pPr>
        <w:spacing w:after="0" w:line="219" w:lineRule="exact"/>
        <w:rPr>
          <w:sz w:val="20"/>
          <w:szCs w:val="20"/>
          <w:color w:val="auto"/>
        </w:rPr>
      </w:pPr>
    </w:p>
    <w:p>
      <w:pPr>
        <w:ind w:right="220"/>
        <w:spacing w:after="0" w:line="284" w:lineRule="auto"/>
        <w:rPr>
          <w:sz w:val="20"/>
          <w:szCs w:val="20"/>
          <w:color w:val="auto"/>
        </w:rPr>
      </w:pPr>
      <w:r>
        <w:rPr>
          <w:rFonts w:ascii="Arial" w:cs="Arial" w:eastAsia="Arial" w:hAnsi="Arial"/>
          <w:sz w:val="17"/>
          <w:szCs w:val="17"/>
          <w:color w:val="auto"/>
        </w:rPr>
        <w:t>Management believes AFG will recover its cost basis (net of any allowance) in the securities with unrealized losses and that AFG has the ability to hold the securities until they recover in value and had no intent to sell them at December 31, 2023.</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0" w:name="page111"/>
    <w:bookmarkEnd w:id="11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AMERICAN FINANCIAL GROUP,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NOTES TO CONSOLIDATED FINANCIAL STATEMENTS — CONTINUED</w:t>
      </w:r>
    </w:p>
    <w:p>
      <w:pPr>
        <w:spacing w:after="0" w:line="200" w:lineRule="exact"/>
        <w:rPr>
          <w:sz w:val="20"/>
          <w:szCs w:val="20"/>
          <w:color w:val="auto"/>
        </w:rPr>
      </w:pPr>
    </w:p>
    <w:p>
      <w:pPr>
        <w:spacing w:after="0" w:line="240"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A progression of the allowance for expected credit losses on available for sale fixed maturity securities held by AFG’s continuing operations is shown below (in millions):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color w:val="auto"/>
              </w:rPr>
              <w:t>Structured</w:t>
            </w: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color w:val="auto"/>
              </w:rPr>
              <w:t>Corporate and</w:t>
            </w:r>
          </w:p>
        </w:tc>
        <w:tc>
          <w:tcPr>
            <w:tcW w:w="280" w:type="dxa"/>
            <w:vAlign w:val="bottom"/>
          </w:tcPr>
          <w:p>
            <w:pPr>
              <w:spacing w:after="0"/>
              <w:rPr>
                <w:sz w:val="14"/>
                <w:szCs w:val="14"/>
                <w:color w:val="auto"/>
              </w:rPr>
            </w:pPr>
          </w:p>
        </w:tc>
        <w:tc>
          <w:tcPr>
            <w:tcW w:w="940" w:type="dxa"/>
            <w:vAlign w:val="bottom"/>
            <w:vMerge w:val="restart"/>
          </w:tcPr>
          <w:p>
            <w:pPr>
              <w:jc w:val="right"/>
              <w:ind w:right="3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5"/>
        </w:trPr>
        <w:tc>
          <w:tcPr>
            <w:tcW w:w="7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color w:val="auto"/>
              </w:rPr>
              <w:t>securities (*)</w:t>
            </w:r>
          </w:p>
        </w:tc>
        <w:tc>
          <w:tcPr>
            <w:tcW w:w="12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color w:val="auto"/>
              </w:rPr>
              <w:t>other</w:t>
            </w: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Provision for expected credit losses on securities with no previous allowance</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Reductions to previously recognized expected credit losses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Reductions due to sales or redemptions</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0"/>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Provision for expected credit losses on securities with no previous allowance</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Reductions to previously recognized expected credit losses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Reductions due to sales or redemptions</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2022</w:t>
            </w: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Provision for expected credit losses on securities with no previous allowance</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(reductions) to previously recognized expected credit losses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Reductions due to sales or redemptions</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5"/>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right="3080" w:firstLine="8"/>
        <w:spacing w:after="0" w:line="546" w:lineRule="auto"/>
        <w:tabs>
          <w:tab w:leader="none" w:pos="396"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Includes mortgage-backed securities, collateralized loan obligations and other asset-backed securities. In 2023, 2022 and 2021, AFG did not purchase any securities with expected credit losses.</w:t>
      </w:r>
    </w:p>
    <w:p>
      <w:pPr>
        <w:spacing w:after="0" w:line="2"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The table below sets forth the scheduled maturities of AFG’s available for sale fixed maturities as of December 31, 2023 (dollars in millions). Securities with sinking funds are reported at average maturity. Actual maturities may differ from contractual maturities because certain securities may be called or prepaid by the issuers.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color w:val="auto"/>
              </w:rPr>
              <w:t>Amortized Cost,</w:t>
            </w: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color w:val="auto"/>
              </w:rPr>
              <w:t>Fair Value</w:t>
            </w:r>
          </w:p>
        </w:tc>
        <w:tc>
          <w:tcPr>
            <w:tcW w:w="800" w:type="dxa"/>
            <w:vAlign w:val="bottom"/>
            <w:tcBorders>
              <w:bottom w:val="single" w:sz="8" w:color="auto"/>
            </w:tcBorders>
          </w:tcPr>
          <w:p>
            <w:pPr>
              <w:spacing w:after="0"/>
              <w:rPr>
                <w:sz w:val="16"/>
                <w:szCs w:val="16"/>
                <w:color w:val="auto"/>
              </w:rPr>
            </w:pPr>
          </w:p>
        </w:tc>
      </w:tr>
      <w:tr>
        <w:trPr>
          <w:trHeight w:val="200"/>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color w:val="auto"/>
              </w:rPr>
              <w:t>net (*)</w:t>
            </w:r>
          </w:p>
        </w:tc>
        <w:tc>
          <w:tcPr>
            <w:tcW w:w="200" w:type="dxa"/>
            <w:vAlign w:val="bottom"/>
          </w:tcPr>
          <w:p>
            <w:pPr>
              <w:spacing w:after="0"/>
              <w:rPr>
                <w:sz w:val="17"/>
                <w:szCs w:val="17"/>
                <w:color w:val="auto"/>
              </w:rPr>
            </w:pPr>
          </w:p>
        </w:tc>
        <w:tc>
          <w:tcPr>
            <w:tcW w:w="1480" w:type="dxa"/>
            <w:vAlign w:val="bottom"/>
            <w:gridSpan w:val="3"/>
          </w:tcPr>
          <w:p>
            <w:pPr>
              <w:ind w:left="120"/>
              <w:spacing w:after="0"/>
              <w:rPr>
                <w:sz w:val="20"/>
                <w:szCs w:val="20"/>
                <w:color w:val="auto"/>
              </w:rPr>
            </w:pPr>
            <w:r>
              <w:rPr>
                <w:rFonts w:ascii="Arial" w:cs="Arial" w:eastAsia="Arial" w:hAnsi="Arial"/>
                <w:sz w:val="14"/>
                <w:szCs w:val="14"/>
                <w:color w:val="auto"/>
              </w:rPr>
              <w:t>Amount</w:t>
            </w:r>
          </w:p>
        </w:tc>
        <w:tc>
          <w:tcPr>
            <w:tcW w:w="800" w:type="dxa"/>
            <w:vAlign w:val="bottom"/>
          </w:tcPr>
          <w:p>
            <w:pPr>
              <w:jc w:val="right"/>
              <w:ind w:right="480"/>
              <w:spacing w:after="0"/>
              <w:rPr>
                <w:sz w:val="20"/>
                <w:szCs w:val="20"/>
                <w:color w:val="auto"/>
              </w:rPr>
            </w:pPr>
            <w:r>
              <w:rPr>
                <w:rFonts w:ascii="Arial" w:cs="Arial" w:eastAsia="Arial" w:hAnsi="Arial"/>
                <w:sz w:val="14"/>
                <w:szCs w:val="14"/>
                <w:color w:val="auto"/>
              </w:rPr>
              <w:t>%</w:t>
            </w: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7500" w:type="dxa"/>
            <w:vAlign w:val="bottom"/>
            <w:tcBorders>
              <w:top w:val="single" w:sz="8" w:color="CCEEFF"/>
            </w:tcBorders>
            <w:gridSpan w:val="2"/>
            <w:shd w:val="clear" w:color="auto" w:fill="CCEEFF"/>
          </w:tcPr>
          <w:p>
            <w:pPr>
              <w:spacing w:after="0" w:line="155" w:lineRule="exact"/>
              <w:rPr>
                <w:sz w:val="20"/>
                <w:szCs w:val="20"/>
                <w:color w:val="auto"/>
              </w:rPr>
            </w:pPr>
            <w:r>
              <w:rPr>
                <w:rFonts w:ascii="Arial" w:cs="Arial" w:eastAsia="Arial" w:hAnsi="Arial"/>
                <w:sz w:val="16"/>
                <w:szCs w:val="16"/>
                <w:color w:val="auto"/>
              </w:rPr>
              <w:t>Maturity</w:t>
            </w:r>
          </w:p>
        </w:tc>
        <w:tc>
          <w:tcPr>
            <w:tcW w:w="2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69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Arial" w:cs="Arial" w:eastAsia="Arial" w:hAnsi="Arial"/>
                <w:sz w:val="16"/>
                <w:szCs w:val="16"/>
                <w:color w:val="auto"/>
              </w:rPr>
              <w:t>One year or less</w:t>
            </w:r>
          </w:p>
        </w:tc>
        <w:tc>
          <w:tcPr>
            <w:tcW w:w="2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531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521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5 %</w:t>
            </w:r>
          </w:p>
        </w:tc>
      </w:tr>
      <w:tr>
        <w:trPr>
          <w:trHeight w:val="217"/>
        </w:trPr>
        <w:tc>
          <w:tcPr>
            <w:tcW w:w="2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After one year through five years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26 %</w:t>
            </w:r>
          </w:p>
        </w:tc>
      </w:tr>
      <w:tr>
        <w:trPr>
          <w:trHeight w:val="215"/>
        </w:trPr>
        <w:tc>
          <w:tcPr>
            <w:tcW w:w="2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Arial" w:cs="Arial" w:eastAsia="Arial" w:hAnsi="Arial"/>
                <w:sz w:val="16"/>
                <w:szCs w:val="16"/>
                <w:color w:val="auto"/>
              </w:rPr>
              <w:t>After five years through ten years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1,143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11 %</w:t>
            </w:r>
          </w:p>
        </w:tc>
      </w:tr>
      <w:tr>
        <w:trPr>
          <w:trHeight w:val="216"/>
        </w:trPr>
        <w:tc>
          <w:tcPr>
            <w:tcW w:w="2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After ten years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2 %</w:t>
            </w: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4,596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44 %</w:t>
            </w:r>
          </w:p>
        </w:tc>
      </w:tr>
      <w:tr>
        <w:trPr>
          <w:trHeight w:val="217"/>
        </w:trPr>
        <w:tc>
          <w:tcPr>
            <w:tcW w:w="2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Collateralized loan obligations and other ABS (average life of approximately 3 years)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39 %</w:t>
            </w:r>
          </w:p>
        </w:tc>
      </w:tr>
      <w:tr>
        <w:trPr>
          <w:trHeight w:val="215"/>
        </w:trPr>
        <w:tc>
          <w:tcPr>
            <w:tcW w:w="20" w:type="dxa"/>
            <w:vAlign w:val="bottom"/>
            <w:tcBorders>
              <w:bottom w:val="single" w:sz="8" w:color="CCEEFF"/>
            </w:tcBorders>
          </w:tcPr>
          <w:p>
            <w:pPr>
              <w:spacing w:after="0"/>
              <w:rPr>
                <w:sz w:val="18"/>
                <w:szCs w:val="18"/>
                <w:color w:val="auto"/>
              </w:rPr>
            </w:pPr>
          </w:p>
        </w:tc>
        <w:tc>
          <w:tcPr>
            <w:tcW w:w="75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MBS (average life of approximately 6.5 years)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17 %</w:t>
            </w: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75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10,740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10,377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400" w:hanging="392"/>
        <w:spacing w:after="0"/>
        <w:tabs>
          <w:tab w:leader="none" w:pos="4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Amortized cost, net of allowance for expected credit losses.</w:t>
      </w:r>
    </w:p>
    <w:p>
      <w:pPr>
        <w:spacing w:after="0" w:line="250"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color w:val="auto"/>
        </w:rPr>
        <w:t>Certain risks are inherent in fixed maturity securities, including loss upon default, price volatility in reaction to changes in interest rates, and general market factors and risks associated with reinvestment of proceeds due to prepayments or redemptions in a period of declining interest rates.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There were no investments in individual issuers that exceeded 10% of shareholders’ equity at December 31, 2023 or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1" w:name="page112"/>
    <w:bookmarkEnd w:id="11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AMERICAN FINANCIAL GROUP,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NOTES TO CONSOLIDATED FINANCIAL STATEMENTS — CONTINUED</w:t>
      </w:r>
    </w:p>
    <w:p>
      <w:pPr>
        <w:spacing w:after="0" w:line="200" w:lineRule="exact"/>
        <w:rPr>
          <w:sz w:val="20"/>
          <w:szCs w:val="20"/>
          <w:color w:val="auto"/>
        </w:rPr>
      </w:pPr>
    </w:p>
    <w:p>
      <w:pPr>
        <w:spacing w:after="0" w:line="239" w:lineRule="exact"/>
        <w:rPr>
          <w:sz w:val="20"/>
          <w:szCs w:val="20"/>
          <w:color w:val="auto"/>
        </w:rPr>
      </w:pPr>
    </w:p>
    <w:p>
      <w:pPr>
        <w:ind w:right="660"/>
        <w:spacing w:after="0" w:line="249" w:lineRule="auto"/>
        <w:rPr>
          <w:sz w:val="20"/>
          <w:szCs w:val="20"/>
          <w:color w:val="auto"/>
        </w:rPr>
      </w:pPr>
      <w:r>
        <w:rPr>
          <w:rFonts w:ascii="Arial" w:cs="Arial" w:eastAsia="Arial" w:hAnsi="Arial"/>
          <w:sz w:val="20"/>
          <w:szCs w:val="20"/>
          <w:b w:val="1"/>
          <w:bCs w:val="1"/>
          <w:color w:val="00274E"/>
        </w:rPr>
        <w:t xml:space="preserve">Net Investment Income </w:t>
      </w:r>
      <w:r>
        <w:rPr>
          <w:rFonts w:ascii="Arial" w:cs="Arial" w:eastAsia="Arial" w:hAnsi="Arial"/>
          <w:sz w:val="17"/>
          <w:szCs w:val="17"/>
          <w:color w:val="000000"/>
        </w:rPr>
        <w:t>The following table shows (in millions) investment income earned and investment expenses incurred in AFG’s</w:t>
      </w:r>
      <w:r>
        <w:rPr>
          <w:rFonts w:ascii="Arial" w:cs="Arial" w:eastAsia="Arial" w:hAnsi="Arial"/>
          <w:sz w:val="20"/>
          <w:szCs w:val="20"/>
          <w:b w:val="1"/>
          <w:bCs w:val="1"/>
          <w:color w:val="00274E"/>
        </w:rPr>
        <w:t xml:space="preserve"> </w:t>
      </w:r>
      <w:r>
        <w:rPr>
          <w:rFonts w:ascii="Arial" w:cs="Arial" w:eastAsia="Arial" w:hAnsi="Arial"/>
          <w:sz w:val="17"/>
          <w:szCs w:val="17"/>
          <w:color w:val="000000"/>
        </w:rPr>
        <w:t>continuing operations.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7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2023</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color w:val="auto"/>
              </w:rPr>
              <w:t>2022</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2021</w:t>
            </w:r>
          </w:p>
        </w:tc>
      </w:tr>
      <w:tr>
        <w:trPr>
          <w:trHeight w:val="200"/>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income:</w:t>
            </w:r>
          </w:p>
        </w:tc>
        <w:tc>
          <w:tcPr>
            <w:tcW w:w="9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5"/>
        </w:trPr>
        <w:tc>
          <w:tcPr>
            <w:tcW w:w="6700" w:type="dxa"/>
            <w:vAlign w:val="bottom"/>
          </w:tcPr>
          <w:p>
            <w:pPr>
              <w:ind w:left="360"/>
              <w:spacing w:after="0"/>
              <w:rPr>
                <w:sz w:val="20"/>
                <w:szCs w:val="20"/>
                <w:color w:val="auto"/>
              </w:rPr>
            </w:pPr>
            <w:r>
              <w:rPr>
                <w:rFonts w:ascii="Arial" w:cs="Arial" w:eastAsia="Arial" w:hAnsi="Arial"/>
                <w:sz w:val="16"/>
                <w:szCs w:val="16"/>
                <w:color w:val="auto"/>
              </w:rPr>
              <w:t>Fixed maturities:</w:t>
            </w: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7"/>
        </w:trPr>
        <w:tc>
          <w:tcPr>
            <w:tcW w:w="67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Interest and amortization</w:t>
            </w:r>
          </w:p>
        </w:tc>
        <w:tc>
          <w:tcPr>
            <w:tcW w:w="980" w:type="dxa"/>
            <w:vAlign w:val="bottom"/>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22"/>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r>
      <w:tr>
        <w:trPr>
          <w:trHeight w:val="215"/>
        </w:trPr>
        <w:tc>
          <w:tcPr>
            <w:tcW w:w="6700" w:type="dxa"/>
            <w:vAlign w:val="bottom"/>
          </w:tcPr>
          <w:p>
            <w:pPr>
              <w:ind w:left="560"/>
              <w:spacing w:after="0"/>
              <w:rPr>
                <w:sz w:val="20"/>
                <w:szCs w:val="20"/>
                <w:color w:val="auto"/>
              </w:rPr>
            </w:pPr>
            <w:r>
              <w:rPr>
                <w:rFonts w:ascii="Arial" w:cs="Arial" w:eastAsia="Arial" w:hAnsi="Arial"/>
                <w:sz w:val="16"/>
                <w:szCs w:val="16"/>
                <w:color w:val="auto"/>
              </w:rPr>
              <w:t>Change in fair value (a)</w:t>
            </w: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Equity securities:</w:t>
            </w: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5"/>
        </w:trPr>
        <w:tc>
          <w:tcPr>
            <w:tcW w:w="6700" w:type="dxa"/>
            <w:vAlign w:val="bottom"/>
          </w:tcPr>
          <w:p>
            <w:pPr>
              <w:ind w:left="560"/>
              <w:spacing w:after="0"/>
              <w:rPr>
                <w:sz w:val="20"/>
                <w:szCs w:val="20"/>
                <w:color w:val="auto"/>
              </w:rPr>
            </w:pPr>
            <w:r>
              <w:rPr>
                <w:rFonts w:ascii="Arial" w:cs="Arial" w:eastAsia="Arial" w:hAnsi="Arial"/>
                <w:sz w:val="16"/>
                <w:szCs w:val="16"/>
                <w:color w:val="auto"/>
              </w:rPr>
              <w:t>Dividends</w:t>
            </w: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7"/>
        </w:trPr>
        <w:tc>
          <w:tcPr>
            <w:tcW w:w="67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Change in fair value (b)</w:t>
            </w: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15"/>
        </w:trPr>
        <w:tc>
          <w:tcPr>
            <w:tcW w:w="6700" w:type="dxa"/>
            <w:vAlign w:val="bottom"/>
          </w:tcPr>
          <w:p>
            <w:pPr>
              <w:ind w:left="360"/>
              <w:spacing w:after="0"/>
              <w:rPr>
                <w:sz w:val="20"/>
                <w:szCs w:val="20"/>
                <w:color w:val="auto"/>
              </w:rPr>
            </w:pPr>
            <w:r>
              <w:rPr>
                <w:rFonts w:ascii="Arial" w:cs="Arial" w:eastAsia="Arial" w:hAnsi="Arial"/>
                <w:sz w:val="16"/>
                <w:szCs w:val="16"/>
                <w:color w:val="auto"/>
              </w:rPr>
              <w:t>Equity in earnings of partnerships and similar investments</w:t>
            </w: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99</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321</w:t>
            </w:r>
          </w:p>
        </w:tc>
      </w:tr>
      <w:tr>
        <w:trPr>
          <w:trHeight w:val="217"/>
        </w:trPr>
        <w:tc>
          <w:tcPr>
            <w:tcW w:w="67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09"/>
        </w:trPr>
        <w:tc>
          <w:tcPr>
            <w:tcW w:w="6700" w:type="dxa"/>
            <w:vAlign w:val="bottom"/>
          </w:tcPr>
          <w:p>
            <w:pPr>
              <w:ind w:left="600"/>
              <w:spacing w:after="0"/>
              <w:rPr>
                <w:sz w:val="20"/>
                <w:szCs w:val="20"/>
                <w:color w:val="auto"/>
              </w:rPr>
            </w:pPr>
            <w:r>
              <w:rPr>
                <w:rFonts w:ascii="Arial" w:cs="Arial" w:eastAsia="Arial" w:hAnsi="Arial"/>
                <w:sz w:val="16"/>
                <w:szCs w:val="16"/>
                <w:color w:val="auto"/>
              </w:rPr>
              <w:t>Gross investment income</w:t>
            </w: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758</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742</w:t>
            </w: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expenses</w:t>
            </w:r>
          </w:p>
        </w:tc>
        <w:tc>
          <w:tcPr>
            <w:tcW w:w="9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0"/>
        </w:trPr>
        <w:tc>
          <w:tcPr>
            <w:tcW w:w="6700" w:type="dxa"/>
            <w:vAlign w:val="bottom"/>
          </w:tcPr>
          <w:p>
            <w:pPr>
              <w:ind w:left="600"/>
              <w:spacing w:after="0"/>
              <w:rPr>
                <w:sz w:val="20"/>
                <w:szCs w:val="20"/>
                <w:color w:val="auto"/>
              </w:rPr>
            </w:pPr>
            <w:r>
              <w:rPr>
                <w:rFonts w:ascii="Arial" w:cs="Arial" w:eastAsia="Arial" w:hAnsi="Arial"/>
                <w:sz w:val="16"/>
                <w:szCs w:val="16"/>
                <w:color w:val="auto"/>
              </w:rPr>
              <w:t>Net investment income</w:t>
            </w:r>
          </w:p>
        </w:tc>
        <w:tc>
          <w:tcPr>
            <w:tcW w:w="98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w:t>
            </w:r>
          </w:p>
        </w:tc>
        <w:tc>
          <w:tcPr>
            <w:tcW w:w="80" w:type="dxa"/>
            <w:vAlign w:val="bottom"/>
          </w:tcPr>
          <w:p>
            <w:pPr>
              <w:spacing w:after="0"/>
              <w:rPr>
                <w:sz w:val="18"/>
                <w:szCs w:val="18"/>
                <w:color w:val="auto"/>
              </w:rPr>
            </w:pPr>
          </w:p>
        </w:tc>
        <w:tc>
          <w:tcPr>
            <w:tcW w:w="1020" w:type="dxa"/>
            <w:vAlign w:val="bottom"/>
            <w:tcBorders>
              <w:bottom w:val="single" w:sz="8" w:color="auto"/>
            </w:tcBorders>
          </w:tcPr>
          <w:p>
            <w:pPr>
              <w:jc w:val="right"/>
              <w:ind w:right="822"/>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730</w:t>
            </w:r>
          </w:p>
        </w:tc>
      </w:tr>
      <w:tr>
        <w:trPr>
          <w:trHeight w:val="21"/>
        </w:trPr>
        <w:tc>
          <w:tcPr>
            <w:tcW w:w="6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420" w:right="180" w:hanging="412"/>
        <w:spacing w:after="0" w:line="298" w:lineRule="auto"/>
        <w:tabs>
          <w:tab w:leader="none" w:pos="413"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change in the fair value of fixed maturities classified as trading and derivatives embedded in convertible fixed maturities related to limited partnerships and similar investments.</w:t>
      </w:r>
    </w:p>
    <w:p>
      <w:pPr>
        <w:ind w:left="420" w:right="60" w:hanging="412"/>
        <w:spacing w:after="0" w:line="274" w:lineRule="auto"/>
        <w:tabs>
          <w:tab w:leader="none" w:pos="413" w:val="left"/>
        </w:tabs>
        <w:numPr>
          <w:ilvl w:val="0"/>
          <w:numId w:val="54"/>
        </w:numPr>
        <w:rPr>
          <w:rFonts w:ascii="Arial" w:cs="Arial" w:eastAsia="Arial" w:hAnsi="Arial"/>
          <w:sz w:val="17"/>
          <w:szCs w:val="17"/>
          <w:color w:val="auto"/>
        </w:rPr>
      </w:pPr>
      <w:r>
        <w:rPr>
          <w:rFonts w:ascii="Arial" w:cs="Arial" w:eastAsia="Arial" w:hAnsi="Arial"/>
          <w:sz w:val="17"/>
          <w:szCs w:val="17"/>
          <w:color w:val="auto"/>
        </w:rPr>
        <w:t>Although the change in the fair value of the majority of AFG’s equity securities is recorded in realized gains (losses) on securities, AFG records holding gains and losses on limited partnerships and similar investments that do not qualify for equity method accounting and related equity investments in net investment income.</w:t>
      </w:r>
    </w:p>
    <w:p>
      <w:pPr>
        <w:spacing w:after="0" w:line="195" w:lineRule="exact"/>
        <w:rPr>
          <w:sz w:val="20"/>
          <w:szCs w:val="20"/>
          <w:color w:val="auto"/>
        </w:rPr>
      </w:pPr>
    </w:p>
    <w:p>
      <w:pPr>
        <w:ind w:right="140"/>
        <w:spacing w:after="0" w:line="281" w:lineRule="auto"/>
        <w:rPr>
          <w:sz w:val="20"/>
          <w:szCs w:val="20"/>
          <w:color w:val="auto"/>
        </w:rPr>
      </w:pPr>
      <w:r>
        <w:rPr>
          <w:rFonts w:ascii="Arial" w:cs="Arial" w:eastAsia="Arial" w:hAnsi="Arial"/>
          <w:sz w:val="17"/>
          <w:szCs w:val="17"/>
          <w:color w:val="auto"/>
        </w:rPr>
        <w:t>Realized gains (losses) and changes in unrealized appreciation (depreciation) from continuing operations included in AOCI related to fixed maturity securities are summarized as follows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7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2023</w:t>
            </w: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2022</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7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color w:val="auto"/>
              </w:rPr>
              <w:t>Realized gains (losses)</w:t>
            </w: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8"/>
          </w:tcPr>
          <w:p>
            <w:pPr>
              <w:ind w:left="700"/>
              <w:spacing w:after="0"/>
              <w:rPr>
                <w:sz w:val="20"/>
                <w:szCs w:val="20"/>
                <w:color w:val="auto"/>
              </w:rPr>
            </w:pPr>
            <w:r>
              <w:rPr>
                <w:rFonts w:ascii="Arial" w:cs="Arial" w:eastAsia="Arial" w:hAnsi="Arial"/>
                <w:sz w:val="14"/>
                <w:szCs w:val="14"/>
                <w:color w:val="auto"/>
              </w:rPr>
              <w:t>Realized gains (losses)</w:t>
            </w: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220"/>
              <w:spacing w:after="0" w:line="136" w:lineRule="exact"/>
              <w:rPr>
                <w:sz w:val="20"/>
                <w:szCs w:val="20"/>
                <w:color w:val="auto"/>
              </w:rPr>
            </w:pPr>
            <w:r>
              <w:rPr>
                <w:rFonts w:ascii="Arial" w:cs="Arial" w:eastAsia="Arial" w:hAnsi="Arial"/>
                <w:sz w:val="13"/>
                <w:szCs w:val="13"/>
                <w:color w:val="auto"/>
              </w:rPr>
              <w:t>Before</w:t>
            </w:r>
          </w:p>
        </w:tc>
        <w:tc>
          <w:tcPr>
            <w:tcW w:w="160" w:type="dxa"/>
            <w:vAlign w:val="bottom"/>
          </w:tcPr>
          <w:p>
            <w:pPr>
              <w:spacing w:after="0"/>
              <w:rPr>
                <w:sz w:val="11"/>
                <w:szCs w:val="11"/>
                <w:color w:val="auto"/>
              </w:rPr>
            </w:pPr>
          </w:p>
        </w:tc>
        <w:tc>
          <w:tcPr>
            <w:tcW w:w="1000" w:type="dxa"/>
            <w:vAlign w:val="bottom"/>
            <w:gridSpan w:val="2"/>
          </w:tcPr>
          <w:p>
            <w:pPr>
              <w:jc w:val="center"/>
              <w:ind w:right="260"/>
              <w:spacing w:after="0" w:line="136" w:lineRule="exact"/>
              <w:rPr>
                <w:sz w:val="20"/>
                <w:szCs w:val="20"/>
                <w:color w:val="auto"/>
              </w:rPr>
            </w:pPr>
            <w:r>
              <w:rPr>
                <w:rFonts w:ascii="Arial" w:cs="Arial" w:eastAsia="Arial" w:hAnsi="Arial"/>
                <w:sz w:val="13"/>
                <w:szCs w:val="13"/>
                <w:color w:val="auto"/>
              </w:rPr>
              <w:t>Impairment</w:t>
            </w:r>
          </w:p>
        </w:tc>
        <w:tc>
          <w:tcPr>
            <w:tcW w:w="160" w:type="dxa"/>
            <w:vAlign w:val="bottom"/>
          </w:tcPr>
          <w:p>
            <w:pPr>
              <w:spacing w:after="0"/>
              <w:rPr>
                <w:sz w:val="11"/>
                <w:szCs w:val="11"/>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auto"/>
              </w:rPr>
              <w:t>Total</w:t>
            </w:r>
          </w:p>
        </w:tc>
        <w:tc>
          <w:tcPr>
            <w:tcW w:w="140" w:type="dxa"/>
            <w:vAlign w:val="bottom"/>
          </w:tcPr>
          <w:p>
            <w:pPr>
              <w:spacing w:after="0"/>
              <w:rPr>
                <w:sz w:val="11"/>
                <w:szCs w:val="11"/>
                <w:color w:val="auto"/>
              </w:rPr>
            </w:pPr>
          </w:p>
        </w:tc>
        <w:tc>
          <w:tcPr>
            <w:tcW w:w="840" w:type="dxa"/>
            <w:vAlign w:val="bottom"/>
          </w:tcPr>
          <w:p>
            <w:pPr>
              <w:jc w:val="right"/>
              <w:ind w:right="102"/>
              <w:spacing w:after="0" w:line="136" w:lineRule="exact"/>
              <w:rPr>
                <w:sz w:val="20"/>
                <w:szCs w:val="20"/>
                <w:color w:val="auto"/>
              </w:rPr>
            </w:pPr>
            <w:r>
              <w:rPr>
                <w:rFonts w:ascii="Arial" w:cs="Arial" w:eastAsia="Arial" w:hAnsi="Arial"/>
                <w:sz w:val="13"/>
                <w:szCs w:val="13"/>
                <w:color w:val="auto"/>
              </w:rPr>
              <w:t>Change in</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360"/>
              <w:spacing w:after="0" w:line="136" w:lineRule="exact"/>
              <w:rPr>
                <w:sz w:val="20"/>
                <w:szCs w:val="20"/>
                <w:color w:val="auto"/>
              </w:rPr>
            </w:pPr>
            <w:r>
              <w:rPr>
                <w:rFonts w:ascii="Arial" w:cs="Arial" w:eastAsia="Arial" w:hAnsi="Arial"/>
                <w:sz w:val="13"/>
                <w:szCs w:val="13"/>
                <w:color w:val="auto"/>
              </w:rPr>
              <w:t>Before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3"/>
          </w:tcPr>
          <w:p>
            <w:pPr>
              <w:ind w:left="60"/>
              <w:spacing w:after="0" w:line="136" w:lineRule="exact"/>
              <w:rPr>
                <w:sz w:val="20"/>
                <w:szCs w:val="20"/>
                <w:color w:val="auto"/>
              </w:rPr>
            </w:pPr>
            <w:r>
              <w:rPr>
                <w:rFonts w:ascii="Arial" w:cs="Arial" w:eastAsia="Arial" w:hAnsi="Arial"/>
                <w:sz w:val="13"/>
                <w:szCs w:val="13"/>
                <w:color w:val="auto"/>
              </w:rPr>
              <w:t>Impairment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4"/>
            <w:vMerge w:val="restart"/>
          </w:tcPr>
          <w:p>
            <w:pPr>
              <w:ind w:left="80"/>
              <w:spacing w:after="0"/>
              <w:rPr>
                <w:sz w:val="20"/>
                <w:szCs w:val="20"/>
                <w:color w:val="auto"/>
              </w:rPr>
            </w:pPr>
            <w:r>
              <w:rPr>
                <w:rFonts w:ascii="Arial" w:cs="Arial" w:eastAsia="Arial" w:hAnsi="Arial"/>
                <w:sz w:val="13"/>
                <w:szCs w:val="13"/>
                <w:color w:val="auto"/>
              </w:rPr>
              <w:t>Total</w:t>
            </w:r>
          </w:p>
        </w:tc>
        <w:tc>
          <w:tcPr>
            <w:tcW w:w="140" w:type="dxa"/>
            <w:vAlign w:val="bottom"/>
          </w:tcPr>
          <w:p>
            <w:pPr>
              <w:spacing w:after="0"/>
              <w:rPr>
                <w:sz w:val="11"/>
                <w:szCs w:val="11"/>
                <w:color w:val="auto"/>
              </w:rPr>
            </w:pPr>
          </w:p>
        </w:tc>
        <w:tc>
          <w:tcPr>
            <w:tcW w:w="840" w:type="dxa"/>
            <w:vAlign w:val="bottom"/>
          </w:tcPr>
          <w:p>
            <w:pPr>
              <w:ind w:left="40"/>
              <w:spacing w:after="0" w:line="136" w:lineRule="exact"/>
              <w:rPr>
                <w:sz w:val="20"/>
                <w:szCs w:val="20"/>
                <w:color w:val="auto"/>
              </w:rPr>
            </w:pPr>
            <w:r>
              <w:rPr>
                <w:rFonts w:ascii="Arial" w:cs="Arial" w:eastAsia="Arial" w:hAnsi="Arial"/>
                <w:sz w:val="13"/>
                <w:szCs w:val="13"/>
                <w:color w:val="auto"/>
              </w:rPr>
              <w:t>Change in</w:t>
            </w:r>
          </w:p>
        </w:tc>
        <w:tc>
          <w:tcPr>
            <w:tcW w:w="0" w:type="dxa"/>
            <w:vAlign w:val="bottom"/>
          </w:tcPr>
          <w:p>
            <w:pPr>
              <w:spacing w:after="0"/>
              <w:rPr>
                <w:sz w:val="1"/>
                <w:szCs w:val="1"/>
                <w:color w:val="auto"/>
              </w:rPr>
            </w:pPr>
          </w:p>
        </w:tc>
      </w:tr>
      <w:tr>
        <w:trPr>
          <w:trHeight w:val="182"/>
        </w:trPr>
        <w:tc>
          <w:tcPr>
            <w:tcW w:w="2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color w:val="auto"/>
              </w:rPr>
              <w:t>Impairments</w:t>
            </w:r>
          </w:p>
        </w:tc>
        <w:tc>
          <w:tcPr>
            <w:tcW w:w="16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color w:val="auto"/>
              </w:rPr>
              <w:t>Allowance</w:t>
            </w:r>
          </w:p>
        </w:tc>
        <w:tc>
          <w:tcPr>
            <w:tcW w:w="1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Arial" w:cs="Arial" w:eastAsia="Arial" w:hAnsi="Arial"/>
                <w:sz w:val="13"/>
                <w:szCs w:val="13"/>
                <w:color w:val="auto"/>
              </w:rPr>
              <w:t>Unrealized</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Impairments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3"/>
                <w:szCs w:val="13"/>
                <w:color w:val="auto"/>
              </w:rPr>
              <w:t>Allowance</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auto"/>
              </w:rPr>
              <w:t>Unrealized</w:t>
            </w:r>
          </w:p>
        </w:tc>
        <w:tc>
          <w:tcPr>
            <w:tcW w:w="0" w:type="dxa"/>
            <w:vAlign w:val="bottom"/>
          </w:tcPr>
          <w:p>
            <w:pPr>
              <w:spacing w:after="0"/>
              <w:rPr>
                <w:sz w:val="1"/>
                <w:szCs w:val="1"/>
                <w:color w:val="auto"/>
              </w:rPr>
            </w:pPr>
          </w:p>
        </w:tc>
      </w:tr>
      <w:tr>
        <w:trPr>
          <w:trHeight w:val="216"/>
        </w:trPr>
        <w:tc>
          <w:tcPr>
            <w:tcW w:w="2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Fixed maturities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267</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0" w:type="dxa"/>
            <w:vAlign w:val="bottom"/>
          </w:tcPr>
          <w:p>
            <w:pPr>
              <w:spacing w:after="0"/>
              <w:rPr>
                <w:sz w:val="1"/>
                <w:szCs w:val="1"/>
                <w:color w:val="auto"/>
              </w:rPr>
            </w:pPr>
          </w:p>
        </w:tc>
      </w:tr>
      <w:tr>
        <w:trPr>
          <w:trHeight w:val="215"/>
        </w:trPr>
        <w:tc>
          <w:tcPr>
            <w:tcW w:w="2720" w:type="dxa"/>
            <w:vAlign w:val="bottom"/>
          </w:tcPr>
          <w:p>
            <w:pPr>
              <w:ind w:left="20"/>
              <w:spacing w:after="0"/>
              <w:rPr>
                <w:sz w:val="20"/>
                <w:szCs w:val="20"/>
                <w:color w:val="auto"/>
              </w:rPr>
            </w:pPr>
            <w:r>
              <w:rPr>
                <w:rFonts w:ascii="Arial" w:cs="Arial" w:eastAsia="Arial" w:hAnsi="Arial"/>
                <w:sz w:val="16"/>
                <w:szCs w:val="16"/>
                <w:color w:val="auto"/>
              </w:rPr>
              <w:t>Equity securities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(96)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272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Mortgage loans and other</w:t>
            </w: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ind w:left="740"/>
              <w:spacing w:after="0"/>
              <w:rPr>
                <w:sz w:val="20"/>
                <w:szCs w:val="20"/>
                <w:color w:val="auto"/>
              </w:rPr>
            </w:pPr>
            <w:r>
              <w:rPr>
                <w:rFonts w:ascii="Arial" w:cs="Arial" w:eastAsia="Arial" w:hAnsi="Arial"/>
                <w:sz w:val="16"/>
                <w:szCs w:val="16"/>
                <w:color w:val="auto"/>
              </w:rPr>
              <w:t>10</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center"/>
              <w:ind w:left="201"/>
              <w:spacing w:after="0"/>
              <w:rPr>
                <w:sz w:val="20"/>
                <w:szCs w:val="20"/>
                <w:color w:val="auto"/>
              </w:rPr>
            </w:pPr>
            <w:r>
              <w:rPr>
                <w:rFonts w:ascii="Arial" w:cs="Arial" w:eastAsia="Arial" w:hAnsi="Arial"/>
                <w:sz w:val="16"/>
                <w:szCs w:val="16"/>
                <w:color w:val="auto"/>
              </w:rPr>
              <w:t>10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jc w:val="center"/>
              <w:ind w:right="1399"/>
              <w:spacing w:after="0"/>
              <w:rPr>
                <w:sz w:val="20"/>
                <w:szCs w:val="20"/>
                <w:color w:val="auto"/>
              </w:rPr>
            </w:pPr>
            <w:r>
              <w:rPr>
                <w:rFonts w:ascii="Arial" w:cs="Arial" w:eastAsia="Arial" w:hAnsi="Arial"/>
                <w:sz w:val="16"/>
                <w:szCs w:val="16"/>
                <w:color w:val="auto"/>
              </w:rPr>
              <w:t>investments</w:t>
            </w: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20" w:type="dxa"/>
            <w:vAlign w:val="bottom"/>
          </w:tcPr>
          <w:p>
            <w:pPr>
              <w:jc w:val="center"/>
              <w:ind w:right="1439"/>
              <w:spacing w:after="0"/>
              <w:rPr>
                <w:sz w:val="20"/>
                <w:szCs w:val="20"/>
                <w:color w:val="auto"/>
              </w:rPr>
            </w:pPr>
            <w:r>
              <w:rPr>
                <w:rFonts w:ascii="Arial" w:cs="Arial" w:eastAsia="Arial" w:hAnsi="Arial"/>
                <w:sz w:val="16"/>
                <w:szCs w:val="16"/>
                <w:color w:val="auto"/>
                <w:w w:val="99"/>
              </w:rPr>
              <w:t>Total pretax</w:t>
            </w: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267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(113)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(803)</w:t>
            </w:r>
          </w:p>
        </w:tc>
        <w:tc>
          <w:tcPr>
            <w:tcW w:w="0" w:type="dxa"/>
            <w:vAlign w:val="bottom"/>
          </w:tcPr>
          <w:p>
            <w:pPr>
              <w:spacing w:after="0"/>
              <w:rPr>
                <w:sz w:val="1"/>
                <w:szCs w:val="1"/>
                <w:color w:val="auto"/>
              </w:rPr>
            </w:pPr>
          </w:p>
        </w:tc>
      </w:tr>
      <w:tr>
        <w:trPr>
          <w:trHeight w:val="217"/>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effects</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6"/>
                <w:szCs w:val="16"/>
                <w:color w:val="auto"/>
              </w:rPr>
              <w:t>23</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center"/>
              <w:ind w:left="201"/>
              <w:spacing w:after="0"/>
              <w:rPr>
                <w:sz w:val="20"/>
                <w:szCs w:val="20"/>
                <w:color w:val="auto"/>
              </w:rPr>
            </w:pPr>
            <w:r>
              <w:rPr>
                <w:rFonts w:ascii="Arial" w:cs="Arial" w:eastAsia="Arial" w:hAnsi="Arial"/>
                <w:sz w:val="16"/>
                <w:szCs w:val="16"/>
                <w:color w:val="auto"/>
              </w:rPr>
              <w:t>24</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10"/>
        </w:trPr>
        <w:tc>
          <w:tcPr>
            <w:tcW w:w="2720" w:type="dxa"/>
            <w:vAlign w:val="bottom"/>
          </w:tcPr>
          <w:p>
            <w:pPr>
              <w:jc w:val="center"/>
              <w:ind w:right="1419"/>
              <w:spacing w:after="0"/>
              <w:rPr>
                <w:sz w:val="20"/>
                <w:szCs w:val="20"/>
                <w:color w:val="auto"/>
              </w:rPr>
            </w:pPr>
            <w:r>
              <w:rPr>
                <w:rFonts w:ascii="Arial" w:cs="Arial" w:eastAsia="Arial" w:hAnsi="Arial"/>
                <w:sz w:val="16"/>
                <w:szCs w:val="16"/>
                <w:color w:val="auto"/>
              </w:rPr>
              <w:t>Net of tax</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210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(90)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3"/>
        </w:trPr>
        <w:tc>
          <w:tcPr>
            <w:tcW w:w="2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8"/>
          </w:tcPr>
          <w:p>
            <w:pPr>
              <w:ind w:left="680"/>
              <w:spacing w:after="0"/>
              <w:rPr>
                <w:sz w:val="20"/>
                <w:szCs w:val="20"/>
                <w:color w:val="auto"/>
              </w:rPr>
            </w:pPr>
            <w:r>
              <w:rPr>
                <w:rFonts w:ascii="Arial" w:cs="Arial" w:eastAsia="Arial" w:hAnsi="Arial"/>
                <w:sz w:val="14"/>
                <w:szCs w:val="14"/>
                <w:color w:val="auto"/>
              </w:rPr>
              <w:t>Realized gains (losses)</w:t>
            </w: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400"/>
              <w:spacing w:after="0" w:line="136" w:lineRule="exact"/>
              <w:rPr>
                <w:sz w:val="20"/>
                <w:szCs w:val="20"/>
                <w:color w:val="auto"/>
              </w:rPr>
            </w:pPr>
            <w:r>
              <w:rPr>
                <w:rFonts w:ascii="Arial" w:cs="Arial" w:eastAsia="Arial" w:hAnsi="Arial"/>
                <w:sz w:val="13"/>
                <w:szCs w:val="13"/>
                <w:color w:val="auto"/>
              </w:rPr>
              <w:t>Before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3"/>
          </w:tcPr>
          <w:p>
            <w:pPr>
              <w:jc w:val="right"/>
              <w:ind w:right="280"/>
              <w:spacing w:after="0" w:line="136" w:lineRule="exact"/>
              <w:rPr>
                <w:sz w:val="20"/>
                <w:szCs w:val="20"/>
                <w:color w:val="auto"/>
              </w:rPr>
            </w:pPr>
            <w:r>
              <w:rPr>
                <w:rFonts w:ascii="Arial" w:cs="Arial" w:eastAsia="Arial" w:hAnsi="Arial"/>
                <w:sz w:val="13"/>
                <w:szCs w:val="13"/>
                <w:color w:val="auto"/>
              </w:rPr>
              <w:t>Impairment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4"/>
            <w:vMerge w:val="restart"/>
          </w:tcPr>
          <w:p>
            <w:pPr>
              <w:ind w:left="60"/>
              <w:spacing w:after="0"/>
              <w:rPr>
                <w:sz w:val="20"/>
                <w:szCs w:val="20"/>
                <w:color w:val="auto"/>
              </w:rPr>
            </w:pPr>
            <w:r>
              <w:rPr>
                <w:rFonts w:ascii="Arial" w:cs="Arial" w:eastAsia="Arial" w:hAnsi="Arial"/>
                <w:sz w:val="13"/>
                <w:szCs w:val="13"/>
                <w:color w:val="auto"/>
              </w:rPr>
              <w:t>Total</w:t>
            </w:r>
          </w:p>
        </w:tc>
        <w:tc>
          <w:tcPr>
            <w:tcW w:w="140" w:type="dxa"/>
            <w:vAlign w:val="bottom"/>
          </w:tcPr>
          <w:p>
            <w:pPr>
              <w:spacing w:after="0"/>
              <w:rPr>
                <w:sz w:val="11"/>
                <w:szCs w:val="11"/>
                <w:color w:val="auto"/>
              </w:rPr>
            </w:pPr>
          </w:p>
        </w:tc>
        <w:tc>
          <w:tcPr>
            <w:tcW w:w="840" w:type="dxa"/>
            <w:vAlign w:val="bottom"/>
          </w:tcPr>
          <w:p>
            <w:pPr>
              <w:ind w:left="40"/>
              <w:spacing w:after="0" w:line="136" w:lineRule="exact"/>
              <w:rPr>
                <w:sz w:val="20"/>
                <w:szCs w:val="20"/>
                <w:color w:val="auto"/>
              </w:rPr>
            </w:pPr>
            <w:r>
              <w:rPr>
                <w:rFonts w:ascii="Arial" w:cs="Arial" w:eastAsia="Arial" w:hAnsi="Arial"/>
                <w:sz w:val="13"/>
                <w:szCs w:val="13"/>
                <w:color w:val="auto"/>
              </w:rPr>
              <w:t>Change in</w:t>
            </w:r>
          </w:p>
        </w:tc>
        <w:tc>
          <w:tcPr>
            <w:tcW w:w="0" w:type="dxa"/>
            <w:vAlign w:val="bottom"/>
          </w:tcPr>
          <w:p>
            <w:pPr>
              <w:spacing w:after="0"/>
              <w:rPr>
                <w:sz w:val="1"/>
                <w:szCs w:val="1"/>
                <w:color w:val="auto"/>
              </w:rPr>
            </w:pPr>
          </w:p>
        </w:tc>
      </w:tr>
      <w:tr>
        <w:trPr>
          <w:trHeight w:val="182"/>
        </w:trPr>
        <w:tc>
          <w:tcPr>
            <w:tcW w:w="2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Impairments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3"/>
          </w:tcPr>
          <w:p>
            <w:pPr>
              <w:ind w:left="60"/>
              <w:spacing w:after="0"/>
              <w:rPr>
                <w:sz w:val="20"/>
                <w:szCs w:val="20"/>
                <w:color w:val="auto"/>
              </w:rPr>
            </w:pPr>
            <w:r>
              <w:rPr>
                <w:rFonts w:ascii="Arial" w:cs="Arial" w:eastAsia="Arial" w:hAnsi="Arial"/>
                <w:sz w:val="13"/>
                <w:szCs w:val="13"/>
                <w:color w:val="auto"/>
              </w:rPr>
              <w:t>Allowance</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auto"/>
              </w:rPr>
              <w:t>Unrealized</w:t>
            </w:r>
          </w:p>
        </w:tc>
        <w:tc>
          <w:tcPr>
            <w:tcW w:w="0" w:type="dxa"/>
            <w:vAlign w:val="bottom"/>
          </w:tcPr>
          <w:p>
            <w:pPr>
              <w:spacing w:after="0"/>
              <w:rPr>
                <w:sz w:val="1"/>
                <w:szCs w:val="1"/>
                <w:color w:val="auto"/>
              </w:rPr>
            </w:pPr>
          </w:p>
        </w:tc>
      </w:tr>
      <w:tr>
        <w:trPr>
          <w:trHeight w:val="215"/>
        </w:trPr>
        <w:tc>
          <w:tcPr>
            <w:tcW w:w="2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Fixed maturities</w:t>
            </w: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6"/>
                <w:szCs w:val="16"/>
                <w:color w:val="auto"/>
              </w:rPr>
              <w:t>(1)</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15"/>
        </w:trPr>
        <w:tc>
          <w:tcPr>
            <w:tcW w:w="2720" w:type="dxa"/>
            <w:vAlign w:val="bottom"/>
          </w:tcPr>
          <w:p>
            <w:pPr>
              <w:ind w:left="20"/>
              <w:spacing w:after="0"/>
              <w:rPr>
                <w:sz w:val="20"/>
                <w:szCs w:val="20"/>
                <w:color w:val="auto"/>
              </w:rPr>
            </w:pPr>
            <w:r>
              <w:rPr>
                <w:rFonts w:ascii="Arial" w:cs="Arial" w:eastAsia="Arial" w:hAnsi="Arial"/>
                <w:sz w:val="16"/>
                <w:szCs w:val="16"/>
                <w:color w:val="auto"/>
              </w:rPr>
              <w:t>Equity securities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272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Mortgage loans and other</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jc w:val="center"/>
              <w:ind w:right="1399"/>
              <w:spacing w:after="0"/>
              <w:rPr>
                <w:sz w:val="20"/>
                <w:szCs w:val="20"/>
                <w:color w:val="auto"/>
              </w:rPr>
            </w:pPr>
            <w:r>
              <w:rPr>
                <w:rFonts w:ascii="Arial" w:cs="Arial" w:eastAsia="Arial" w:hAnsi="Arial"/>
                <w:sz w:val="16"/>
                <w:szCs w:val="16"/>
                <w:color w:val="auto"/>
              </w:rPr>
              <w:t>investments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4"/>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20" w:type="dxa"/>
            <w:vAlign w:val="bottom"/>
          </w:tcPr>
          <w:p>
            <w:pPr>
              <w:jc w:val="center"/>
              <w:ind w:right="1439"/>
              <w:spacing w:after="0"/>
              <w:rPr>
                <w:sz w:val="20"/>
                <w:szCs w:val="20"/>
                <w:color w:val="auto"/>
              </w:rPr>
            </w:pPr>
            <w:r>
              <w:rPr>
                <w:rFonts w:ascii="Arial" w:cs="Arial" w:eastAsia="Arial" w:hAnsi="Arial"/>
                <w:sz w:val="16"/>
                <w:szCs w:val="16"/>
                <w:color w:val="auto"/>
                <w:w w:val="99"/>
              </w:rPr>
              <w:t>Total pretax</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17"/>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effects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181"/>
              <w:spacing w:after="0"/>
              <w:rPr>
                <w:sz w:val="20"/>
                <w:szCs w:val="20"/>
                <w:color w:val="auto"/>
              </w:rPr>
            </w:pPr>
            <w:r>
              <w:rPr>
                <w:rFonts w:ascii="Arial" w:cs="Arial" w:eastAsia="Arial" w:hAnsi="Arial"/>
                <w:sz w:val="16"/>
                <w:szCs w:val="16"/>
                <w:color w:val="auto"/>
                <w:w w:val="98"/>
              </w:rPr>
              <w:t>(23)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0"/>
        </w:trPr>
        <w:tc>
          <w:tcPr>
            <w:tcW w:w="2720" w:type="dxa"/>
            <w:vAlign w:val="bottom"/>
          </w:tcPr>
          <w:p>
            <w:pPr>
              <w:jc w:val="center"/>
              <w:ind w:right="1419"/>
              <w:spacing w:after="0"/>
              <w:rPr>
                <w:sz w:val="20"/>
                <w:szCs w:val="20"/>
                <w:color w:val="auto"/>
              </w:rPr>
            </w:pPr>
            <w:r>
              <w:rPr>
                <w:rFonts w:ascii="Arial" w:cs="Arial" w:eastAsia="Arial" w:hAnsi="Arial"/>
                <w:sz w:val="16"/>
                <w:szCs w:val="16"/>
                <w:color w:val="auto"/>
              </w:rPr>
              <w:t>Net of tax</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2" w:name="page113"/>
    <w:bookmarkEnd w:id="11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AMERICAN FINANCIAL GROUP,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NOTES TO CONSOLIDATED FINANCIAL STATEMENTS — CONTINUED</w:t>
      </w:r>
    </w:p>
    <w:p>
      <w:pPr>
        <w:spacing w:after="0" w:line="200" w:lineRule="exact"/>
        <w:rPr>
          <w:sz w:val="20"/>
          <w:szCs w:val="20"/>
          <w:color w:val="auto"/>
        </w:rPr>
      </w:pPr>
    </w:p>
    <w:p>
      <w:pPr>
        <w:spacing w:after="0" w:line="240"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All equity securities other than those accounted for under the equity method are carried at fair value through net earnings. AFG recorded net holding gains (losses) on equity securities from continuing operations during 2023, 2022 and 2021 on securities that were still owned at December 31 of each year presented as follows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5"/>
                <w:szCs w:val="15"/>
                <w:color w:val="auto"/>
              </w:rPr>
              <w:t>2023</w:t>
            </w:r>
          </w:p>
        </w:tc>
        <w:tc>
          <w:tcPr>
            <w:tcW w:w="4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5"/>
                <w:szCs w:val="15"/>
                <w:color w:val="auto"/>
              </w:rPr>
              <w:t>2022</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color w:val="auto"/>
              </w:rPr>
              <w:t>2021</w:t>
            </w:r>
          </w:p>
        </w:tc>
      </w:tr>
      <w:tr>
        <w:trPr>
          <w:trHeight w:val="213"/>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Included in realized gains (losses)</w:t>
            </w:r>
          </w:p>
        </w:tc>
        <w:tc>
          <w:tcPr>
            <w:tcW w:w="1040" w:type="dxa"/>
            <w:vAlign w:val="bottom"/>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41"/>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65</w:t>
            </w:r>
          </w:p>
        </w:tc>
      </w:tr>
      <w:tr>
        <w:trPr>
          <w:trHeight w:val="215"/>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Included in net investment income</w:t>
            </w:r>
          </w:p>
        </w:tc>
        <w:tc>
          <w:tcPr>
            <w:tcW w:w="10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54</w:t>
            </w:r>
          </w:p>
        </w:tc>
      </w:tr>
      <w:tr>
        <w:trPr>
          <w:trHeight w:val="234"/>
        </w:trPr>
        <w:tc>
          <w:tcPr>
            <w:tcW w:w="67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41"/>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119</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140"/>
        <w:spacing w:after="0" w:line="281" w:lineRule="auto"/>
        <w:rPr>
          <w:sz w:val="20"/>
          <w:szCs w:val="20"/>
          <w:color w:val="auto"/>
        </w:rPr>
      </w:pPr>
      <w:r>
        <w:rPr>
          <w:rFonts w:ascii="Arial" w:cs="Arial" w:eastAsia="Arial" w:hAnsi="Arial"/>
          <w:sz w:val="17"/>
          <w:szCs w:val="17"/>
          <w:color w:val="auto"/>
        </w:rPr>
        <w:t>Gross realized gains and losses (excluding changes in impairment allowance and mark-to-market of derivatives) on available for sale fixed maturity investment transactions from continuing operations consisted of the following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6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color w:val="auto"/>
              </w:rPr>
              <w:t>2023</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color w:val="auto"/>
              </w:rPr>
              <w:t>2021</w:t>
            </w:r>
          </w:p>
        </w:tc>
      </w:tr>
      <w:tr>
        <w:trPr>
          <w:trHeight w:val="213"/>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gains</w:t>
            </w:r>
          </w:p>
        </w:tc>
        <w:tc>
          <w:tcPr>
            <w:tcW w:w="1020" w:type="dxa"/>
            <w:vAlign w:val="bottom"/>
            <w:shd w:val="clear" w:color="auto" w:fill="CCEEFF"/>
          </w:tcPr>
          <w:p>
            <w:pPr>
              <w:jc w:val="right"/>
              <w:ind w:right="844"/>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w:t>
            </w:r>
          </w:p>
        </w:tc>
      </w:tr>
      <w:tr>
        <w:trPr>
          <w:trHeight w:val="215"/>
        </w:trPr>
        <w:tc>
          <w:tcPr>
            <w:tcW w:w="6680" w:type="dxa"/>
            <w:vAlign w:val="bottom"/>
          </w:tcPr>
          <w:p>
            <w:pPr>
              <w:ind w:left="20"/>
              <w:spacing w:after="0"/>
              <w:rPr>
                <w:sz w:val="20"/>
                <w:szCs w:val="20"/>
                <w:color w:val="auto"/>
              </w:rPr>
            </w:pPr>
            <w:r>
              <w:rPr>
                <w:rFonts w:ascii="Arial" w:cs="Arial" w:eastAsia="Arial" w:hAnsi="Arial"/>
                <w:sz w:val="16"/>
                <w:szCs w:val="16"/>
                <w:color w:val="auto"/>
              </w:rPr>
              <w:t>Gross losses</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r>
    </w:tbl>
    <w:p>
      <w:pPr>
        <w:spacing w:after="0" w:line="305" w:lineRule="exact"/>
        <w:rPr>
          <w:sz w:val="20"/>
          <w:szCs w:val="20"/>
          <w:color w:val="auto"/>
        </w:rPr>
      </w:pPr>
    </w:p>
    <w:p>
      <w:pPr>
        <w:ind w:left="640" w:hanging="632"/>
        <w:spacing w:after="0"/>
        <w:tabs>
          <w:tab w:leader="none" w:pos="640" w:val="left"/>
        </w:tabs>
        <w:numPr>
          <w:ilvl w:val="0"/>
          <w:numId w:val="55"/>
        </w:numPr>
        <w:rPr>
          <w:rFonts w:ascii="Arial" w:cs="Arial" w:eastAsia="Arial" w:hAnsi="Arial"/>
          <w:sz w:val="29"/>
          <w:szCs w:val="29"/>
          <w:b w:val="1"/>
          <w:bCs w:val="1"/>
          <w:color w:val="00274E"/>
        </w:rPr>
      </w:pPr>
      <w:r>
        <w:rPr>
          <w:rFonts w:ascii="Arial" w:cs="Arial" w:eastAsia="Arial" w:hAnsi="Arial"/>
          <w:sz w:val="29"/>
          <w:szCs w:val="29"/>
          <w:b w:val="1"/>
          <w:bCs w:val="1"/>
          <w:color w:val="00274E"/>
        </w:rPr>
        <w:t>Derivatives</w:t>
      </w:r>
    </w:p>
    <w:p>
      <w:pPr>
        <w:spacing w:after="0" w:line="272"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As discussed under “</w:t>
      </w:r>
      <w:r>
        <w:rPr>
          <w:rFonts w:ascii="Arial" w:cs="Arial" w:eastAsia="Arial" w:hAnsi="Arial"/>
          <w:sz w:val="17"/>
          <w:szCs w:val="17"/>
          <w:i w:val="1"/>
          <w:iCs w:val="1"/>
          <w:color w:val="auto"/>
        </w:rPr>
        <w:t>Derivatives</w:t>
      </w:r>
      <w:r>
        <w:rPr>
          <w:rFonts w:ascii="Arial" w:cs="Arial" w:eastAsia="Arial" w:hAnsi="Arial"/>
          <w:sz w:val="17"/>
          <w:szCs w:val="17"/>
          <w:color w:val="auto"/>
        </w:rPr>
        <w:t xml:space="preserve">” in </w:t>
      </w:r>
      <w:r>
        <w:rPr>
          <w:rFonts w:ascii="Arial" w:cs="Arial" w:eastAsia="Arial" w:hAnsi="Arial"/>
          <w:sz w:val="17"/>
          <w:szCs w:val="17"/>
          <w:i w:val="1"/>
          <w:iCs w:val="1"/>
          <w:color w:val="auto"/>
        </w:rPr>
        <w:t>Note A — “Accounting Policies</w:t>
      </w:r>
      <w:r>
        <w:rPr>
          <w:rFonts w:ascii="Arial" w:cs="Arial" w:eastAsia="Arial" w:hAnsi="Arial"/>
          <w:sz w:val="17"/>
          <w:szCs w:val="17"/>
          <w:color w:val="auto"/>
        </w:rPr>
        <w:t>,” AFG uses derivatives to mitigate certain market risks related to its investment portfolio and deferred compensation obligations to employees.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classification of derivative assets and liabilities included in AFG’s Balance Sheet at fair value (in millions):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221"/>
              <w:spacing w:after="0"/>
              <w:rPr>
                <w:sz w:val="20"/>
                <w:szCs w:val="20"/>
                <w:color w:val="auto"/>
              </w:rPr>
            </w:pPr>
            <w:r>
              <w:rPr>
                <w:rFonts w:ascii="Arial" w:cs="Arial" w:eastAsia="Arial" w:hAnsi="Arial"/>
                <w:sz w:val="14"/>
                <w:szCs w:val="14"/>
                <w:color w:val="auto"/>
              </w:rPr>
              <w:t>December 31, 2023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221"/>
              <w:spacing w:after="0"/>
              <w:rPr>
                <w:sz w:val="20"/>
                <w:szCs w:val="20"/>
                <w:color w:val="auto"/>
              </w:rPr>
            </w:pPr>
            <w:r>
              <w:rPr>
                <w:rFonts w:ascii="Arial" w:cs="Arial" w:eastAsia="Arial" w:hAnsi="Arial"/>
                <w:sz w:val="14"/>
                <w:szCs w:val="14"/>
                <w:color w:val="auto"/>
              </w:rPr>
              <w:t>December 31, 2022</w:t>
            </w:r>
          </w:p>
        </w:tc>
      </w:tr>
      <w:tr>
        <w:trPr>
          <w:trHeight w:val="196"/>
        </w:trPr>
        <w:tc>
          <w:tcPr>
            <w:tcW w:w="5260" w:type="dxa"/>
            <w:vAlign w:val="bottom"/>
          </w:tcPr>
          <w:p>
            <w:pPr>
              <w:spacing w:after="0"/>
              <w:rPr>
                <w:sz w:val="17"/>
                <w:szCs w:val="17"/>
                <w:color w:val="auto"/>
              </w:rPr>
            </w:pPr>
          </w:p>
        </w:tc>
        <w:tc>
          <w:tcPr>
            <w:tcW w:w="2340" w:type="dxa"/>
            <w:vAlign w:val="bottom"/>
            <w:gridSpan w:val="3"/>
          </w:tcPr>
          <w:p>
            <w:pPr>
              <w:ind w:left="20"/>
              <w:spacing w:after="0"/>
              <w:rPr>
                <w:sz w:val="20"/>
                <w:szCs w:val="20"/>
                <w:color w:val="auto"/>
              </w:rPr>
            </w:pPr>
            <w:r>
              <w:rPr>
                <w:rFonts w:ascii="Arial" w:cs="Arial" w:eastAsia="Arial" w:hAnsi="Arial"/>
                <w:sz w:val="14"/>
                <w:szCs w:val="14"/>
                <w:color w:val="auto"/>
              </w:rPr>
              <w:t>Balance Sheet Line</w:t>
            </w:r>
          </w:p>
        </w:tc>
        <w:tc>
          <w:tcPr>
            <w:tcW w:w="800" w:type="dxa"/>
            <w:vAlign w:val="bottom"/>
            <w:gridSpan w:val="2"/>
          </w:tcPr>
          <w:p>
            <w:pPr>
              <w:ind w:left="80"/>
              <w:spacing w:after="0"/>
              <w:rPr>
                <w:sz w:val="20"/>
                <w:szCs w:val="20"/>
                <w:color w:val="auto"/>
              </w:rPr>
            </w:pPr>
            <w:r>
              <w:rPr>
                <w:rFonts w:ascii="Arial" w:cs="Arial" w:eastAsia="Arial" w:hAnsi="Arial"/>
                <w:sz w:val="14"/>
                <w:szCs w:val="14"/>
                <w:color w:val="auto"/>
              </w:rPr>
              <w:t>Asset</w:t>
            </w:r>
          </w:p>
        </w:tc>
        <w:tc>
          <w:tcPr>
            <w:tcW w:w="14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color w:val="auto"/>
              </w:rPr>
              <w:t>Liability</w:t>
            </w:r>
          </w:p>
        </w:tc>
        <w:tc>
          <w:tcPr>
            <w:tcW w:w="180" w:type="dxa"/>
            <w:vAlign w:val="bottom"/>
          </w:tcPr>
          <w:p>
            <w:pPr>
              <w:spacing w:after="0"/>
              <w:rPr>
                <w:sz w:val="17"/>
                <w:szCs w:val="17"/>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color w:val="auto"/>
              </w:rPr>
              <w:t>Asset</w:t>
            </w:r>
          </w:p>
        </w:tc>
        <w:tc>
          <w:tcPr>
            <w:tcW w:w="160" w:type="dxa"/>
            <w:vAlign w:val="bottom"/>
          </w:tcPr>
          <w:p>
            <w:pPr>
              <w:spacing w:after="0"/>
              <w:rPr>
                <w:sz w:val="17"/>
                <w:szCs w:val="17"/>
                <w:color w:val="auto"/>
              </w:rPr>
            </w:pPr>
          </w:p>
        </w:tc>
        <w:tc>
          <w:tcPr>
            <w:tcW w:w="740" w:type="dxa"/>
            <w:vAlign w:val="bottom"/>
          </w:tcPr>
          <w:p>
            <w:pPr>
              <w:jc w:val="right"/>
              <w:ind w:right="121"/>
              <w:spacing w:after="0"/>
              <w:rPr>
                <w:sz w:val="20"/>
                <w:szCs w:val="20"/>
                <w:color w:val="auto"/>
              </w:rPr>
            </w:pPr>
            <w:r>
              <w:rPr>
                <w:rFonts w:ascii="Arial" w:cs="Arial" w:eastAsia="Arial" w:hAnsi="Arial"/>
                <w:sz w:val="14"/>
                <w:szCs w:val="14"/>
                <w:color w:val="auto"/>
              </w:rPr>
              <w:t>Liability</w:t>
            </w:r>
          </w:p>
        </w:tc>
      </w:tr>
      <w:tr>
        <w:trPr>
          <w:trHeight w:val="200"/>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Derivatives designated and qualifying as cash flow hedges:</w:t>
            </w:r>
          </w:p>
        </w:tc>
        <w:tc>
          <w:tcPr>
            <w:tcW w:w="2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r>
      <w:tr>
        <w:trPr>
          <w:trHeight w:val="215"/>
        </w:trPr>
        <w:tc>
          <w:tcPr>
            <w:tcW w:w="5260" w:type="dxa"/>
            <w:vAlign w:val="bottom"/>
          </w:tcPr>
          <w:p>
            <w:pPr>
              <w:ind w:left="240"/>
              <w:spacing w:after="0"/>
              <w:rPr>
                <w:sz w:val="20"/>
                <w:szCs w:val="20"/>
                <w:color w:val="auto"/>
              </w:rPr>
            </w:pPr>
            <w:r>
              <w:rPr>
                <w:rFonts w:ascii="Arial" w:cs="Arial" w:eastAsia="Arial" w:hAnsi="Arial"/>
                <w:sz w:val="16"/>
                <w:szCs w:val="16"/>
                <w:color w:val="auto"/>
              </w:rPr>
              <w:t>Interest rate swaps</w:t>
            </w:r>
          </w:p>
        </w:tc>
        <w:tc>
          <w:tcPr>
            <w:tcW w:w="2340" w:type="dxa"/>
            <w:vAlign w:val="bottom"/>
            <w:gridSpan w:val="3"/>
          </w:tcPr>
          <w:p>
            <w:pPr>
              <w:ind w:left="20"/>
              <w:spacing w:after="0"/>
              <w:rPr>
                <w:sz w:val="20"/>
                <w:szCs w:val="20"/>
                <w:color w:val="auto"/>
              </w:rPr>
            </w:pPr>
            <w:r>
              <w:rPr>
                <w:rFonts w:ascii="Arial" w:cs="Arial" w:eastAsia="Arial" w:hAnsi="Arial"/>
                <w:sz w:val="16"/>
                <w:szCs w:val="16"/>
                <w:color w:val="auto"/>
              </w:rPr>
              <w:t>Other assets/Other liabilities  $</w:t>
            </w: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37</w:t>
            </w:r>
          </w:p>
        </w:tc>
      </w:tr>
      <w:tr>
        <w:trPr>
          <w:trHeight w:val="203"/>
        </w:trPr>
        <w:tc>
          <w:tcPr>
            <w:tcW w:w="526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5"/>
        </w:trPr>
        <w:tc>
          <w:tcPr>
            <w:tcW w:w="5260" w:type="dxa"/>
            <w:vAlign w:val="bottom"/>
          </w:tcPr>
          <w:p>
            <w:pPr>
              <w:ind w:left="20"/>
              <w:spacing w:after="0"/>
              <w:rPr>
                <w:sz w:val="20"/>
                <w:szCs w:val="20"/>
                <w:color w:val="auto"/>
              </w:rPr>
            </w:pPr>
            <w:r>
              <w:rPr>
                <w:rFonts w:ascii="Arial" w:cs="Arial" w:eastAsia="Arial" w:hAnsi="Arial"/>
                <w:sz w:val="16"/>
                <w:szCs w:val="16"/>
                <w:color w:val="auto"/>
              </w:rPr>
              <w:t>Derivatives not designated as hedging instruments: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7"/>
        </w:trPr>
        <w:tc>
          <w:tcPr>
            <w:tcW w:w="5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Fixed maturities with embedded derivatives</w:t>
            </w:r>
          </w:p>
        </w:tc>
        <w:tc>
          <w:tcPr>
            <w:tcW w:w="2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Fixed maturities</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15"/>
        </w:trPr>
        <w:tc>
          <w:tcPr>
            <w:tcW w:w="5260" w:type="dxa"/>
            <w:vAlign w:val="bottom"/>
          </w:tcPr>
          <w:p>
            <w:pPr>
              <w:ind w:left="240"/>
              <w:spacing w:after="0"/>
              <w:rPr>
                <w:sz w:val="20"/>
                <w:szCs w:val="20"/>
                <w:color w:val="auto"/>
              </w:rPr>
            </w:pPr>
            <w:r>
              <w:rPr>
                <w:rFonts w:ascii="Arial" w:cs="Arial" w:eastAsia="Arial" w:hAnsi="Arial"/>
                <w:sz w:val="16"/>
                <w:szCs w:val="16"/>
                <w:color w:val="auto"/>
              </w:rPr>
              <w:t>Total return swap</w:t>
            </w:r>
          </w:p>
        </w:tc>
        <w:tc>
          <w:tcPr>
            <w:tcW w:w="2340" w:type="dxa"/>
            <w:vAlign w:val="bottom"/>
            <w:gridSpan w:val="3"/>
          </w:tcPr>
          <w:p>
            <w:pPr>
              <w:ind w:left="20"/>
              <w:spacing w:after="0"/>
              <w:rPr>
                <w:sz w:val="20"/>
                <w:szCs w:val="20"/>
                <w:color w:val="auto"/>
              </w:rPr>
            </w:pPr>
            <w:r>
              <w:rPr>
                <w:rFonts w:ascii="Arial" w:cs="Arial" w:eastAsia="Arial" w:hAnsi="Arial"/>
                <w:sz w:val="16"/>
                <w:szCs w:val="16"/>
                <w:color w:val="auto"/>
              </w:rPr>
              <w:t>Other assets/Other liabilities</w:t>
            </w: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5</w:t>
            </w:r>
          </w:p>
        </w:tc>
      </w:tr>
      <w:tr>
        <w:trPr>
          <w:trHeight w:val="234"/>
        </w:trPr>
        <w:tc>
          <w:tcPr>
            <w:tcW w:w="5260" w:type="dxa"/>
            <w:vAlign w:val="bottom"/>
            <w:tcBorders>
              <w:top w:val="single" w:sz="8" w:color="CCEEFF"/>
              <w:bottom w:val="single" w:sz="8" w:color="CCEEFF"/>
            </w:tcBorders>
            <w:shd w:val="clear" w:color="auto" w:fill="CCEEFF"/>
          </w:tcPr>
          <w:p>
            <w:pPr>
              <w:spacing w:after="0"/>
              <w:rPr>
                <w:sz w:val="19"/>
                <w:szCs w:val="19"/>
                <w:color w:val="auto"/>
              </w:rPr>
            </w:pPr>
          </w:p>
        </w:tc>
        <w:tc>
          <w:tcPr>
            <w:tcW w:w="20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42</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AFG’s interest rate swaps are designated and qualify as highly effective cash flow hedges to mitigate interest rate risk related to certain floating-rate securities included in AFG’s portfolio of fixed maturity securities. The purpose of each of these swaps is to effectively convert a portion of AFG’s floating-rate fixed maturity securities to fixed rates by offsetting the variability in cash flows attributable to changes in the applicable Secured Overnight Financing Rate (“SOFR”).</w:t>
      </w:r>
    </w:p>
    <w:p>
      <w:pPr>
        <w:spacing w:after="0" w:line="206"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Under the terms of the swaps, AFG receives fixed-rate interest payments in exchange for variable interest payments based on SOFR (previously based on LIBOR). The notional amounts of the interest rate swaps generally decline over each swap’s respective life (the swaps expire between July 2024 and July 2028) in anticipation of the expected decline in AFG’s portfolio of fixed maturity securities with floating interest rates based on SOFR. The total outstanding notional amount of AFG’s interest rate swaps was $1.30 billion at December 31, 2023 compared to $1.25 billion at December 31, 2022, reflecting the issuance of six new swaps with a total notional amount of $230 million in 2023, partially offset by scheduled amortization. In 2023 and 2022 a loss of $26 million and income of less than $1 million (net), respectively, were reclassified from AOCI to net earnings. Based on forward interest rate curves at December 31, 2023, management estimates that it will reclassify approximately $20 million of pre-tax net losses on interest rate swaps in AOCI to net investment income over the next twelve months. The actual amount will vary based on changes in SOFR. A collateral receivable supporting these swaps of $48 million and $62 million at December 31, 2023 and December 31, 2022, respectively, is included in other assets in AFG’s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3" w:name="page114"/>
    <w:bookmarkEnd w:id="11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AMERICAN FINANCIAL GROUP,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NOTES TO CONSOLIDATED FINANCIAL STATEMENTS — CONTINUED</w:t>
      </w:r>
    </w:p>
    <w:p>
      <w:pPr>
        <w:spacing w:after="0" w:line="200" w:lineRule="exact"/>
        <w:rPr>
          <w:sz w:val="20"/>
          <w:szCs w:val="20"/>
          <w:color w:val="auto"/>
        </w:rPr>
      </w:pPr>
    </w:p>
    <w:p>
      <w:pPr>
        <w:spacing w:after="0" w:line="240"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fixed maturities with embedded derivatives consist of convertible fixed maturity securities and interest-only and principal-only MBS. AFG records the change in the fair value of these securities in net earnings. These investments are part of AFG’s overall investment strategy and represent a small component of AFG’s overall investment portfolio.</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AFG is exposed to fair value changes from certain equity and fixed maturity market-based exposures related to its deferred compensation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obligations to certain employees. To mitigate this risk, AFG entered into a total return swap, beginning in 2022. AFG’s Balance Sheet includes a</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$5 million liability to return collateral related to the swap (included in other liabilities) at December 31, 2023, and a $7 million receivable for collateral</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posted related to the swap (included in other assets) at December 31, 2022.</w:t>
      </w:r>
    </w:p>
    <w:p>
      <w:pPr>
        <w:spacing w:after="0" w:line="234" w:lineRule="exact"/>
        <w:rPr>
          <w:sz w:val="20"/>
          <w:szCs w:val="20"/>
          <w:color w:val="auto"/>
        </w:rPr>
      </w:pPr>
    </w:p>
    <w:p>
      <w:pPr>
        <w:ind w:right="400"/>
        <w:spacing w:after="0" w:line="289" w:lineRule="auto"/>
        <w:rPr>
          <w:sz w:val="20"/>
          <w:szCs w:val="20"/>
          <w:color w:val="auto"/>
        </w:rPr>
      </w:pPr>
      <w:r>
        <w:rPr>
          <w:rFonts w:ascii="Arial" w:cs="Arial" w:eastAsia="Arial" w:hAnsi="Arial"/>
          <w:sz w:val="17"/>
          <w:szCs w:val="17"/>
          <w:color w:val="auto"/>
        </w:rPr>
        <w:t>The following table summarizes the gains (losses) included in AFG’s Statement of Earnings for changes in the fair value of derivatives for 2023, 2022 and 2021 (in millions):</w:t>
      </w:r>
    </w:p>
    <w:tbl>
      <w:tblPr>
        <w:tblLayout w:type="fixed"/>
        <w:tblInd w:w="0" w:type="dxa"/>
        <w:tblCellMar>
          <w:top w:w="0" w:type="dxa"/>
          <w:left w:w="0" w:type="dxa"/>
          <w:bottom w:w="0" w:type="dxa"/>
          <w:right w:w="0" w:type="dxa"/>
        </w:tblCellMar>
      </w:tblPr>
      <w:tr>
        <w:trPr>
          <w:trHeight w:val="145"/>
        </w:trPr>
        <w:tc>
          <w:tcPr>
            <w:tcW w:w="32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gridSpan w:val="9"/>
            <w:vMerge w:val="restart"/>
          </w:tcPr>
          <w:p>
            <w:pPr>
              <w:jc w:val="center"/>
              <w:ind w:right="120"/>
              <w:spacing w:after="0"/>
              <w:rPr>
                <w:sz w:val="20"/>
                <w:szCs w:val="20"/>
                <w:color w:val="auto"/>
              </w:rPr>
            </w:pPr>
            <w:r>
              <w:rPr>
                <w:rFonts w:ascii="Arial" w:cs="Arial" w:eastAsia="Arial" w:hAnsi="Arial"/>
                <w:sz w:val="14"/>
                <w:szCs w:val="14"/>
                <w:color w:val="auto"/>
              </w:rPr>
              <w:t>Non-designated hedges - gains (losses)</w:t>
            </w:r>
          </w:p>
        </w:tc>
        <w:tc>
          <w:tcPr>
            <w:tcW w:w="120" w:type="dxa"/>
            <w:vAlign w:val="bottom"/>
          </w:tcPr>
          <w:p>
            <w:pPr>
              <w:spacing w:after="0"/>
              <w:rPr>
                <w:sz w:val="12"/>
                <w:szCs w:val="12"/>
                <w:color w:val="auto"/>
              </w:rPr>
            </w:pPr>
          </w:p>
        </w:tc>
        <w:tc>
          <w:tcPr>
            <w:tcW w:w="2560" w:type="dxa"/>
            <w:vAlign w:val="bottom"/>
            <w:gridSpan w:val="7"/>
          </w:tcPr>
          <w:p>
            <w:pPr>
              <w:jc w:val="center"/>
              <w:ind w:right="60"/>
              <w:spacing w:after="0" w:line="145" w:lineRule="exact"/>
              <w:rPr>
                <w:sz w:val="20"/>
                <w:szCs w:val="20"/>
                <w:color w:val="auto"/>
              </w:rPr>
            </w:pPr>
            <w:r>
              <w:rPr>
                <w:rFonts w:ascii="Arial" w:cs="Arial" w:eastAsia="Arial" w:hAnsi="Arial"/>
                <w:sz w:val="14"/>
                <w:szCs w:val="14"/>
                <w:color w:val="auto"/>
              </w:rPr>
              <w:t>Qualifying cash flow hedges - gains</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gridSpan w:val="9"/>
            <w:vMerge w:val="continue"/>
          </w:tcPr>
          <w:p>
            <w:pPr>
              <w:spacing w:after="0"/>
              <w:rPr>
                <w:sz w:val="12"/>
                <w:szCs w:val="12"/>
                <w:color w:val="auto"/>
              </w:rPr>
            </w:pPr>
          </w:p>
        </w:tc>
        <w:tc>
          <w:tcPr>
            <w:tcW w:w="120" w:type="dxa"/>
            <w:vAlign w:val="bottom"/>
          </w:tcPr>
          <w:p>
            <w:pPr>
              <w:spacing w:after="0"/>
              <w:rPr>
                <w:sz w:val="12"/>
                <w:szCs w:val="12"/>
                <w:color w:val="auto"/>
              </w:rPr>
            </w:pPr>
          </w:p>
        </w:tc>
        <w:tc>
          <w:tcPr>
            <w:tcW w:w="2560" w:type="dxa"/>
            <w:vAlign w:val="bottom"/>
            <w:gridSpan w:val="7"/>
          </w:tcPr>
          <w:p>
            <w:pPr>
              <w:jc w:val="center"/>
              <w:ind w:right="60"/>
              <w:spacing w:after="0" w:line="149" w:lineRule="exact"/>
              <w:rPr>
                <w:sz w:val="20"/>
                <w:szCs w:val="20"/>
                <w:color w:val="auto"/>
              </w:rPr>
            </w:pPr>
            <w:r>
              <w:rPr>
                <w:rFonts w:ascii="Arial" w:cs="Arial" w:eastAsia="Arial" w:hAnsi="Arial"/>
                <w:sz w:val="14"/>
                <w:szCs w:val="14"/>
                <w:color w:val="auto"/>
              </w:rPr>
              <w:t>(losses) reclassified from AOCI to net</w:t>
            </w:r>
          </w:p>
        </w:tc>
        <w:tc>
          <w:tcPr>
            <w:tcW w:w="0" w:type="dxa"/>
            <w:vAlign w:val="bottom"/>
          </w:tcPr>
          <w:p>
            <w:pPr>
              <w:spacing w:after="0"/>
              <w:rPr>
                <w:sz w:val="1"/>
                <w:szCs w:val="1"/>
                <w:color w:val="auto"/>
              </w:rPr>
            </w:pPr>
          </w:p>
        </w:tc>
      </w:tr>
      <w:tr>
        <w:trPr>
          <w:trHeight w:val="189"/>
        </w:trPr>
        <w:tc>
          <w:tcPr>
            <w:tcW w:w="32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6"/>
          </w:tcPr>
          <w:p>
            <w:pPr>
              <w:jc w:val="center"/>
              <w:ind w:left="320"/>
              <w:spacing w:after="0"/>
              <w:rPr>
                <w:sz w:val="20"/>
                <w:szCs w:val="20"/>
                <w:color w:val="auto"/>
              </w:rPr>
            </w:pPr>
            <w:r>
              <w:rPr>
                <w:rFonts w:ascii="Arial" w:cs="Arial" w:eastAsia="Arial" w:hAnsi="Arial"/>
                <w:sz w:val="14"/>
                <w:szCs w:val="14"/>
                <w:color w:val="auto"/>
              </w:rPr>
              <w:t>included in net earnings</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color w:val="auto"/>
              </w:rPr>
              <w:t>earnings</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80" w:type="dxa"/>
            <w:vAlign w:val="bottom"/>
          </w:tcPr>
          <w:p>
            <w:pPr>
              <w:spacing w:after="0"/>
              <w:rPr>
                <w:sz w:val="16"/>
                <w:szCs w:val="16"/>
                <w:color w:val="auto"/>
              </w:rPr>
            </w:pPr>
          </w:p>
        </w:tc>
        <w:tc>
          <w:tcPr>
            <w:tcW w:w="2500" w:type="dxa"/>
            <w:vAlign w:val="bottom"/>
            <w:gridSpan w:val="2"/>
          </w:tcPr>
          <w:p>
            <w:pPr>
              <w:ind w:left="20"/>
              <w:spacing w:after="0"/>
              <w:rPr>
                <w:sz w:val="20"/>
                <w:szCs w:val="20"/>
                <w:color w:val="auto"/>
              </w:rPr>
            </w:pPr>
            <w:r>
              <w:rPr>
                <w:rFonts w:ascii="Arial" w:cs="Arial" w:eastAsia="Arial" w:hAnsi="Arial"/>
                <w:sz w:val="14"/>
                <w:szCs w:val="14"/>
                <w:color w:val="auto"/>
              </w:rPr>
              <w:t>Statement of Earnings Line</w:t>
            </w:r>
          </w:p>
        </w:tc>
        <w:tc>
          <w:tcPr>
            <w:tcW w:w="180" w:type="dxa"/>
            <w:vAlign w:val="bottom"/>
          </w:tcPr>
          <w:p>
            <w:pPr>
              <w:spacing w:after="0"/>
              <w:rPr>
                <w:sz w:val="16"/>
                <w:szCs w:val="16"/>
                <w:color w:val="auto"/>
              </w:rPr>
            </w:pPr>
          </w:p>
        </w:tc>
        <w:tc>
          <w:tcPr>
            <w:tcW w:w="640" w:type="dxa"/>
            <w:vAlign w:val="bottom"/>
          </w:tcPr>
          <w:p>
            <w:pPr>
              <w:jc w:val="right"/>
              <w:ind w:right="180"/>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center"/>
              <w:ind w:right="120"/>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jc w:val="right"/>
              <w:ind w:right="180"/>
              <w:spacing w:after="0"/>
              <w:rPr>
                <w:sz w:val="20"/>
                <w:szCs w:val="20"/>
                <w:color w:val="auto"/>
              </w:rPr>
            </w:pPr>
            <w:r>
              <w:rPr>
                <w:rFonts w:ascii="Arial" w:cs="Arial" w:eastAsia="Arial" w:hAnsi="Arial"/>
                <w:sz w:val="14"/>
                <w:szCs w:val="14"/>
                <w:color w:val="auto"/>
                <w:w w:val="96"/>
              </w:rPr>
              <w:t>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181"/>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center"/>
              <w:ind w:right="20"/>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80"/>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46"/>
        </w:trPr>
        <w:tc>
          <w:tcPr>
            <w:tcW w:w="3280" w:type="dxa"/>
            <w:vAlign w:val="bottom"/>
            <w:tcBorders>
              <w:top w:val="single" w:sz="8" w:color="CCEEFF"/>
            </w:tcBorders>
            <w:shd w:val="clear" w:color="auto" w:fill="CCEEFF"/>
          </w:tcPr>
          <w:p>
            <w:pPr>
              <w:ind w:left="20"/>
              <w:spacing w:after="0" w:line="146" w:lineRule="exact"/>
              <w:rPr>
                <w:sz w:val="20"/>
                <w:szCs w:val="20"/>
                <w:color w:val="auto"/>
              </w:rPr>
            </w:pPr>
            <w:r>
              <w:rPr>
                <w:rFonts w:ascii="Arial" w:cs="Arial" w:eastAsia="Arial" w:hAnsi="Arial"/>
                <w:sz w:val="16"/>
                <w:szCs w:val="16"/>
                <w:color w:val="auto"/>
              </w:rPr>
              <w:t>Derivative instruments of continuing</w:t>
            </w:r>
          </w:p>
        </w:tc>
        <w:tc>
          <w:tcPr>
            <w:tcW w:w="24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operations: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80" w:type="dxa"/>
            <w:vAlign w:val="bottom"/>
          </w:tcPr>
          <w:p>
            <w:pPr>
              <w:ind w:left="240"/>
              <w:spacing w:after="0"/>
              <w:rPr>
                <w:sz w:val="20"/>
                <w:szCs w:val="20"/>
                <w:color w:val="auto"/>
              </w:rPr>
            </w:pPr>
            <w:r>
              <w:rPr>
                <w:rFonts w:ascii="Arial" w:cs="Arial" w:eastAsia="Arial" w:hAnsi="Arial"/>
                <w:sz w:val="16"/>
                <w:szCs w:val="16"/>
                <w:color w:val="auto"/>
              </w:rPr>
              <w:t>Interest rate swaps</w:t>
            </w:r>
          </w:p>
        </w:tc>
        <w:tc>
          <w:tcPr>
            <w:tcW w:w="2500" w:type="dxa"/>
            <w:vAlign w:val="bottom"/>
            <w:gridSpan w:val="2"/>
          </w:tcPr>
          <w:p>
            <w:pPr>
              <w:ind w:left="20"/>
              <w:spacing w:after="0"/>
              <w:rPr>
                <w:sz w:val="20"/>
                <w:szCs w:val="20"/>
                <w:color w:val="auto"/>
              </w:rPr>
            </w:pPr>
            <w:r>
              <w:rPr>
                <w:rFonts w:ascii="Arial" w:cs="Arial" w:eastAsia="Arial" w:hAnsi="Arial"/>
                <w:sz w:val="16"/>
                <w:szCs w:val="16"/>
                <w:color w:val="auto"/>
              </w:rPr>
              <w:t>Net investment income</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center"/>
              <w:ind w:left="281"/>
              <w:spacing w:after="0"/>
              <w:rPr>
                <w:sz w:val="20"/>
                <w:szCs w:val="20"/>
                <w:color w:val="auto"/>
              </w:rPr>
            </w:pPr>
            <w:r>
              <w:rPr>
                <w:rFonts w:ascii="Arial" w:cs="Arial" w:eastAsia="Arial" w:hAnsi="Arial"/>
                <w:sz w:val="16"/>
                <w:szCs w:val="16"/>
                <w:color w:val="auto"/>
                <w:w w:val="98"/>
              </w:rPr>
              <w:t>(26)</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3280" w:type="dxa"/>
            <w:vAlign w:val="bottom"/>
            <w:shd w:val="clear" w:color="auto" w:fill="CCEEFF"/>
          </w:tcPr>
          <w:p>
            <w:pPr>
              <w:ind w:left="240"/>
              <w:spacing w:after="0" w:line="163" w:lineRule="exact"/>
              <w:rPr>
                <w:sz w:val="20"/>
                <w:szCs w:val="20"/>
                <w:color w:val="auto"/>
              </w:rPr>
            </w:pPr>
            <w:r>
              <w:rPr>
                <w:rFonts w:ascii="Arial" w:cs="Arial" w:eastAsia="Arial" w:hAnsi="Arial"/>
                <w:sz w:val="16"/>
                <w:szCs w:val="16"/>
                <w:color w:val="auto"/>
              </w:rPr>
              <w:t>Fixed maturities with embedded</w:t>
            </w:r>
          </w:p>
        </w:tc>
        <w:tc>
          <w:tcPr>
            <w:tcW w:w="250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rPr>
              <w:t>Realized gains (losses) on</w:t>
            </w:r>
          </w:p>
        </w:tc>
        <w:tc>
          <w:tcPr>
            <w:tcW w:w="1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center"/>
              <w:ind w:left="241"/>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derivatives</w:t>
            </w:r>
          </w:p>
        </w:tc>
        <w:tc>
          <w:tcPr>
            <w:tcW w:w="25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securities</w:t>
            </w:r>
          </w:p>
        </w:tc>
        <w:tc>
          <w:tcPr>
            <w:tcW w:w="18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240"/>
              <w:spacing w:after="0" w:line="162" w:lineRule="exact"/>
              <w:rPr>
                <w:sz w:val="20"/>
                <w:szCs w:val="20"/>
                <w:color w:val="auto"/>
              </w:rPr>
            </w:pPr>
            <w:r>
              <w:rPr>
                <w:rFonts w:ascii="Arial" w:cs="Arial" w:eastAsia="Arial" w:hAnsi="Arial"/>
                <w:sz w:val="16"/>
                <w:szCs w:val="16"/>
                <w:color w:val="auto"/>
              </w:rPr>
              <w:t>Fixed maturities with embedded</w:t>
            </w:r>
          </w:p>
        </w:tc>
        <w:tc>
          <w:tcPr>
            <w:tcW w:w="2500" w:type="dxa"/>
            <w:vAlign w:val="bottom"/>
            <w:gridSpan w:val="2"/>
            <w:vMerge w:val="restart"/>
          </w:tcPr>
          <w:p>
            <w:pPr>
              <w:ind w:left="20"/>
              <w:spacing w:after="0"/>
              <w:rPr>
                <w:sz w:val="20"/>
                <w:szCs w:val="20"/>
                <w:color w:val="auto"/>
              </w:rPr>
            </w:pPr>
            <w:r>
              <w:rPr>
                <w:rFonts w:ascii="Arial" w:cs="Arial" w:eastAsia="Arial" w:hAnsi="Arial"/>
                <w:sz w:val="16"/>
                <w:szCs w:val="16"/>
                <w:color w:val="auto"/>
              </w:rPr>
              <w:t>Net investment income</w:t>
            </w:r>
          </w:p>
        </w:tc>
        <w:tc>
          <w:tcPr>
            <w:tcW w:w="18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restart"/>
          </w:tcPr>
          <w:p>
            <w:pPr>
              <w:ind w:left="4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gridSpan w:val="2"/>
            <w:vMerge w:val="restart"/>
          </w:tcPr>
          <w:p>
            <w:pPr>
              <w:jc w:val="center"/>
              <w:ind w:left="241"/>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280" w:type="dxa"/>
            <w:vAlign w:val="bottom"/>
          </w:tcPr>
          <w:p>
            <w:pPr>
              <w:ind w:left="400"/>
              <w:spacing w:after="0"/>
              <w:rPr>
                <w:sz w:val="20"/>
                <w:szCs w:val="20"/>
                <w:color w:val="auto"/>
              </w:rPr>
            </w:pPr>
            <w:r>
              <w:rPr>
                <w:rFonts w:ascii="Arial" w:cs="Arial" w:eastAsia="Arial" w:hAnsi="Arial"/>
                <w:sz w:val="16"/>
                <w:szCs w:val="16"/>
                <w:color w:val="auto"/>
              </w:rPr>
              <w:t>derivatives</w:t>
            </w:r>
          </w:p>
        </w:tc>
        <w:tc>
          <w:tcPr>
            <w:tcW w:w="25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return swap</w:t>
            </w:r>
          </w:p>
        </w:tc>
        <w:tc>
          <w:tcPr>
            <w:tcW w:w="2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center"/>
              <w:ind w:left="321"/>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2"/>
        </w:trPr>
        <w:tc>
          <w:tcPr>
            <w:tcW w:w="3280" w:type="dxa"/>
            <w:vAlign w:val="bottom"/>
          </w:tcPr>
          <w:p>
            <w:pPr>
              <w:ind w:left="400"/>
              <w:spacing w:after="0" w:line="142" w:lineRule="exact"/>
              <w:rPr>
                <w:sz w:val="20"/>
                <w:szCs w:val="20"/>
                <w:color w:val="auto"/>
              </w:rPr>
            </w:pPr>
            <w:r>
              <w:rPr>
                <w:rFonts w:ascii="Arial" w:cs="Arial" w:eastAsia="Arial" w:hAnsi="Arial"/>
                <w:sz w:val="16"/>
                <w:szCs w:val="16"/>
                <w:color w:val="auto"/>
              </w:rPr>
              <w:t>Total earnings (losses) of continuing</w:t>
            </w: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vMerge w:val="restart"/>
          </w:tcPr>
          <w:p>
            <w:pPr>
              <w:jc w:val="right"/>
              <w:ind w:right="1"/>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2"/>
                <w:szCs w:val="12"/>
                <w:color w:val="auto"/>
              </w:rPr>
            </w:pP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vMerge w:val="restart"/>
          </w:tcPr>
          <w:p>
            <w:pPr>
              <w:jc w:val="center"/>
              <w:ind w:left="281"/>
              <w:spacing w:after="0"/>
              <w:rPr>
                <w:sz w:val="20"/>
                <w:szCs w:val="20"/>
                <w:color w:val="auto"/>
              </w:rPr>
            </w:pPr>
            <w:r>
              <w:rPr>
                <w:rFonts w:ascii="Arial" w:cs="Arial" w:eastAsia="Arial" w:hAnsi="Arial"/>
                <w:sz w:val="16"/>
                <w:szCs w:val="16"/>
                <w:color w:val="auto"/>
                <w:w w:val="98"/>
              </w:rPr>
              <w:t>(26)</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280" w:type="dxa"/>
            <w:vAlign w:val="bottom"/>
          </w:tcPr>
          <w:p>
            <w:pPr>
              <w:ind w:left="560"/>
              <w:spacing w:after="0"/>
              <w:rPr>
                <w:sz w:val="20"/>
                <w:szCs w:val="20"/>
                <w:color w:val="auto"/>
              </w:rPr>
            </w:pPr>
            <w:r>
              <w:rPr>
                <w:rFonts w:ascii="Arial" w:cs="Arial" w:eastAsia="Arial" w:hAnsi="Arial"/>
                <w:sz w:val="16"/>
                <w:szCs w:val="16"/>
                <w:color w:val="auto"/>
              </w:rPr>
              <w:t>operations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280" w:type="dxa"/>
            <w:vAlign w:val="bottom"/>
            <w:tcBorders>
              <w:top w:val="single" w:sz="8" w:color="CCEEFF"/>
            </w:tcBorders>
            <w:shd w:val="clear" w:color="auto" w:fill="CCEEFF"/>
          </w:tcPr>
          <w:p>
            <w:pPr>
              <w:spacing w:after="0"/>
              <w:rPr>
                <w:sz w:val="17"/>
                <w:szCs w:val="17"/>
                <w:color w:val="auto"/>
              </w:rPr>
            </w:pPr>
          </w:p>
        </w:tc>
        <w:tc>
          <w:tcPr>
            <w:tcW w:w="2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20"/>
              <w:spacing w:after="0" w:line="162" w:lineRule="exact"/>
              <w:rPr>
                <w:sz w:val="20"/>
                <w:szCs w:val="20"/>
                <w:color w:val="auto"/>
              </w:rPr>
            </w:pPr>
            <w:r>
              <w:rPr>
                <w:rFonts w:ascii="Arial" w:cs="Arial" w:eastAsia="Arial" w:hAnsi="Arial"/>
                <w:sz w:val="16"/>
                <w:szCs w:val="16"/>
                <w:color w:val="auto"/>
              </w:rPr>
              <w:t>Derivative instruments of discontinued</w:t>
            </w: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280" w:type="dxa"/>
            <w:vAlign w:val="bottom"/>
          </w:tcPr>
          <w:p>
            <w:pPr>
              <w:ind w:left="180"/>
              <w:spacing w:after="0"/>
              <w:rPr>
                <w:sz w:val="20"/>
                <w:szCs w:val="20"/>
                <w:color w:val="auto"/>
              </w:rPr>
            </w:pPr>
            <w:r>
              <w:rPr>
                <w:rFonts w:ascii="Arial" w:cs="Arial" w:eastAsia="Arial" w:hAnsi="Arial"/>
                <w:sz w:val="16"/>
                <w:szCs w:val="16"/>
                <w:color w:val="auto"/>
              </w:rPr>
              <w:t>operations (*):</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280" w:type="dxa"/>
            <w:vAlign w:val="bottom"/>
            <w:vMerge w:val="restart"/>
            <w:shd w:val="clear" w:color="auto" w:fill="CCEEFF"/>
          </w:tcPr>
          <w:p>
            <w:pPr>
              <w:ind w:left="240"/>
              <w:spacing w:after="0"/>
              <w:rPr>
                <w:sz w:val="20"/>
                <w:szCs w:val="20"/>
                <w:color w:val="auto"/>
              </w:rPr>
            </w:pPr>
            <w:r>
              <w:rPr>
                <w:rFonts w:ascii="Arial" w:cs="Arial" w:eastAsia="Arial" w:hAnsi="Arial"/>
                <w:sz w:val="16"/>
                <w:szCs w:val="16"/>
                <w:color w:val="auto"/>
              </w:rPr>
              <w:t>Interest rate swaps</w:t>
            </w:r>
          </w:p>
        </w:tc>
        <w:tc>
          <w:tcPr>
            <w:tcW w:w="250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rPr>
              <w:t>Net earnings from discontinued</w:t>
            </w:r>
          </w:p>
        </w:tc>
        <w:tc>
          <w:tcPr>
            <w:tcW w:w="1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vMerge w:val="restart"/>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vMerge w:val="restart"/>
            <w:shd w:val="clear" w:color="auto" w:fill="CCEEFF"/>
          </w:tcPr>
          <w:p>
            <w:pPr>
              <w:jc w:val="center"/>
              <w:ind w:left="241"/>
              <w:spacing w:after="0"/>
              <w:rPr>
                <w:sz w:val="20"/>
                <w:szCs w:val="20"/>
                <w:color w:val="auto"/>
              </w:rPr>
            </w:pPr>
            <w:r>
              <w:rPr>
                <w:rFonts w:ascii="Arial" w:cs="Arial" w:eastAsia="Arial" w:hAnsi="Arial"/>
                <w:sz w:val="16"/>
                <w:szCs w:val="16"/>
                <w:color w:val="auto"/>
                <w:w w:val="99"/>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6"/>
        </w:trPr>
        <w:tc>
          <w:tcPr>
            <w:tcW w:w="3280" w:type="dxa"/>
            <w:vAlign w:val="bottom"/>
            <w:vMerge w:val="continue"/>
            <w:shd w:val="clear" w:color="auto" w:fill="CCEEFF"/>
          </w:tcPr>
          <w:p>
            <w:pPr>
              <w:spacing w:after="0"/>
              <w:rPr>
                <w:sz w:val="18"/>
                <w:szCs w:val="18"/>
                <w:color w:val="auto"/>
              </w:rPr>
            </w:pPr>
          </w:p>
        </w:tc>
        <w:tc>
          <w:tcPr>
            <w:tcW w:w="25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operations</w:t>
            </w:r>
          </w:p>
        </w:tc>
        <w:tc>
          <w:tcPr>
            <w:tcW w:w="180" w:type="dxa"/>
            <w:vAlign w:val="bottom"/>
            <w:vMerge w:val="continue"/>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80" w:type="dxa"/>
            <w:vAlign w:val="bottom"/>
            <w:vMerge w:val="restart"/>
          </w:tcPr>
          <w:p>
            <w:pPr>
              <w:ind w:left="240"/>
              <w:spacing w:after="0"/>
              <w:rPr>
                <w:sz w:val="20"/>
                <w:szCs w:val="20"/>
                <w:color w:val="auto"/>
              </w:rPr>
            </w:pPr>
            <w:r>
              <w:rPr>
                <w:rFonts w:ascii="Arial" w:cs="Arial" w:eastAsia="Arial" w:hAnsi="Arial"/>
                <w:sz w:val="16"/>
                <w:szCs w:val="16"/>
                <w:color w:val="auto"/>
              </w:rPr>
              <w:t>MBS with embedded derivatives</w:t>
            </w:r>
          </w:p>
        </w:tc>
        <w:tc>
          <w:tcPr>
            <w:tcW w:w="250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Net earnings from discontinued</w:t>
            </w:r>
          </w:p>
        </w:tc>
        <w:tc>
          <w:tcPr>
            <w:tcW w:w="18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40" w:type="dxa"/>
            <w:vAlign w:val="bottom"/>
            <w:gridSpan w:val="2"/>
            <w:vMerge w:val="restart"/>
          </w:tcPr>
          <w:p>
            <w:pPr>
              <w:ind w:left="4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restart"/>
          </w:tcPr>
          <w:p>
            <w:pPr>
              <w:jc w:val="center"/>
              <w:ind w:left="241"/>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280" w:type="dxa"/>
            <w:vAlign w:val="bottom"/>
            <w:vMerge w:val="continue"/>
          </w:tcPr>
          <w:p>
            <w:pPr>
              <w:spacing w:after="0"/>
              <w:rPr>
                <w:sz w:val="18"/>
                <w:szCs w:val="18"/>
                <w:color w:val="auto"/>
              </w:rPr>
            </w:pPr>
          </w:p>
        </w:tc>
        <w:tc>
          <w:tcPr>
            <w:tcW w:w="2500" w:type="dxa"/>
            <w:vAlign w:val="bottom"/>
            <w:gridSpan w:val="2"/>
          </w:tcPr>
          <w:p>
            <w:pPr>
              <w:ind w:left="180"/>
              <w:spacing w:after="0"/>
              <w:rPr>
                <w:sz w:val="20"/>
                <w:szCs w:val="20"/>
                <w:color w:val="auto"/>
              </w:rPr>
            </w:pPr>
            <w:r>
              <w:rPr>
                <w:rFonts w:ascii="Arial" w:cs="Arial" w:eastAsia="Arial" w:hAnsi="Arial"/>
                <w:sz w:val="16"/>
                <w:szCs w:val="16"/>
                <w:color w:val="auto"/>
              </w:rPr>
              <w:t>operations</w:t>
            </w:r>
          </w:p>
        </w:tc>
        <w:tc>
          <w:tcPr>
            <w:tcW w:w="18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280" w:type="dxa"/>
            <w:vAlign w:val="bottom"/>
            <w:shd w:val="clear" w:color="auto" w:fill="CCEEFF"/>
          </w:tcPr>
          <w:p>
            <w:pPr>
              <w:ind w:left="240"/>
              <w:spacing w:after="0" w:line="163" w:lineRule="exact"/>
              <w:rPr>
                <w:sz w:val="20"/>
                <w:szCs w:val="20"/>
                <w:color w:val="auto"/>
              </w:rPr>
            </w:pPr>
            <w:r>
              <w:rPr>
                <w:rFonts w:ascii="Arial" w:cs="Arial" w:eastAsia="Arial" w:hAnsi="Arial"/>
                <w:sz w:val="16"/>
                <w:szCs w:val="16"/>
                <w:color w:val="auto"/>
              </w:rPr>
              <w:t>Fixed-indexed and variable-indexed</w:t>
            </w:r>
          </w:p>
        </w:tc>
        <w:tc>
          <w:tcPr>
            <w:tcW w:w="250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rPr>
              <w:t>Net earnings from discontinued</w:t>
            </w:r>
          </w:p>
        </w:tc>
        <w:tc>
          <w:tcPr>
            <w:tcW w:w="18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center"/>
              <w:ind w:left="241"/>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annuities (embedded derivative)</w:t>
            </w:r>
          </w:p>
        </w:tc>
        <w:tc>
          <w:tcPr>
            <w:tcW w:w="25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operations</w:t>
            </w:r>
          </w:p>
        </w:tc>
        <w:tc>
          <w:tcPr>
            <w:tcW w:w="18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80" w:type="dxa"/>
            <w:vAlign w:val="bottom"/>
            <w:vMerge w:val="restart"/>
          </w:tcPr>
          <w:p>
            <w:pPr>
              <w:ind w:left="240"/>
              <w:spacing w:after="0"/>
              <w:rPr>
                <w:sz w:val="20"/>
                <w:szCs w:val="20"/>
                <w:color w:val="auto"/>
              </w:rPr>
            </w:pPr>
            <w:r>
              <w:rPr>
                <w:rFonts w:ascii="Arial" w:cs="Arial" w:eastAsia="Arial" w:hAnsi="Arial"/>
                <w:sz w:val="16"/>
                <w:szCs w:val="16"/>
                <w:color w:val="auto"/>
              </w:rPr>
              <w:t>Equity index call options</w:t>
            </w:r>
          </w:p>
        </w:tc>
        <w:tc>
          <w:tcPr>
            <w:tcW w:w="250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Net earnings from discontinued</w:t>
            </w:r>
          </w:p>
        </w:tc>
        <w:tc>
          <w:tcPr>
            <w:tcW w:w="18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40" w:type="dxa"/>
            <w:vAlign w:val="bottom"/>
            <w:gridSpan w:val="2"/>
            <w:vMerge w:val="restart"/>
          </w:tcPr>
          <w:p>
            <w:pPr>
              <w:ind w:left="4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restart"/>
          </w:tcPr>
          <w:p>
            <w:pPr>
              <w:jc w:val="center"/>
              <w:ind w:left="241"/>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4"/>
                <w:szCs w:val="14"/>
                <w:color w:val="auto"/>
              </w:rPr>
            </w:pPr>
          </w:p>
        </w:tc>
        <w:tc>
          <w:tcPr>
            <w:tcW w:w="800" w:type="dxa"/>
            <w:vAlign w:val="bottom"/>
            <w:gridSpan w:val="2"/>
            <w:vMerge w:val="restart"/>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280" w:type="dxa"/>
            <w:vAlign w:val="bottom"/>
            <w:vMerge w:val="continue"/>
          </w:tcPr>
          <w:p>
            <w:pPr>
              <w:spacing w:after="0"/>
              <w:rPr>
                <w:sz w:val="18"/>
                <w:szCs w:val="18"/>
                <w:color w:val="auto"/>
              </w:rPr>
            </w:pPr>
          </w:p>
        </w:tc>
        <w:tc>
          <w:tcPr>
            <w:tcW w:w="2500" w:type="dxa"/>
            <w:vAlign w:val="bottom"/>
            <w:gridSpan w:val="2"/>
          </w:tcPr>
          <w:p>
            <w:pPr>
              <w:ind w:left="180"/>
              <w:spacing w:after="0"/>
              <w:rPr>
                <w:sz w:val="20"/>
                <w:szCs w:val="20"/>
                <w:color w:val="auto"/>
              </w:rPr>
            </w:pPr>
            <w:r>
              <w:rPr>
                <w:rFonts w:ascii="Arial" w:cs="Arial" w:eastAsia="Arial" w:hAnsi="Arial"/>
                <w:sz w:val="16"/>
                <w:szCs w:val="16"/>
                <w:color w:val="auto"/>
              </w:rPr>
              <w:t>operations</w:t>
            </w:r>
          </w:p>
        </w:tc>
        <w:tc>
          <w:tcPr>
            <w:tcW w:w="18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280" w:type="dxa"/>
            <w:vAlign w:val="bottom"/>
            <w:vMerge w:val="restart"/>
            <w:shd w:val="clear" w:color="auto" w:fill="CCEEFF"/>
          </w:tcPr>
          <w:p>
            <w:pPr>
              <w:ind w:left="240"/>
              <w:spacing w:after="0"/>
              <w:rPr>
                <w:sz w:val="20"/>
                <w:szCs w:val="20"/>
                <w:color w:val="auto"/>
              </w:rPr>
            </w:pPr>
            <w:r>
              <w:rPr>
                <w:rFonts w:ascii="Arial" w:cs="Arial" w:eastAsia="Arial" w:hAnsi="Arial"/>
                <w:sz w:val="16"/>
                <w:szCs w:val="16"/>
                <w:color w:val="auto"/>
              </w:rPr>
              <w:t>Equity index put options</w:t>
            </w:r>
          </w:p>
        </w:tc>
        <w:tc>
          <w:tcPr>
            <w:tcW w:w="250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rPr>
              <w:t>Net earnings from discontinued</w:t>
            </w:r>
          </w:p>
        </w:tc>
        <w:tc>
          <w:tcPr>
            <w:tcW w:w="18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center"/>
              <w:ind w:left="241"/>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280" w:type="dxa"/>
            <w:vAlign w:val="bottom"/>
            <w:vMerge w:val="continue"/>
            <w:shd w:val="clear" w:color="auto" w:fill="CCEEFF"/>
          </w:tcPr>
          <w:p>
            <w:pPr>
              <w:spacing w:after="0"/>
              <w:rPr>
                <w:sz w:val="18"/>
                <w:szCs w:val="18"/>
                <w:color w:val="auto"/>
              </w:rPr>
            </w:pPr>
          </w:p>
        </w:tc>
        <w:tc>
          <w:tcPr>
            <w:tcW w:w="25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operations</w:t>
            </w:r>
          </w:p>
        </w:tc>
        <w:tc>
          <w:tcPr>
            <w:tcW w:w="18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240"/>
              <w:spacing w:after="0" w:line="162" w:lineRule="exact"/>
              <w:rPr>
                <w:sz w:val="20"/>
                <w:szCs w:val="20"/>
                <w:color w:val="auto"/>
              </w:rPr>
            </w:pPr>
            <w:r>
              <w:rPr>
                <w:rFonts w:ascii="Arial" w:cs="Arial" w:eastAsia="Arial" w:hAnsi="Arial"/>
                <w:sz w:val="16"/>
                <w:szCs w:val="16"/>
                <w:color w:val="auto"/>
              </w:rPr>
              <w:t>Reinsurance contract (embedded</w:t>
            </w:r>
          </w:p>
        </w:tc>
        <w:tc>
          <w:tcPr>
            <w:tcW w:w="250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Net earnings from discontinued</w:t>
            </w:r>
          </w:p>
        </w:tc>
        <w:tc>
          <w:tcPr>
            <w:tcW w:w="18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restart"/>
          </w:tcPr>
          <w:p>
            <w:pPr>
              <w:ind w:left="42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jc w:val="center"/>
              <w:ind w:left="321"/>
              <w:spacing w:after="0"/>
              <w:rPr>
                <w:sz w:val="20"/>
                <w:szCs w:val="20"/>
                <w:color w:val="auto"/>
              </w:rPr>
            </w:pPr>
            <w:r>
              <w:rPr>
                <w:rFonts w:ascii="Arial" w:cs="Arial" w:eastAsia="Arial" w:hAnsi="Arial"/>
                <w:sz w:val="16"/>
                <w:szCs w:val="16"/>
                <w:color w:val="auto"/>
                <w:w w:val="99"/>
              </w:rPr>
              <w:t>—</w:t>
            </w:r>
          </w:p>
        </w:tc>
        <w:tc>
          <w:tcPr>
            <w:tcW w:w="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ind w:left="48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28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derivative)</w:t>
            </w:r>
          </w:p>
        </w:tc>
        <w:tc>
          <w:tcPr>
            <w:tcW w:w="250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operations</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3280" w:type="dxa"/>
            <w:vAlign w:val="bottom"/>
            <w:shd w:val="clear" w:color="auto" w:fill="CCEEFF"/>
          </w:tcPr>
          <w:p>
            <w:pPr>
              <w:ind w:left="400"/>
              <w:spacing w:after="0" w:line="143" w:lineRule="exact"/>
              <w:rPr>
                <w:sz w:val="20"/>
                <w:szCs w:val="20"/>
                <w:color w:val="auto"/>
              </w:rPr>
            </w:pPr>
            <w:r>
              <w:rPr>
                <w:rFonts w:ascii="Arial" w:cs="Arial" w:eastAsia="Arial" w:hAnsi="Arial"/>
                <w:sz w:val="16"/>
                <w:szCs w:val="16"/>
                <w:color w:val="auto"/>
              </w:rPr>
              <w:t>Total earnings (losses) of discontinued</w:t>
            </w: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center"/>
              <w:ind w:left="241"/>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operations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80" w:type="dxa"/>
            <w:vAlign w:val="bottom"/>
          </w:tcPr>
          <w:p>
            <w:pPr>
              <w:ind w:left="520"/>
              <w:spacing w:after="0"/>
              <w:rPr>
                <w:sz w:val="20"/>
                <w:szCs w:val="20"/>
                <w:color w:val="auto"/>
              </w:rPr>
            </w:pPr>
            <w:r>
              <w:rPr>
                <w:rFonts w:ascii="Arial" w:cs="Arial" w:eastAsia="Arial" w:hAnsi="Arial"/>
                <w:sz w:val="16"/>
                <w:szCs w:val="16"/>
                <w:color w:val="auto"/>
              </w:rPr>
              <w:t>Earnings (losses)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center"/>
              <w:ind w:left="281"/>
              <w:spacing w:after="0"/>
              <w:rPr>
                <w:sz w:val="20"/>
                <w:szCs w:val="20"/>
                <w:color w:val="auto"/>
              </w:rPr>
            </w:pPr>
            <w:r>
              <w:rPr>
                <w:rFonts w:ascii="Arial" w:cs="Arial" w:eastAsia="Arial" w:hAnsi="Arial"/>
                <w:sz w:val="16"/>
                <w:szCs w:val="16"/>
                <w:color w:val="auto"/>
                <w:w w:val="98"/>
              </w:rPr>
              <w:t>(26)</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00" w:hanging="392"/>
        <w:spacing w:after="0"/>
        <w:tabs>
          <w:tab w:leader="none" w:pos="4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Earnings (losses) for 2021 are through the May 31, 2021 effective date of the sale of the annuity business.</w:t>
      </w:r>
    </w:p>
    <w:p>
      <w:pPr>
        <w:spacing w:after="0" w:line="238" w:lineRule="exact"/>
        <w:rPr>
          <w:sz w:val="20"/>
          <w:szCs w:val="20"/>
          <w:color w:val="auto"/>
        </w:rPr>
      </w:pPr>
    </w:p>
    <w:p>
      <w:pPr>
        <w:ind w:left="620" w:hanging="612"/>
        <w:spacing w:after="0"/>
        <w:tabs>
          <w:tab w:leader="none" w:pos="620" w:val="left"/>
        </w:tabs>
        <w:numPr>
          <w:ilvl w:val="0"/>
          <w:numId w:val="57"/>
        </w:numPr>
        <w:rPr>
          <w:rFonts w:ascii="Arial" w:cs="Arial" w:eastAsia="Arial" w:hAnsi="Arial"/>
          <w:sz w:val="29"/>
          <w:szCs w:val="29"/>
          <w:b w:val="1"/>
          <w:bCs w:val="1"/>
          <w:color w:val="00274E"/>
        </w:rPr>
      </w:pPr>
      <w:r>
        <w:rPr>
          <w:rFonts w:ascii="Arial" w:cs="Arial" w:eastAsia="Arial" w:hAnsi="Arial"/>
          <w:sz w:val="29"/>
          <w:szCs w:val="29"/>
          <w:b w:val="1"/>
          <w:bCs w:val="1"/>
          <w:color w:val="00274E"/>
        </w:rPr>
        <w:t>Managed Investment Entities</w:t>
      </w:r>
    </w:p>
    <w:p>
      <w:pPr>
        <w:spacing w:after="0" w:line="259"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AFG is the investment manager and it has investments ranging from 9.0% to 100% of the most subordinate debt tranche of twelve active collateralized loan obligation entities (“CLOs”), which are considered variable interest entities. AFG also owns portions of the senior debt tranches of certain of these CLOs. Upon formation between 2012 and 2023, these entities issued securities in various senior and subordinate classes and invested the proceeds primarily in secured bank loans, which serve as collateral for the debt securities issued by each CLO. None of the collateral was purchased from AFG. AFG’s investments in the subordinate debt tranches of these entities receive residual income from the CLOs only after the CLOs pay expenses (including management fees to AFG) and interest on and returns of capital to senior levels of debt securities. There are no contractual requirements for AFG to provide additional funding for these entities. AFG has not provided and does not intend to provide any financial support to these entities.</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AMERICAN FINANCIAL GROUP,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NOTES TO CONSOLIDATED FINANCIAL STATEMENTS — CONTINUED</w:t>
      </w:r>
    </w:p>
    <w:p>
      <w:pPr>
        <w:spacing w:after="0" w:line="200" w:lineRule="exact"/>
        <w:rPr>
          <w:sz w:val="20"/>
          <w:szCs w:val="20"/>
          <w:color w:val="auto"/>
        </w:rPr>
      </w:pPr>
    </w:p>
    <w:p>
      <w:pPr>
        <w:spacing w:after="0" w:line="240"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AFG’s maximum exposure to economic loss on the CLOs that it manages is limited to its investment in those CLOs, which had an aggregate fair value of $177 million (including $106 million invested in the most subordinate tranches and $38 million invested in temporary warehousing entities) at December 31, 2023.</w:t>
      </w:r>
    </w:p>
    <w:p>
      <w:pPr>
        <w:spacing w:after="0" w:line="214" w:lineRule="exact"/>
        <w:rPr>
          <w:sz w:val="20"/>
          <w:szCs w:val="20"/>
          <w:color w:val="auto"/>
        </w:rPr>
      </w:pPr>
    </w:p>
    <w:p>
      <w:pPr>
        <w:ind w:right="240"/>
        <w:spacing w:after="0" w:line="260" w:lineRule="auto"/>
        <w:rPr>
          <w:sz w:val="20"/>
          <w:szCs w:val="20"/>
          <w:color w:val="auto"/>
        </w:rPr>
      </w:pPr>
      <w:r>
        <w:rPr>
          <w:rFonts w:ascii="Arial" w:cs="Arial" w:eastAsia="Arial" w:hAnsi="Arial"/>
          <w:sz w:val="17"/>
          <w:szCs w:val="17"/>
          <w:color w:val="auto"/>
        </w:rPr>
        <w:t>In 2023, AFG formed one new CLO, which issued $407 million face amount of liabilities (including $16 million face amount purchased by AFG). In 2022, AFG formed two new CLOs, which issued $754 million face amount of liabilities (including $48 million face amount purchased by AFG). In 2021, AFG formed one new CLO, which issued $408 million face amount of liabilities (including $14 million face amount purchased by AFG’s continuing operations). In 2023, four CLOs were substantially liquidated in accordance with the CLO indentures.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a progression of the fair value of AFG's investment in CLO tranches held by continuing operations (in millions):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4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2022</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2021</w:t>
            </w:r>
          </w:p>
        </w:tc>
      </w:tr>
      <w:tr>
        <w:trPr>
          <w:trHeight w:val="214"/>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820" w:type="dxa"/>
            <w:vAlign w:val="bottom"/>
            <w:shd w:val="clear" w:color="auto" w:fill="CCEEFF"/>
          </w:tcPr>
          <w:p>
            <w:pPr>
              <w:jc w:val="right"/>
              <w:ind w:right="622"/>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Purchases</w:t>
            </w: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w:t>
            </w:r>
          </w:p>
        </w:tc>
        <w:tc>
          <w:tcPr>
            <w:tcW w:w="8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Distributions</w:t>
            </w: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fair value</w:t>
            </w: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Change in accrued interest</w:t>
            </w:r>
          </w:p>
        </w:tc>
        <w:tc>
          <w:tcPr>
            <w:tcW w:w="82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7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end of period (*)</w:t>
            </w:r>
          </w:p>
        </w:tc>
        <w:tc>
          <w:tcPr>
            <w:tcW w:w="820" w:type="dxa"/>
            <w:vAlign w:val="bottom"/>
            <w:tcBorders>
              <w:top w:val="single" w:sz="8" w:color="auto"/>
              <w:bottom w:val="single" w:sz="8" w:color="auto"/>
            </w:tcBorders>
            <w:shd w:val="clear" w:color="auto" w:fill="CCEEFF"/>
          </w:tcPr>
          <w:p>
            <w:pPr>
              <w:jc w:val="right"/>
              <w:ind w:right="622"/>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420" w:right="240" w:hanging="412"/>
        <w:spacing w:after="0" w:line="301" w:lineRule="auto"/>
        <w:tabs>
          <w:tab w:leader="none" w:pos="411" w:val="left"/>
        </w:tabs>
        <w:numPr>
          <w:ilvl w:val="0"/>
          <w:numId w:val="58"/>
        </w:numPr>
        <w:rPr>
          <w:rFonts w:ascii="Arial" w:cs="Arial" w:eastAsia="Arial" w:hAnsi="Arial"/>
          <w:sz w:val="17"/>
          <w:szCs w:val="17"/>
          <w:color w:val="auto"/>
        </w:rPr>
      </w:pPr>
      <w:r>
        <w:rPr>
          <w:rFonts w:ascii="Arial" w:cs="Arial" w:eastAsia="Arial" w:hAnsi="Arial"/>
          <w:sz w:val="17"/>
          <w:szCs w:val="17"/>
          <w:color w:val="auto"/>
        </w:rPr>
        <w:t>Excludes $38 million and $3 million invested in temporary warehousing entities at December 31, 2023 and December 31, 2022, respectively, that were established to provide AFG the ability to form new CLOs.</w:t>
      </w:r>
    </w:p>
    <w:p>
      <w:pPr>
        <w:spacing w:after="0" w:line="171"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revenues and expenses of the CLOs are separately identified in AFG’s Statement of Earnings, after the elimination of management fees and earnings attributable to AFG as measured by the change in the fair value of AFG’s investments in the CLOs. Selected financial information related to the CLOs is shown below (in millions):</w:t>
      </w:r>
    </w:p>
    <w:p>
      <w:pPr>
        <w:spacing w:after="0" w:line="111" w:lineRule="exact"/>
        <w:rPr>
          <w:sz w:val="20"/>
          <w:szCs w:val="20"/>
          <w:color w:val="auto"/>
        </w:rPr>
      </w:pPr>
    </w:p>
    <w:p>
      <w:pPr>
        <w:ind w:left="8440"/>
        <w:spacing w:after="0"/>
        <w:rPr>
          <w:sz w:val="20"/>
          <w:szCs w:val="20"/>
          <w:color w:val="auto"/>
        </w:rPr>
      </w:pPr>
      <w:r>
        <w:rPr>
          <w:rFonts w:ascii="Arial" w:cs="Arial" w:eastAsia="Arial" w:hAnsi="Arial"/>
          <w:sz w:val="15"/>
          <w:szCs w:val="15"/>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21590</wp:posOffset>
            </wp:positionV>
            <wp:extent cx="24345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4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2022</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2021</w:t>
            </w:r>
          </w:p>
        </w:tc>
      </w:tr>
      <w:tr>
        <w:trPr>
          <w:trHeight w:val="200"/>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Gains (losses) on change in fair value of assets/liabilities (*):</w:t>
            </w: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5"/>
        </w:trPr>
        <w:tc>
          <w:tcPr>
            <w:tcW w:w="7400" w:type="dxa"/>
            <w:vAlign w:val="bottom"/>
          </w:tcPr>
          <w:p>
            <w:pPr>
              <w:ind w:left="360"/>
              <w:spacing w:after="0"/>
              <w:rPr>
                <w:sz w:val="20"/>
                <w:szCs w:val="20"/>
                <w:color w:val="auto"/>
              </w:rPr>
            </w:pPr>
            <w:r>
              <w:rPr>
                <w:rFonts w:ascii="Arial" w:cs="Arial" w:eastAsia="Arial" w:hAnsi="Arial"/>
                <w:sz w:val="16"/>
                <w:szCs w:val="16"/>
                <w:color w:val="auto"/>
              </w:rPr>
              <w:t>Assets</w:t>
            </w:r>
          </w:p>
        </w:tc>
        <w:tc>
          <w:tcPr>
            <w:tcW w:w="800" w:type="dxa"/>
            <w:vAlign w:val="bottom"/>
          </w:tcPr>
          <w:p>
            <w:pPr>
              <w:jc w:val="right"/>
              <w:ind w:right="601"/>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(267)</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center"/>
              <w:ind w:left="520"/>
              <w:spacing w:after="0"/>
              <w:rPr>
                <w:sz w:val="20"/>
                <w:szCs w:val="20"/>
                <w:color w:val="auto"/>
              </w:rPr>
            </w:pPr>
            <w:r>
              <w:rPr>
                <w:rFonts w:ascii="Arial" w:cs="Arial" w:eastAsia="Arial" w:hAnsi="Arial"/>
                <w:sz w:val="16"/>
                <w:szCs w:val="16"/>
                <w:color w:val="auto"/>
              </w:rPr>
              <w:t>69</w:t>
            </w:r>
          </w:p>
        </w:tc>
      </w:tr>
      <w:tr>
        <w:trPr>
          <w:trHeight w:val="217"/>
        </w:trPr>
        <w:tc>
          <w:tcPr>
            <w:tcW w:w="7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Liabilities</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left="520"/>
              <w:spacing w:after="0"/>
              <w:rPr>
                <w:sz w:val="20"/>
                <w:szCs w:val="20"/>
                <w:color w:val="auto"/>
              </w:rPr>
            </w:pPr>
            <w:r>
              <w:rPr>
                <w:rFonts w:ascii="Arial" w:cs="Arial" w:eastAsia="Arial" w:hAnsi="Arial"/>
                <w:sz w:val="16"/>
                <w:szCs w:val="16"/>
                <w:color w:val="auto"/>
              </w:rPr>
              <w:t>(59)</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Management fees paid to AFG</w:t>
            </w: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center"/>
              <w:ind w:left="520"/>
              <w:spacing w:after="0"/>
              <w:rPr>
                <w:sz w:val="20"/>
                <w:szCs w:val="20"/>
                <w:color w:val="auto"/>
              </w:rPr>
            </w:pPr>
            <w:r>
              <w:rPr>
                <w:rFonts w:ascii="Arial" w:cs="Arial" w:eastAsia="Arial" w:hAnsi="Arial"/>
                <w:sz w:val="16"/>
                <w:szCs w:val="16"/>
                <w:color w:val="auto"/>
              </w:rPr>
              <w:t>16</w:t>
            </w: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CLO earnings (losses) attributable to AFG:</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5"/>
        </w:trPr>
        <w:tc>
          <w:tcPr>
            <w:tcW w:w="7400" w:type="dxa"/>
            <w:vAlign w:val="bottom"/>
          </w:tcPr>
          <w:p>
            <w:pPr>
              <w:ind w:left="240"/>
              <w:spacing w:after="0"/>
              <w:rPr>
                <w:sz w:val="20"/>
                <w:szCs w:val="20"/>
                <w:color w:val="auto"/>
              </w:rPr>
            </w:pPr>
            <w:r>
              <w:rPr>
                <w:rFonts w:ascii="Arial" w:cs="Arial" w:eastAsia="Arial" w:hAnsi="Arial"/>
                <w:sz w:val="16"/>
                <w:szCs w:val="16"/>
                <w:color w:val="auto"/>
              </w:rPr>
              <w:t>From continuing operations</w:t>
            </w:r>
          </w:p>
        </w:tc>
        <w:tc>
          <w:tcPr>
            <w:tcW w:w="800" w:type="dxa"/>
            <w:vAlign w:val="bottom"/>
          </w:tcPr>
          <w:p>
            <w:pPr>
              <w:jc w:val="right"/>
              <w:ind w:right="601"/>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center"/>
              <w:ind w:left="520"/>
              <w:spacing w:after="0"/>
              <w:rPr>
                <w:sz w:val="20"/>
                <w:szCs w:val="20"/>
                <w:color w:val="auto"/>
              </w:rPr>
            </w:pPr>
            <w:r>
              <w:rPr>
                <w:rFonts w:ascii="Arial" w:cs="Arial" w:eastAsia="Arial" w:hAnsi="Arial"/>
                <w:sz w:val="16"/>
                <w:szCs w:val="16"/>
                <w:color w:val="auto"/>
              </w:rPr>
              <w:t>20</w:t>
            </w:r>
          </w:p>
        </w:tc>
      </w:tr>
      <w:tr>
        <w:trPr>
          <w:trHeight w:val="216"/>
        </w:trPr>
        <w:tc>
          <w:tcPr>
            <w:tcW w:w="7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From discontinued annuity operations</w:t>
            </w: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left="520"/>
              <w:spacing w:after="0"/>
              <w:rPr>
                <w:sz w:val="20"/>
                <w:szCs w:val="20"/>
                <w:color w:val="auto"/>
              </w:rPr>
            </w:pPr>
            <w:r>
              <w:rPr>
                <w:rFonts w:ascii="Arial" w:cs="Arial" w:eastAsia="Arial" w:hAnsi="Arial"/>
                <w:sz w:val="16"/>
                <w:szCs w:val="16"/>
                <w:color w:val="auto"/>
              </w:rPr>
              <w:t>20</w:t>
            </w:r>
          </w:p>
        </w:tc>
      </w:tr>
      <w:tr>
        <w:trPr>
          <w:trHeight w:val="210"/>
        </w:trPr>
        <w:tc>
          <w:tcPr>
            <w:tcW w:w="7400" w:type="dxa"/>
            <w:vAlign w:val="bottom"/>
          </w:tcPr>
          <w:p>
            <w:pPr>
              <w:ind w:left="460"/>
              <w:spacing w:after="0"/>
              <w:rPr>
                <w:sz w:val="20"/>
                <w:szCs w:val="20"/>
                <w:color w:val="auto"/>
              </w:rPr>
            </w:pPr>
            <w:r>
              <w:rPr>
                <w:rFonts w:ascii="Arial" w:cs="Arial" w:eastAsia="Arial" w:hAnsi="Arial"/>
                <w:sz w:val="16"/>
                <w:szCs w:val="16"/>
                <w:color w:val="auto"/>
              </w:rPr>
              <w:t>Total</w:t>
            </w:r>
          </w:p>
        </w:tc>
        <w:tc>
          <w:tcPr>
            <w:tcW w:w="800" w:type="dxa"/>
            <w:vAlign w:val="bottom"/>
            <w:tcBorders>
              <w:top w:val="single" w:sz="8" w:color="auto"/>
              <w:bottom w:val="single" w:sz="8" w:color="auto"/>
            </w:tcBorders>
          </w:tcPr>
          <w:p>
            <w:pPr>
              <w:jc w:val="right"/>
              <w:ind w:right="601"/>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center"/>
              <w:ind w:left="520"/>
              <w:spacing w:after="0"/>
              <w:rPr>
                <w:sz w:val="20"/>
                <w:szCs w:val="20"/>
                <w:color w:val="auto"/>
              </w:rPr>
            </w:pPr>
            <w:r>
              <w:rPr>
                <w:rFonts w:ascii="Arial" w:cs="Arial" w:eastAsia="Arial" w:hAnsi="Arial"/>
                <w:sz w:val="16"/>
                <w:szCs w:val="16"/>
                <w:color w:val="auto"/>
              </w:rPr>
              <w:t>40</w:t>
            </w:r>
          </w:p>
        </w:tc>
      </w:tr>
      <w:tr>
        <w:trPr>
          <w:trHeight w:val="20"/>
        </w:trPr>
        <w:tc>
          <w:tcPr>
            <w:tcW w:w="7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400" w:hanging="392"/>
        <w:spacing w:after="0"/>
        <w:tabs>
          <w:tab w:leader="none" w:pos="4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Included in revenues in AFG’s Statement of Earnings.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The aggregate unpaid principal balance of the CLOs’ fixed maturity investments exceeded the fair value of the investments by $109 million and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$339 million at December 31, 2023 and 2022, respectively. The aggregate unpaid principal balance of the CLOs’ debt exceeded its carrying value by</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$253 million and $413 million at those dates. The CLO assets include loans with an aggregate fair value of $7 million at December 31, 2023 and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$4 million at December 31, 2022, for which the CLOs are not accruing interest because the loans are in default (aggregate unpaid principal balance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of $13 million at December 31, 2023 and $17 million at December 31, 2022).</w:t>
      </w:r>
    </w:p>
    <w:p>
      <w:pPr>
        <w:spacing w:after="0" w:line="241" w:lineRule="exact"/>
        <w:rPr>
          <w:sz w:val="20"/>
          <w:szCs w:val="20"/>
          <w:color w:val="auto"/>
        </w:rPr>
      </w:pPr>
    </w:p>
    <w:p>
      <w:pPr>
        <w:ind w:right="220"/>
        <w:spacing w:after="0" w:line="266" w:lineRule="auto"/>
        <w:rPr>
          <w:sz w:val="20"/>
          <w:szCs w:val="20"/>
          <w:color w:val="auto"/>
        </w:rPr>
      </w:pPr>
      <w:r>
        <w:rPr>
          <w:rFonts w:ascii="Arial" w:cs="Arial" w:eastAsia="Arial" w:hAnsi="Arial"/>
          <w:sz w:val="17"/>
          <w:szCs w:val="17"/>
          <w:color w:val="auto"/>
        </w:rPr>
        <w:t>In addition to the CLOs that it manages, AFG had investments in CLOs that are managed by third parties (therefore not consolidated), which are included in available for sale fixed maturity securities and had a fair value of $1.69 billion at December 31, 2023 and $1.92 billion at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5" w:name="page116"/>
    <w:bookmarkEnd w:id="11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AMERICAN FINANCIAL GROUP,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NOTES TO CONSOLIDATED FINANCIAL STATEMENTS — CONTINUED</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397"/>
        </w:trPr>
        <w:tc>
          <w:tcPr>
            <w:tcW w:w="320" w:type="dxa"/>
            <w:vAlign w:val="bottom"/>
          </w:tcPr>
          <w:p>
            <w:pPr>
              <w:spacing w:after="0"/>
              <w:rPr>
                <w:sz w:val="20"/>
                <w:szCs w:val="20"/>
                <w:color w:val="auto"/>
              </w:rPr>
            </w:pPr>
            <w:r>
              <w:rPr>
                <w:rFonts w:ascii="Arial" w:cs="Arial" w:eastAsia="Arial" w:hAnsi="Arial"/>
                <w:sz w:val="29"/>
                <w:szCs w:val="29"/>
                <w:b w:val="1"/>
                <w:bCs w:val="1"/>
                <w:color w:val="00274E"/>
              </w:rPr>
              <w:t>I.</w:t>
            </w:r>
          </w:p>
        </w:tc>
        <w:tc>
          <w:tcPr>
            <w:tcW w:w="9080" w:type="dxa"/>
            <w:vAlign w:val="bottom"/>
          </w:tcPr>
          <w:p>
            <w:pPr>
              <w:ind w:left="160"/>
              <w:spacing w:after="0"/>
              <w:rPr>
                <w:sz w:val="20"/>
                <w:szCs w:val="20"/>
                <w:color w:val="auto"/>
              </w:rPr>
            </w:pPr>
            <w:r>
              <w:rPr>
                <w:rFonts w:ascii="Arial" w:cs="Arial" w:eastAsia="Arial" w:hAnsi="Arial"/>
                <w:sz w:val="29"/>
                <w:szCs w:val="29"/>
                <w:b w:val="1"/>
                <w:bCs w:val="1"/>
                <w:color w:val="00274E"/>
              </w:rPr>
              <w:t>Goodwill and Other Intangibles</w:t>
            </w: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34"/>
        </w:trPr>
        <w:tc>
          <w:tcPr>
            <w:tcW w:w="9400" w:type="dxa"/>
            <w:vAlign w:val="bottom"/>
            <w:gridSpan w:val="2"/>
          </w:tcPr>
          <w:p>
            <w:pPr>
              <w:spacing w:after="0"/>
              <w:rPr>
                <w:sz w:val="20"/>
                <w:szCs w:val="20"/>
                <w:color w:val="auto"/>
              </w:rPr>
            </w:pPr>
            <w:r>
              <w:rPr>
                <w:rFonts w:ascii="Arial" w:cs="Arial" w:eastAsia="Arial" w:hAnsi="Arial"/>
                <w:sz w:val="17"/>
                <w:szCs w:val="17"/>
                <w:color w:val="auto"/>
              </w:rPr>
              <w:t>Changes in the carrying value of goodwill during 2021, 2022 and 2023 are presented in the following table (in millions):</w:t>
            </w: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08"/>
        </w:trPr>
        <w:tc>
          <w:tcPr>
            <w:tcW w:w="9400" w:type="dxa"/>
            <w:vAlign w:val="bottom"/>
            <w:gridSpan w:val="2"/>
          </w:tcPr>
          <w:p>
            <w:pPr>
              <w:spacing w:after="0"/>
              <w:rPr>
                <w:sz w:val="9"/>
                <w:szCs w:val="9"/>
                <w:color w:val="auto"/>
              </w:rPr>
            </w:pPr>
          </w:p>
        </w:tc>
        <w:tc>
          <w:tcPr>
            <w:tcW w:w="800" w:type="dxa"/>
            <w:vAlign w:val="bottom"/>
          </w:tcPr>
          <w:p>
            <w:pPr>
              <w:spacing w:after="0"/>
              <w:rPr>
                <w:sz w:val="9"/>
                <w:szCs w:val="9"/>
                <w:color w:val="auto"/>
              </w:rPr>
            </w:pPr>
          </w:p>
        </w:tc>
        <w:tc>
          <w:tcPr>
            <w:tcW w:w="1040" w:type="dxa"/>
            <w:vAlign w:val="bottom"/>
          </w:tcPr>
          <w:p>
            <w:pPr>
              <w:spacing w:after="0"/>
              <w:rPr>
                <w:sz w:val="9"/>
                <w:szCs w:val="9"/>
                <w:color w:val="auto"/>
              </w:rPr>
            </w:pPr>
          </w:p>
        </w:tc>
      </w:tr>
      <w:tr>
        <w:trPr>
          <w:trHeight w:val="216"/>
        </w:trPr>
        <w:tc>
          <w:tcPr>
            <w:tcW w:w="9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at January 1, 2021</w:t>
            </w:r>
          </w:p>
        </w:tc>
        <w:tc>
          <w:tcPr>
            <w:tcW w:w="80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r>
      <w:tr>
        <w:trPr>
          <w:trHeight w:val="215"/>
        </w:trPr>
        <w:tc>
          <w:tcPr>
            <w:tcW w:w="94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Purchase of Verikai</w:t>
            </w:r>
          </w:p>
        </w:tc>
        <w:tc>
          <w:tcPr>
            <w:tcW w:w="8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r>
      <w:tr>
        <w:trPr>
          <w:trHeight w:val="210"/>
        </w:trPr>
        <w:tc>
          <w:tcPr>
            <w:tcW w:w="9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at December 31, 2021 and 2022</w:t>
            </w:r>
          </w:p>
        </w:tc>
        <w:tc>
          <w:tcPr>
            <w:tcW w:w="8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r>
      <w:tr>
        <w:trPr>
          <w:trHeight w:val="215"/>
        </w:trPr>
        <w:tc>
          <w:tcPr>
            <w:tcW w:w="9400" w:type="dxa"/>
            <w:vAlign w:val="bottom"/>
            <w:gridSpan w:val="2"/>
          </w:tcPr>
          <w:p>
            <w:pPr>
              <w:ind w:left="20"/>
              <w:spacing w:after="0"/>
              <w:rPr>
                <w:sz w:val="20"/>
                <w:szCs w:val="20"/>
                <w:color w:val="auto"/>
              </w:rPr>
            </w:pPr>
            <w:r>
              <w:rPr>
                <w:rFonts w:ascii="Arial" w:cs="Arial" w:eastAsia="Arial" w:hAnsi="Arial"/>
                <w:sz w:val="16"/>
                <w:szCs w:val="16"/>
                <w:color w:val="auto"/>
              </w:rPr>
              <w:t>Purchase of CRS</w:t>
            </w:r>
          </w:p>
        </w:tc>
        <w:tc>
          <w:tcPr>
            <w:tcW w:w="8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16"/>
        </w:trPr>
        <w:tc>
          <w:tcPr>
            <w:tcW w:w="9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Goodwill impairment charge related to investment in Verikai</w:t>
            </w:r>
          </w:p>
        </w:tc>
        <w:tc>
          <w:tcPr>
            <w:tcW w:w="8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10"/>
        </w:trPr>
        <w:tc>
          <w:tcPr>
            <w:tcW w:w="9400" w:type="dxa"/>
            <w:vAlign w:val="bottom"/>
            <w:gridSpan w:val="2"/>
          </w:tcPr>
          <w:p>
            <w:pPr>
              <w:ind w:left="20"/>
              <w:spacing w:after="0"/>
              <w:rPr>
                <w:sz w:val="20"/>
                <w:szCs w:val="20"/>
                <w:color w:val="auto"/>
              </w:rPr>
            </w:pPr>
            <w:r>
              <w:rPr>
                <w:rFonts w:ascii="Arial" w:cs="Arial" w:eastAsia="Arial" w:hAnsi="Arial"/>
                <w:sz w:val="16"/>
                <w:szCs w:val="16"/>
                <w:color w:val="auto"/>
              </w:rPr>
              <w:t>Balance at December 31, 2023</w:t>
            </w:r>
          </w:p>
        </w:tc>
        <w:tc>
          <w:tcPr>
            <w:tcW w:w="8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w:t>
            </w:r>
          </w:p>
        </w:tc>
      </w:tr>
      <w:tr>
        <w:trPr>
          <w:trHeight w:val="21"/>
        </w:trPr>
        <w:tc>
          <w:tcPr>
            <w:tcW w:w="3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240"/>
        <w:spacing w:after="0" w:line="261" w:lineRule="auto"/>
        <w:rPr>
          <w:sz w:val="20"/>
          <w:szCs w:val="20"/>
          <w:color w:val="auto"/>
        </w:rPr>
      </w:pPr>
      <w:r>
        <w:rPr>
          <w:rFonts w:ascii="Arial" w:cs="Arial" w:eastAsia="Arial" w:hAnsi="Arial"/>
          <w:sz w:val="17"/>
          <w:szCs w:val="17"/>
          <w:color w:val="auto"/>
        </w:rPr>
        <w:t xml:space="preserve">AFG recorded a goodwill impairment charge of $26 million in 2023 related to its investment in Verikai (included in the property and casualty insurance segment). The impairment indicator was slower than anticipated growth in the business supported by the Verikai technology relative to what was projected at acquisition. Management utilized the discounted cash flow method of the income approach to calculate the impairment charge. This charge and the impact of reducing the fair value of the contingent consideration related to the Verikai acquisition (see </w:t>
      </w:r>
      <w:r>
        <w:rPr>
          <w:rFonts w:ascii="Arial" w:cs="Arial" w:eastAsia="Arial" w:hAnsi="Arial"/>
          <w:sz w:val="17"/>
          <w:szCs w:val="17"/>
          <w:i w:val="1"/>
          <w:iCs w:val="1"/>
          <w:color w:val="auto"/>
        </w:rPr>
        <w:t>Note E — “Fair</w:t>
      </w:r>
      <w:r>
        <w:rPr>
          <w:rFonts w:ascii="Arial" w:cs="Arial" w:eastAsia="Arial" w:hAnsi="Arial"/>
          <w:sz w:val="17"/>
          <w:szCs w:val="17"/>
          <w:color w:val="auto"/>
        </w:rPr>
        <w:t xml:space="preserve"> </w:t>
      </w:r>
      <w:r>
        <w:rPr>
          <w:rFonts w:ascii="Arial" w:cs="Arial" w:eastAsia="Arial" w:hAnsi="Arial"/>
          <w:sz w:val="17"/>
          <w:szCs w:val="17"/>
          <w:i w:val="1"/>
          <w:iCs w:val="1"/>
          <w:color w:val="auto"/>
        </w:rPr>
        <w:t>Value Measurements”</w:t>
      </w:r>
      <w:r>
        <w:rPr>
          <w:rFonts w:ascii="Arial" w:cs="Arial" w:eastAsia="Arial" w:hAnsi="Arial"/>
          <w:sz w:val="17"/>
          <w:szCs w:val="17"/>
          <w:color w:val="auto"/>
        </w:rPr>
        <w:t>) are included in realized loss on subsidiaries in AFG’s Statement of Earnings.</w:t>
      </w:r>
    </w:p>
    <w:p>
      <w:pPr>
        <w:spacing w:after="0" w:line="206" w:lineRule="exact"/>
        <w:rPr>
          <w:sz w:val="20"/>
          <w:szCs w:val="20"/>
          <w:color w:val="auto"/>
        </w:rPr>
      </w:pPr>
    </w:p>
    <w:p>
      <w:pPr>
        <w:ind w:right="300"/>
        <w:spacing w:after="0" w:line="259" w:lineRule="auto"/>
        <w:rPr>
          <w:sz w:val="20"/>
          <w:szCs w:val="20"/>
          <w:color w:val="auto"/>
        </w:rPr>
      </w:pPr>
      <w:r>
        <w:rPr>
          <w:rFonts w:ascii="Arial" w:cs="Arial" w:eastAsia="Arial" w:hAnsi="Arial"/>
          <w:sz w:val="17"/>
          <w:szCs w:val="17"/>
          <w:color w:val="auto"/>
        </w:rPr>
        <w:t xml:space="preserve">Included in other assets in AFG’s Balance Sheet is $213 million at December 31, 2023 and $108 million at December 31, 2022 of amortizable intangible assets related to acquisitions. These amounts are net of accumulated amortization of $39 million and $24 million, respectively. Amortization of intangibles was $15 million in 2023, $11 million in 2022 and $6 million in 2021. The increase in amortizable intangible assets is a result of AFG’s acquisition of CRS in July 2023 and relates primarily to existing agency relationships (see </w:t>
      </w:r>
      <w:r>
        <w:rPr>
          <w:rFonts w:ascii="Arial" w:cs="Arial" w:eastAsia="Arial" w:hAnsi="Arial"/>
          <w:sz w:val="17"/>
          <w:szCs w:val="17"/>
          <w:i w:val="1"/>
          <w:iCs w:val="1"/>
          <w:color w:val="auto"/>
        </w:rPr>
        <w:t>Note C — “Acquisitions and Sale of</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Businesses”</w:t>
      </w:r>
      <w:r>
        <w:rPr>
          <w:rFonts w:ascii="Arial" w:cs="Arial" w:eastAsia="Arial" w:hAnsi="Arial"/>
          <w:sz w:val="17"/>
          <w:szCs w:val="17"/>
          <w:color w:val="auto"/>
        </w:rPr>
        <w:t>). Future amortization of intangibles (weighted average amortization period of 6 years is estimated to be $20 million per year in 2024,</w:t>
      </w:r>
      <w:r>
        <w:rPr>
          <w:rFonts w:ascii="Arial" w:cs="Arial" w:eastAsia="Arial" w:hAnsi="Arial"/>
          <w:sz w:val="17"/>
          <w:szCs w:val="17"/>
          <w:i w:val="1"/>
          <w:iCs w:val="1"/>
          <w:color w:val="auto"/>
        </w:rPr>
        <w:t xml:space="preserve"> </w:t>
      </w:r>
      <w:r>
        <w:rPr>
          <w:rFonts w:ascii="Arial" w:cs="Arial" w:eastAsia="Arial" w:hAnsi="Arial"/>
          <w:sz w:val="17"/>
          <w:szCs w:val="17"/>
          <w:color w:val="auto"/>
        </w:rPr>
        <w:t>$19 million in 2025 and 2026, $20 million in 2027, $17 million in 2028 and $118 million thereafter.</w:t>
      </w:r>
    </w:p>
    <w:p>
      <w:pPr>
        <w:spacing w:after="0" w:line="194" w:lineRule="exact"/>
        <w:rPr>
          <w:sz w:val="20"/>
          <w:szCs w:val="20"/>
          <w:color w:val="auto"/>
        </w:rPr>
      </w:pPr>
    </w:p>
    <w:p>
      <w:pPr>
        <w:ind w:left="560" w:hanging="552"/>
        <w:spacing w:after="0"/>
        <w:tabs>
          <w:tab w:leader="none" w:pos="560" w:val="left"/>
        </w:tabs>
        <w:numPr>
          <w:ilvl w:val="0"/>
          <w:numId w:val="60"/>
        </w:numPr>
        <w:rPr>
          <w:rFonts w:ascii="Arial" w:cs="Arial" w:eastAsia="Arial" w:hAnsi="Arial"/>
          <w:sz w:val="29"/>
          <w:szCs w:val="29"/>
          <w:b w:val="1"/>
          <w:bCs w:val="1"/>
          <w:color w:val="00274E"/>
        </w:rPr>
      </w:pPr>
      <w:r>
        <w:rPr>
          <w:rFonts w:ascii="Arial" w:cs="Arial" w:eastAsia="Arial" w:hAnsi="Arial"/>
          <w:sz w:val="29"/>
          <w:szCs w:val="29"/>
          <w:b w:val="1"/>
          <w:bCs w:val="1"/>
          <w:color w:val="00274E"/>
        </w:rPr>
        <w:t>Long-Term Debt</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Long-term debt consisted of the following at December 31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color w:val="auto"/>
              </w:rPr>
              <w:t>2022</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146"/>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center"/>
              <w:ind w:right="100"/>
              <w:spacing w:after="0" w:line="146" w:lineRule="exact"/>
              <w:rPr>
                <w:sz w:val="20"/>
                <w:szCs w:val="20"/>
                <w:color w:val="auto"/>
              </w:rPr>
            </w:pPr>
            <w:r>
              <w:rPr>
                <w:rFonts w:ascii="Arial" w:cs="Arial" w:eastAsia="Arial" w:hAnsi="Arial"/>
                <w:sz w:val="15"/>
                <w:szCs w:val="15"/>
                <w:color w:val="auto"/>
              </w:rPr>
              <w:t>Discount and</w:t>
            </w:r>
          </w:p>
        </w:tc>
        <w:tc>
          <w:tcPr>
            <w:tcW w:w="140" w:type="dxa"/>
            <w:vAlign w:val="bottom"/>
          </w:tcPr>
          <w:p>
            <w:pPr>
              <w:spacing w:after="0"/>
              <w:rPr>
                <w:sz w:val="12"/>
                <w:szCs w:val="12"/>
                <w:color w:val="auto"/>
              </w:rPr>
            </w:pPr>
          </w:p>
        </w:tc>
        <w:tc>
          <w:tcPr>
            <w:tcW w:w="760" w:type="dxa"/>
            <w:vAlign w:val="bottom"/>
          </w:tcPr>
          <w:p>
            <w:pPr>
              <w:jc w:val="center"/>
              <w:ind w:right="60"/>
              <w:spacing w:after="0" w:line="146" w:lineRule="exact"/>
              <w:rPr>
                <w:sz w:val="20"/>
                <w:szCs w:val="20"/>
                <w:color w:val="auto"/>
              </w:rPr>
            </w:pPr>
            <w:r>
              <w:rPr>
                <w:rFonts w:ascii="Arial" w:cs="Arial" w:eastAsia="Arial" w:hAnsi="Arial"/>
                <w:sz w:val="15"/>
                <w:szCs w:val="15"/>
                <w:color w:val="auto"/>
              </w:rPr>
              <w:t>Carrying</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100"/>
              <w:spacing w:after="0" w:line="146" w:lineRule="exact"/>
              <w:rPr>
                <w:sz w:val="20"/>
                <w:szCs w:val="20"/>
                <w:color w:val="auto"/>
              </w:rPr>
            </w:pPr>
            <w:r>
              <w:rPr>
                <w:rFonts w:ascii="Arial" w:cs="Arial" w:eastAsia="Arial" w:hAnsi="Arial"/>
                <w:sz w:val="15"/>
                <w:szCs w:val="15"/>
                <w:color w:val="auto"/>
              </w:rPr>
              <w:t>Discount and</w:t>
            </w:r>
          </w:p>
        </w:tc>
        <w:tc>
          <w:tcPr>
            <w:tcW w:w="140" w:type="dxa"/>
            <w:vAlign w:val="bottom"/>
          </w:tcPr>
          <w:p>
            <w:pPr>
              <w:spacing w:after="0"/>
              <w:rPr>
                <w:sz w:val="12"/>
                <w:szCs w:val="12"/>
                <w:color w:val="auto"/>
              </w:rPr>
            </w:pPr>
          </w:p>
        </w:tc>
        <w:tc>
          <w:tcPr>
            <w:tcW w:w="760" w:type="dxa"/>
            <w:vAlign w:val="bottom"/>
          </w:tcPr>
          <w:p>
            <w:pPr>
              <w:jc w:val="right"/>
              <w:ind w:right="80"/>
              <w:spacing w:after="0" w:line="146" w:lineRule="exact"/>
              <w:rPr>
                <w:sz w:val="20"/>
                <w:szCs w:val="20"/>
                <w:color w:val="auto"/>
              </w:rPr>
            </w:pPr>
            <w:r>
              <w:rPr>
                <w:rFonts w:ascii="Arial" w:cs="Arial" w:eastAsia="Arial" w:hAnsi="Arial"/>
                <w:sz w:val="15"/>
                <w:szCs w:val="15"/>
                <w:color w:val="auto"/>
              </w:rPr>
              <w:t>Carrying</w:t>
            </w:r>
          </w:p>
        </w:tc>
      </w:tr>
      <w:tr>
        <w:trPr>
          <w:trHeight w:val="213"/>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Arial" w:cs="Arial" w:eastAsia="Arial" w:hAnsi="Arial"/>
                <w:sz w:val="15"/>
                <w:szCs w:val="15"/>
                <w:color w:val="auto"/>
              </w:rPr>
              <w:t>Principal</w:t>
            </w:r>
          </w:p>
        </w:tc>
        <w:tc>
          <w:tcPr>
            <w:tcW w:w="1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5"/>
                <w:szCs w:val="15"/>
                <w:color w:val="auto"/>
              </w:rPr>
              <w:t>Issue Costs</w:t>
            </w:r>
          </w:p>
        </w:tc>
        <w:tc>
          <w:tcPr>
            <w:tcW w:w="140" w:type="dxa"/>
            <w:vAlign w:val="bottom"/>
          </w:tcPr>
          <w:p>
            <w:pPr>
              <w:spacing w:after="0"/>
              <w:rPr>
                <w:sz w:val="18"/>
                <w:szCs w:val="18"/>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5"/>
                <w:szCs w:val="15"/>
                <w:color w:val="auto"/>
                <w:w w:val="98"/>
              </w:rPr>
              <w:t>Value</w:t>
            </w:r>
          </w:p>
        </w:tc>
        <w:tc>
          <w:tcPr>
            <w:tcW w:w="14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Arial" w:cs="Arial" w:eastAsia="Arial" w:hAnsi="Arial"/>
                <w:sz w:val="15"/>
                <w:szCs w:val="15"/>
                <w:color w:val="auto"/>
              </w:rPr>
              <w:t>Principal</w:t>
            </w:r>
          </w:p>
        </w:tc>
        <w:tc>
          <w:tcPr>
            <w:tcW w:w="10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5"/>
                <w:szCs w:val="15"/>
                <w:color w:val="auto"/>
              </w:rPr>
              <w:t>Issue Costs</w:t>
            </w:r>
          </w:p>
        </w:tc>
        <w:tc>
          <w:tcPr>
            <w:tcW w:w="140" w:type="dxa"/>
            <w:vAlign w:val="bottom"/>
          </w:tcPr>
          <w:p>
            <w:pPr>
              <w:spacing w:after="0"/>
              <w:rPr>
                <w:sz w:val="18"/>
                <w:szCs w:val="18"/>
                <w:color w:val="auto"/>
              </w:rPr>
            </w:pPr>
          </w:p>
        </w:tc>
        <w:tc>
          <w:tcPr>
            <w:tcW w:w="760" w:type="dxa"/>
            <w:vAlign w:val="bottom"/>
          </w:tcPr>
          <w:p>
            <w:pPr>
              <w:jc w:val="right"/>
              <w:ind w:right="180"/>
              <w:spacing w:after="0"/>
              <w:rPr>
                <w:sz w:val="20"/>
                <w:szCs w:val="20"/>
                <w:color w:val="auto"/>
              </w:rPr>
            </w:pPr>
            <w:r>
              <w:rPr>
                <w:rFonts w:ascii="Arial" w:cs="Arial" w:eastAsia="Arial" w:hAnsi="Arial"/>
                <w:sz w:val="15"/>
                <w:szCs w:val="15"/>
                <w:color w:val="auto"/>
              </w:rPr>
              <w:t>Value</w:t>
            </w:r>
          </w:p>
        </w:tc>
      </w:tr>
      <w:tr>
        <w:trPr>
          <w:trHeight w:val="199"/>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Direct Senior Obligations of AFG:</w:t>
            </w: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r>
      <w:tr>
        <w:trPr>
          <w:trHeight w:val="215"/>
        </w:trPr>
        <w:tc>
          <w:tcPr>
            <w:tcW w:w="5160" w:type="dxa"/>
            <w:vAlign w:val="bottom"/>
          </w:tcPr>
          <w:p>
            <w:pPr>
              <w:ind w:left="220"/>
              <w:spacing w:after="0"/>
              <w:rPr>
                <w:sz w:val="20"/>
                <w:szCs w:val="20"/>
                <w:color w:val="auto"/>
              </w:rPr>
            </w:pPr>
            <w:r>
              <w:rPr>
                <w:rFonts w:ascii="Arial" w:cs="Arial" w:eastAsia="Arial" w:hAnsi="Arial"/>
                <w:sz w:val="16"/>
                <w:szCs w:val="16"/>
                <w:color w:val="auto"/>
              </w:rPr>
              <w:t>4.50% Senior Notes due June 2047</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567</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566</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582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581</w:t>
            </w:r>
          </w:p>
        </w:tc>
      </w:tr>
      <w:tr>
        <w:trPr>
          <w:trHeight w:val="217"/>
        </w:trPr>
        <w:tc>
          <w:tcPr>
            <w:tcW w:w="5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5.25% Senior Notes due April 2030</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r>
      <w:tr>
        <w:trPr>
          <w:trHeight w:val="215"/>
        </w:trPr>
        <w:tc>
          <w:tcPr>
            <w:tcW w:w="5160" w:type="dxa"/>
            <w:vAlign w:val="bottom"/>
          </w:tcPr>
          <w:p>
            <w:pPr>
              <w:ind w:left="22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9"/>
        </w:trPr>
        <w:tc>
          <w:tcPr>
            <w:tcW w:w="5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840</w:t>
            </w:r>
          </w:p>
        </w:tc>
      </w:tr>
      <w:tr>
        <w:trPr>
          <w:trHeight w:val="197"/>
        </w:trPr>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Direct Subordinated Obligations of AFG:</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5"/>
        </w:trPr>
        <w:tc>
          <w:tcPr>
            <w:tcW w:w="5160" w:type="dxa"/>
            <w:vAlign w:val="bottom"/>
          </w:tcPr>
          <w:p>
            <w:pPr>
              <w:ind w:left="220"/>
              <w:spacing w:after="0"/>
              <w:rPr>
                <w:sz w:val="20"/>
                <w:szCs w:val="20"/>
                <w:color w:val="auto"/>
              </w:rPr>
            </w:pPr>
            <w:r>
              <w:rPr>
                <w:rFonts w:ascii="Arial" w:cs="Arial" w:eastAsia="Arial" w:hAnsi="Arial"/>
                <w:sz w:val="16"/>
                <w:szCs w:val="16"/>
                <w:color w:val="auto"/>
              </w:rPr>
              <w:t>4.50% Subordinated Debentures due September 2060</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195</w:t>
            </w:r>
          </w:p>
        </w:tc>
      </w:tr>
      <w:tr>
        <w:trPr>
          <w:trHeight w:val="217"/>
        </w:trPr>
        <w:tc>
          <w:tcPr>
            <w:tcW w:w="5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5.125% Subordinated Debentures due December 2059</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r>
      <w:tr>
        <w:trPr>
          <w:trHeight w:val="215"/>
        </w:trPr>
        <w:tc>
          <w:tcPr>
            <w:tcW w:w="5160" w:type="dxa"/>
            <w:vAlign w:val="bottom"/>
          </w:tcPr>
          <w:p>
            <w:pPr>
              <w:ind w:left="220"/>
              <w:spacing w:after="0"/>
              <w:rPr>
                <w:sz w:val="20"/>
                <w:szCs w:val="20"/>
                <w:color w:val="auto"/>
              </w:rPr>
            </w:pPr>
            <w:r>
              <w:rPr>
                <w:rFonts w:ascii="Arial" w:cs="Arial" w:eastAsia="Arial" w:hAnsi="Arial"/>
                <w:sz w:val="16"/>
                <w:szCs w:val="16"/>
                <w:color w:val="auto"/>
              </w:rPr>
              <w:t>5.625% Subordinated Debentures due June 2060</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146</w:t>
            </w:r>
          </w:p>
        </w:tc>
      </w:tr>
      <w:tr>
        <w:trPr>
          <w:trHeight w:val="216"/>
        </w:trPr>
        <w:tc>
          <w:tcPr>
            <w:tcW w:w="5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5.875% Subordinated Debentures due March 2059</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w:t>
            </w:r>
          </w:p>
        </w:tc>
      </w:tr>
      <w:tr>
        <w:trPr>
          <w:trHeight w:val="210"/>
        </w:trPr>
        <w:tc>
          <w:tcPr>
            <w:tcW w:w="5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w:t>
            </w:r>
          </w:p>
        </w:tc>
      </w:tr>
      <w:tr>
        <w:trPr>
          <w:trHeight w:val="235"/>
        </w:trPr>
        <w:tc>
          <w:tcPr>
            <w:tcW w:w="5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1,496</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right="300"/>
        <w:spacing w:after="0" w:line="284" w:lineRule="auto"/>
        <w:rPr>
          <w:sz w:val="20"/>
          <w:szCs w:val="20"/>
          <w:color w:val="auto"/>
        </w:rPr>
      </w:pPr>
      <w:r>
        <w:rPr>
          <w:rFonts w:ascii="Arial" w:cs="Arial" w:eastAsia="Arial" w:hAnsi="Arial"/>
          <w:sz w:val="17"/>
          <w:szCs w:val="17"/>
          <w:color w:val="auto"/>
        </w:rPr>
        <w:t>At December 31, 2023, scheduled principal payments on debt for the subsequent five years and thereafter are as follows: 2024 — none; 2025 — none; 2026 — none; 2027 — none; 2028 — none and thereafter — $1.50 billion.</w:t>
      </w:r>
    </w:p>
    <w:p>
      <w:pPr>
        <w:spacing w:after="0" w:line="199" w:lineRule="exact"/>
        <w:rPr>
          <w:sz w:val="20"/>
          <w:szCs w:val="20"/>
          <w:color w:val="auto"/>
        </w:rPr>
      </w:pPr>
    </w:p>
    <w:p>
      <w:pPr>
        <w:ind w:right="460"/>
        <w:spacing w:after="0" w:line="284" w:lineRule="auto"/>
        <w:rPr>
          <w:sz w:val="20"/>
          <w:szCs w:val="20"/>
          <w:color w:val="auto"/>
        </w:rPr>
      </w:pPr>
      <w:r>
        <w:rPr>
          <w:rFonts w:ascii="Arial" w:cs="Arial" w:eastAsia="Arial" w:hAnsi="Arial"/>
          <w:sz w:val="17"/>
          <w:szCs w:val="17"/>
          <w:color w:val="auto"/>
        </w:rPr>
        <w:t>During 2023, AFG repurchased $15 million principal amount of its 4.50% Senior Notes due in June 2047 for $13 million and $8 million principal amount of its 5.25% Senior Notes due in April 2030 for $8 million in open market transactions.</w:t>
      </w:r>
    </w:p>
    <w:p>
      <w:pPr>
        <w:spacing w:after="0" w:line="185" w:lineRule="exact"/>
        <w:rPr>
          <w:sz w:val="20"/>
          <w:szCs w:val="20"/>
          <w:color w:val="auto"/>
        </w:rPr>
      </w:pPr>
    </w:p>
    <w:p>
      <w:pPr>
        <w:ind w:right="580"/>
        <w:spacing w:after="0" w:line="284" w:lineRule="auto"/>
        <w:rPr>
          <w:sz w:val="20"/>
          <w:szCs w:val="20"/>
          <w:color w:val="auto"/>
        </w:rPr>
      </w:pPr>
      <w:r>
        <w:rPr>
          <w:rFonts w:ascii="Arial" w:cs="Arial" w:eastAsia="Arial" w:hAnsi="Arial"/>
          <w:sz w:val="17"/>
          <w:szCs w:val="17"/>
          <w:color w:val="auto"/>
        </w:rPr>
        <w:t>During 2022, AFG repurchased $49 million principal amount of its 3.50% Senior Notes due in August 2026 for $51 million, $8 million principal amount of its 4.50% Senior Notes due in June 2047 for $6 million and $39 million principal amount of</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16" w:name="page117"/>
    <w:bookmarkEnd w:id="11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AMERICAN FINANCIAL GROUP,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NOTES TO CONSOLIDATED FINANCIAL STATEMENTS — CONTINUED</w:t>
      </w:r>
    </w:p>
    <w:p>
      <w:pPr>
        <w:spacing w:after="0" w:line="200" w:lineRule="exact"/>
        <w:rPr>
          <w:sz w:val="20"/>
          <w:szCs w:val="20"/>
          <w:color w:val="auto"/>
        </w:rPr>
      </w:pPr>
    </w:p>
    <w:p>
      <w:pPr>
        <w:spacing w:after="0" w:line="240" w:lineRule="exact"/>
        <w:rPr>
          <w:sz w:val="20"/>
          <w:szCs w:val="20"/>
          <w:color w:val="auto"/>
        </w:rPr>
      </w:pPr>
    </w:p>
    <w:p>
      <w:pPr>
        <w:ind w:right="320"/>
        <w:spacing w:after="0" w:line="284" w:lineRule="auto"/>
        <w:rPr>
          <w:sz w:val="20"/>
          <w:szCs w:val="20"/>
          <w:color w:val="auto"/>
        </w:rPr>
      </w:pPr>
      <w:r>
        <w:rPr>
          <w:rFonts w:ascii="Arial" w:cs="Arial" w:eastAsia="Arial" w:hAnsi="Arial"/>
          <w:sz w:val="17"/>
          <w:szCs w:val="17"/>
          <w:color w:val="auto"/>
        </w:rPr>
        <w:t>its 5.25% Senior Notes due in April 2030 for $38 million in open market transactions. In June 2022, AFG redeemed the remaining $376 million of outstanding 3.50% Senior Notes due August 2026 for $382 million (including a $6 million make-whole call premium).</w:t>
      </w:r>
    </w:p>
    <w:p>
      <w:pPr>
        <w:spacing w:after="0" w:line="185"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In June 2023, AFG replaced its existing credit facility with a new five-year, $450 million revolving credit facility which expires in June 2028. Amounts borrowed under this agreement bear interest at rates ranging from 1.00% to 1.75% (based on AFG’s credit rating, currently 1.25%) over a SOFR-based floating rate. No amounts were borrowed under this facility at December 31, 2023 or under AFG’s previous credit facility at December 31, 2022.</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Cash interest payments on long-term debt were $74 million in 2023, $89 million in 2022 and $92 million in 2021.</w:t>
      </w:r>
    </w:p>
    <w:p>
      <w:pPr>
        <w:spacing w:after="0" w:line="238" w:lineRule="exact"/>
        <w:rPr>
          <w:sz w:val="20"/>
          <w:szCs w:val="20"/>
          <w:color w:val="auto"/>
        </w:rPr>
      </w:pPr>
    </w:p>
    <w:p>
      <w:pPr>
        <w:ind w:left="620" w:hanging="612"/>
        <w:spacing w:after="0"/>
        <w:tabs>
          <w:tab w:leader="none" w:pos="620" w:val="left"/>
        </w:tabs>
        <w:numPr>
          <w:ilvl w:val="0"/>
          <w:numId w:val="61"/>
        </w:numPr>
        <w:rPr>
          <w:rFonts w:ascii="Arial" w:cs="Arial" w:eastAsia="Arial" w:hAnsi="Arial"/>
          <w:sz w:val="29"/>
          <w:szCs w:val="29"/>
          <w:b w:val="1"/>
          <w:bCs w:val="1"/>
          <w:color w:val="00274E"/>
        </w:rPr>
      </w:pPr>
      <w:r>
        <w:rPr>
          <w:rFonts w:ascii="Arial" w:cs="Arial" w:eastAsia="Arial" w:hAnsi="Arial"/>
          <w:sz w:val="29"/>
          <w:szCs w:val="29"/>
          <w:b w:val="1"/>
          <w:bCs w:val="1"/>
          <w:color w:val="00274E"/>
        </w:rPr>
        <w:t>Leases</w:t>
      </w:r>
    </w:p>
    <w:p>
      <w:pPr>
        <w:spacing w:after="0" w:line="272"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AFG and its subsidiaries lease real estate that is primarily used for office space and, to a lesser extent, equipment under operating lease arrangements. Most of AFG’s real estate leases include an option to extend or renew the lease term at AFG’s option. The operating lease liability includes lease payments related to options to extend or renew the lease term if AFG is reasonably certain of exercising those options. Lease payments are discounted using the implicit discount rate in the lease. If the implicit discount rate for the lease cannot be readily determined, AFG uses an estimate of its incremental secured borrowing rate. AFG did not have any material contracts accounted for as finance or short-term leases at December 31, 2023 or December 31, 2022.</w:t>
      </w:r>
    </w:p>
    <w:p>
      <w:pPr>
        <w:spacing w:after="0" w:line="206"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AFG’s operating lease right-of-use asset and operating lease liability are included in other assets and other liabilities, respectively, in AFG’s Balance Sheet at December 31 and are presented in the following table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8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121"/>
              <w:spacing w:after="0"/>
              <w:rPr>
                <w:sz w:val="20"/>
                <w:szCs w:val="20"/>
                <w:color w:val="auto"/>
              </w:rPr>
            </w:pPr>
            <w:r>
              <w:rPr>
                <w:rFonts w:ascii="Arial" w:cs="Arial" w:eastAsia="Arial" w:hAnsi="Arial"/>
                <w:sz w:val="15"/>
                <w:szCs w:val="15"/>
                <w:color w:val="auto"/>
              </w:rPr>
              <w:t>2023</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61"/>
              <w:spacing w:after="0"/>
              <w:rPr>
                <w:sz w:val="20"/>
                <w:szCs w:val="20"/>
                <w:color w:val="auto"/>
              </w:rPr>
            </w:pPr>
            <w:r>
              <w:rPr>
                <w:rFonts w:ascii="Arial" w:cs="Arial" w:eastAsia="Arial" w:hAnsi="Arial"/>
                <w:sz w:val="15"/>
                <w:szCs w:val="15"/>
                <w:color w:val="auto"/>
              </w:rPr>
              <w:t>2022</w:t>
            </w:r>
          </w:p>
        </w:tc>
      </w:tr>
      <w:tr>
        <w:trPr>
          <w:trHeight w:val="212"/>
        </w:trPr>
        <w:tc>
          <w:tcPr>
            <w:tcW w:w="7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Right-of-use asset</w:t>
            </w:r>
          </w:p>
        </w:tc>
        <w:tc>
          <w:tcPr>
            <w:tcW w:w="1280" w:type="dxa"/>
            <w:vAlign w:val="bottom"/>
            <w:shd w:val="clear" w:color="auto" w:fill="CCEEFF"/>
          </w:tcPr>
          <w:p>
            <w:pPr>
              <w:jc w:val="right"/>
              <w:ind w:right="1101"/>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103</w:t>
            </w:r>
          </w:p>
        </w:tc>
      </w:tr>
      <w:tr>
        <w:trPr>
          <w:trHeight w:val="215"/>
        </w:trPr>
        <w:tc>
          <w:tcPr>
            <w:tcW w:w="7480" w:type="dxa"/>
            <w:vAlign w:val="bottom"/>
          </w:tcPr>
          <w:p>
            <w:pPr>
              <w:ind w:left="180"/>
              <w:spacing w:after="0"/>
              <w:rPr>
                <w:sz w:val="20"/>
                <w:szCs w:val="20"/>
                <w:color w:val="auto"/>
              </w:rPr>
            </w:pPr>
            <w:r>
              <w:rPr>
                <w:rFonts w:ascii="Arial" w:cs="Arial" w:eastAsia="Arial" w:hAnsi="Arial"/>
                <w:sz w:val="16"/>
                <w:szCs w:val="16"/>
                <w:color w:val="auto"/>
              </w:rPr>
              <w:t>Lease liability</w:t>
            </w:r>
          </w:p>
        </w:tc>
        <w:tc>
          <w:tcPr>
            <w:tcW w:w="1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116</w:t>
            </w:r>
          </w:p>
        </w:tc>
      </w:tr>
    </w:tbl>
    <w:p>
      <w:pPr>
        <w:spacing w:after="0" w:line="317"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The increase in the lease liability and right-of-use asset in 2023 is due primarily to the renewal of AFG’s largest office lease in the second quarter of 2023, which extended the term for an additional 10 years.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AFG’s lease activity for the years ended December 31, 2023, 2022 and 2021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5"/>
                <w:szCs w:val="15"/>
                <w:color w:val="auto"/>
              </w:rPr>
              <w:t>2023</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5"/>
                <w:szCs w:val="15"/>
                <w:color w:val="auto"/>
              </w:rPr>
              <w:t>2022</w:t>
            </w: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5"/>
                <w:szCs w:val="15"/>
                <w:color w:val="auto"/>
              </w:rPr>
              <w:t>2021</w:t>
            </w:r>
          </w:p>
        </w:tc>
      </w:tr>
      <w:tr>
        <w:trPr>
          <w:trHeight w:val="213"/>
        </w:trPr>
        <w:tc>
          <w:tcPr>
            <w:tcW w:w="7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lease expense included in other expenses</w:t>
            </w:r>
          </w:p>
        </w:tc>
        <w:tc>
          <w:tcPr>
            <w:tcW w:w="880" w:type="dxa"/>
            <w:vAlign w:val="bottom"/>
            <w:shd w:val="clear" w:color="auto" w:fill="CCEEFF"/>
          </w:tcPr>
          <w:p>
            <w:pPr>
              <w:jc w:val="right"/>
              <w:ind w:right="681"/>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1"/>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15"/>
        </w:trPr>
        <w:tc>
          <w:tcPr>
            <w:tcW w:w="7400" w:type="dxa"/>
            <w:vAlign w:val="bottom"/>
          </w:tcPr>
          <w:p>
            <w:pPr>
              <w:ind w:left="180"/>
              <w:spacing w:after="0"/>
              <w:rPr>
                <w:sz w:val="20"/>
                <w:szCs w:val="20"/>
                <w:color w:val="auto"/>
              </w:rPr>
            </w:pPr>
            <w:r>
              <w:rPr>
                <w:rFonts w:ascii="Arial" w:cs="Arial" w:eastAsia="Arial" w:hAnsi="Arial"/>
                <w:sz w:val="16"/>
                <w:szCs w:val="16"/>
                <w:color w:val="auto"/>
              </w:rPr>
              <w:t>Sublease income (*)</w:t>
            </w:r>
          </w:p>
        </w:tc>
        <w:tc>
          <w:tcPr>
            <w:tcW w:w="88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35"/>
        </w:trPr>
        <w:tc>
          <w:tcPr>
            <w:tcW w:w="74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lease expense, net of sublease income</w:t>
            </w:r>
          </w:p>
        </w:tc>
        <w:tc>
          <w:tcPr>
            <w:tcW w:w="880" w:type="dxa"/>
            <w:vAlign w:val="bottom"/>
            <w:tcBorders>
              <w:top w:val="single" w:sz="8" w:color="auto"/>
              <w:bottom w:val="single" w:sz="8" w:color="auto"/>
            </w:tcBorders>
            <w:shd w:val="clear" w:color="auto" w:fill="CCEEFF"/>
          </w:tcPr>
          <w:p>
            <w:pPr>
              <w:jc w:val="right"/>
              <w:ind w:right="681"/>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ind w:right="681"/>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400" w:hanging="392"/>
        <w:spacing w:after="0"/>
        <w:tabs>
          <w:tab w:leader="none" w:pos="4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Sublease income consisted of rent from third parties of office space and is included in other income in AFG’s Statement of Earnings.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Other operating lease information for the years ended December 31, 2023, 2022 and 2021 (in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2023</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5"/>
                <w:szCs w:val="15"/>
                <w:color w:val="auto"/>
              </w:rPr>
              <w:t>2022</w:t>
            </w: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5"/>
                <w:szCs w:val="15"/>
                <w:color w:val="auto"/>
              </w:rPr>
              <w:t>2021</w:t>
            </w:r>
          </w:p>
        </w:tc>
      </w:tr>
      <w:tr>
        <w:trPr>
          <w:trHeight w:val="213"/>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lease liabilities reported in operating cash flows</w:t>
            </w:r>
          </w:p>
        </w:tc>
        <w:tc>
          <w:tcPr>
            <w:tcW w:w="840" w:type="dxa"/>
            <w:vAlign w:val="bottom"/>
            <w:shd w:val="clear" w:color="auto" w:fill="CCEEFF"/>
          </w:tcPr>
          <w:p>
            <w:pPr>
              <w:jc w:val="right"/>
              <w:ind w:right="641"/>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1"/>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Right-of-use assets obtained under new leases</w:t>
            </w: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7" w:name="page118"/>
    <w:bookmarkEnd w:id="11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AMERICAN FINANCIAL GROUP,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NOTES TO CONSOLIDATED FINANCIAL STATEMENTS — CONTINUED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undiscounted contractual maturities of AFG’s operating lease liability at December 31, 2023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payments:</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5"/>
        </w:trPr>
        <w:tc>
          <w:tcPr>
            <w:tcW w:w="9400" w:type="dxa"/>
            <w:vAlign w:val="bottom"/>
          </w:tcPr>
          <w:p>
            <w:pPr>
              <w:ind w:left="260"/>
              <w:spacing w:after="0"/>
              <w:rPr>
                <w:sz w:val="20"/>
                <w:szCs w:val="20"/>
                <w:color w:val="auto"/>
              </w:rPr>
            </w:pPr>
            <w:r>
              <w:rPr>
                <w:rFonts w:ascii="Arial" w:cs="Arial" w:eastAsia="Arial" w:hAnsi="Arial"/>
                <w:sz w:val="16"/>
                <w:szCs w:val="16"/>
                <w:color w:val="auto"/>
              </w:rPr>
              <w:t>2024</w:t>
            </w: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17"/>
        </w:trPr>
        <w:tc>
          <w:tcPr>
            <w:tcW w:w="94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2025</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5"/>
        </w:trPr>
        <w:tc>
          <w:tcPr>
            <w:tcW w:w="9400" w:type="dxa"/>
            <w:vAlign w:val="bottom"/>
          </w:tcPr>
          <w:p>
            <w:pPr>
              <w:ind w:left="260"/>
              <w:spacing w:after="0"/>
              <w:rPr>
                <w:sz w:val="20"/>
                <w:szCs w:val="20"/>
                <w:color w:val="auto"/>
              </w:rPr>
            </w:pPr>
            <w:r>
              <w:rPr>
                <w:rFonts w:ascii="Arial" w:cs="Arial" w:eastAsia="Arial" w:hAnsi="Arial"/>
                <w:sz w:val="16"/>
                <w:szCs w:val="16"/>
                <w:color w:val="auto"/>
              </w:rPr>
              <w:t>2026</w:t>
            </w:r>
          </w:p>
        </w:tc>
        <w:tc>
          <w:tcPr>
            <w:tcW w:w="5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7"/>
        </w:trPr>
        <w:tc>
          <w:tcPr>
            <w:tcW w:w="94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2027</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15"/>
        </w:trPr>
        <w:tc>
          <w:tcPr>
            <w:tcW w:w="9400" w:type="dxa"/>
            <w:vAlign w:val="bottom"/>
          </w:tcPr>
          <w:p>
            <w:pPr>
              <w:ind w:left="260"/>
              <w:spacing w:after="0"/>
              <w:rPr>
                <w:sz w:val="20"/>
                <w:szCs w:val="20"/>
                <w:color w:val="auto"/>
              </w:rPr>
            </w:pPr>
            <w:r>
              <w:rPr>
                <w:rFonts w:ascii="Arial" w:cs="Arial" w:eastAsia="Arial" w:hAnsi="Arial"/>
                <w:sz w:val="16"/>
                <w:szCs w:val="16"/>
                <w:color w:val="auto"/>
              </w:rPr>
              <w:t>2028</w:t>
            </w:r>
          </w:p>
        </w:tc>
        <w:tc>
          <w:tcPr>
            <w:tcW w:w="5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7"/>
        </w:trPr>
        <w:tc>
          <w:tcPr>
            <w:tcW w:w="94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Thereafter</w:t>
            </w:r>
          </w:p>
        </w:tc>
        <w:tc>
          <w:tcPr>
            <w:tcW w:w="5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09"/>
        </w:trPr>
        <w:tc>
          <w:tcPr>
            <w:tcW w:w="9400" w:type="dxa"/>
            <w:vAlign w:val="bottom"/>
          </w:tcPr>
          <w:p>
            <w:pPr>
              <w:ind w:left="680"/>
              <w:spacing w:after="0"/>
              <w:rPr>
                <w:sz w:val="20"/>
                <w:szCs w:val="20"/>
                <w:color w:val="auto"/>
              </w:rPr>
            </w:pPr>
            <w:r>
              <w:rPr>
                <w:rFonts w:ascii="Arial" w:cs="Arial" w:eastAsia="Arial" w:hAnsi="Arial"/>
                <w:sz w:val="16"/>
                <w:szCs w:val="16"/>
                <w:color w:val="auto"/>
              </w:rPr>
              <w:t>Total lease payments</w:t>
            </w:r>
          </w:p>
        </w:tc>
        <w:tc>
          <w:tcPr>
            <w:tcW w:w="5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287</w:t>
            </w:r>
          </w:p>
        </w:tc>
      </w:tr>
      <w:tr>
        <w:trPr>
          <w:trHeight w:val="216"/>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Impact of discounting</w:t>
            </w:r>
          </w:p>
        </w:tc>
        <w:tc>
          <w:tcPr>
            <w:tcW w:w="5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10"/>
        </w:trPr>
        <w:tc>
          <w:tcPr>
            <w:tcW w:w="9400" w:type="dxa"/>
            <w:vAlign w:val="bottom"/>
          </w:tcPr>
          <w:p>
            <w:pPr>
              <w:ind w:left="20"/>
              <w:spacing w:after="0"/>
              <w:rPr>
                <w:sz w:val="20"/>
                <w:szCs w:val="20"/>
                <w:color w:val="auto"/>
              </w:rPr>
            </w:pPr>
            <w:r>
              <w:rPr>
                <w:rFonts w:ascii="Arial" w:cs="Arial" w:eastAsia="Arial" w:hAnsi="Arial"/>
                <w:sz w:val="16"/>
                <w:szCs w:val="16"/>
                <w:color w:val="auto"/>
              </w:rPr>
              <w:t>Operating lease liability</w:t>
            </w:r>
          </w:p>
        </w:tc>
        <w:tc>
          <w:tcPr>
            <w:tcW w:w="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r>
      <w:tr>
        <w:trPr>
          <w:trHeight w:val="21"/>
        </w:trPr>
        <w:tc>
          <w:tcPr>
            <w:tcW w:w="9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15"/>
        </w:trPr>
        <w:tc>
          <w:tcPr>
            <w:tcW w:w="9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216"/>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remaining lease term</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 years</w:t>
            </w:r>
          </w:p>
        </w:tc>
      </w:tr>
      <w:tr>
        <w:trPr>
          <w:trHeight w:val="215"/>
        </w:trPr>
        <w:tc>
          <w:tcPr>
            <w:tcW w:w="9400" w:type="dxa"/>
            <w:vAlign w:val="bottom"/>
          </w:tcPr>
          <w:p>
            <w:pPr>
              <w:ind w:left="20"/>
              <w:spacing w:after="0"/>
              <w:rPr>
                <w:sz w:val="20"/>
                <w:szCs w:val="20"/>
                <w:color w:val="auto"/>
              </w:rPr>
            </w:pPr>
            <w:r>
              <w:rPr>
                <w:rFonts w:ascii="Arial" w:cs="Arial" w:eastAsia="Arial" w:hAnsi="Arial"/>
                <w:sz w:val="16"/>
                <w:szCs w:val="16"/>
                <w:color w:val="auto"/>
              </w:rPr>
              <w:t>Weighted-average discount rate</w:t>
            </w:r>
          </w:p>
        </w:tc>
        <w:tc>
          <w:tcPr>
            <w:tcW w:w="5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5.1 %</w:t>
            </w:r>
          </w:p>
        </w:tc>
      </w:tr>
    </w:tbl>
    <w:p>
      <w:pPr>
        <w:spacing w:after="0" w:line="291" w:lineRule="exact"/>
        <w:rPr>
          <w:sz w:val="20"/>
          <w:szCs w:val="20"/>
          <w:color w:val="auto"/>
        </w:rPr>
      </w:pPr>
    </w:p>
    <w:p>
      <w:pPr>
        <w:ind w:left="580" w:hanging="572"/>
        <w:spacing w:after="0"/>
        <w:tabs>
          <w:tab w:leader="none" w:pos="580" w:val="left"/>
        </w:tabs>
        <w:numPr>
          <w:ilvl w:val="0"/>
          <w:numId w:val="63"/>
        </w:numPr>
        <w:rPr>
          <w:rFonts w:ascii="Arial" w:cs="Arial" w:eastAsia="Arial" w:hAnsi="Arial"/>
          <w:sz w:val="29"/>
          <w:szCs w:val="29"/>
          <w:b w:val="1"/>
          <w:bCs w:val="1"/>
          <w:color w:val="00274E"/>
        </w:rPr>
      </w:pPr>
      <w:r>
        <w:rPr>
          <w:rFonts w:ascii="Arial" w:cs="Arial" w:eastAsia="Arial" w:hAnsi="Arial"/>
          <w:sz w:val="29"/>
          <w:szCs w:val="29"/>
          <w:b w:val="1"/>
          <w:bCs w:val="1"/>
          <w:color w:val="00274E"/>
        </w:rPr>
        <w:t>Shareholders’ Equity</w:t>
      </w:r>
    </w:p>
    <w:p>
      <w:pPr>
        <w:spacing w:after="0" w:line="272" w:lineRule="exact"/>
        <w:rPr>
          <w:sz w:val="20"/>
          <w:szCs w:val="20"/>
          <w:color w:val="auto"/>
        </w:rPr>
      </w:pPr>
    </w:p>
    <w:p>
      <w:pPr>
        <w:ind w:right="420"/>
        <w:spacing w:after="0" w:line="284" w:lineRule="auto"/>
        <w:rPr>
          <w:sz w:val="20"/>
          <w:szCs w:val="20"/>
          <w:color w:val="auto"/>
        </w:rPr>
      </w:pPr>
      <w:r>
        <w:rPr>
          <w:rFonts w:ascii="Arial" w:cs="Arial" w:eastAsia="Arial" w:hAnsi="Arial"/>
          <w:sz w:val="17"/>
          <w:szCs w:val="17"/>
          <w:color w:val="auto"/>
        </w:rPr>
        <w:t>AFG is authorized to issue 12.5 million shares of Voting Preferred Stock and 12.5 million shares of Nonvoting Preferred Stock, each without par value.</w:t>
      </w:r>
    </w:p>
    <w:p>
      <w:pPr>
        <w:spacing w:after="0" w:line="184" w:lineRule="exact"/>
        <w:rPr>
          <w:sz w:val="20"/>
          <w:szCs w:val="20"/>
          <w:color w:val="auto"/>
        </w:rPr>
      </w:pPr>
    </w:p>
    <w:p>
      <w:pPr>
        <w:jc w:val="both"/>
        <w:ind w:right="140"/>
        <w:spacing w:after="0" w:line="249" w:lineRule="auto"/>
        <w:rPr>
          <w:sz w:val="20"/>
          <w:szCs w:val="20"/>
          <w:color w:val="auto"/>
        </w:rPr>
      </w:pPr>
      <w:r>
        <w:rPr>
          <w:rFonts w:ascii="Arial" w:cs="Arial" w:eastAsia="Arial" w:hAnsi="Arial"/>
          <w:sz w:val="20"/>
          <w:szCs w:val="20"/>
          <w:b w:val="1"/>
          <w:bCs w:val="1"/>
          <w:color w:val="00274E"/>
        </w:rPr>
        <w:t xml:space="preserve">Stock Incentive Plans </w:t>
      </w:r>
      <w:r>
        <w:rPr>
          <w:rFonts w:ascii="Arial" w:cs="Arial" w:eastAsia="Arial" w:hAnsi="Arial"/>
          <w:sz w:val="17"/>
          <w:szCs w:val="17"/>
          <w:color w:val="000000"/>
        </w:rPr>
        <w:t>Under AFG’s stock incentive plans, employees of AFG and its subsidiaries are eligible to receive equity awards in the</w:t>
      </w:r>
      <w:r>
        <w:rPr>
          <w:rFonts w:ascii="Arial" w:cs="Arial" w:eastAsia="Arial" w:hAnsi="Arial"/>
          <w:sz w:val="20"/>
          <w:szCs w:val="20"/>
          <w:b w:val="1"/>
          <w:bCs w:val="1"/>
          <w:color w:val="00274E"/>
        </w:rPr>
        <w:t xml:space="preserve"> </w:t>
      </w:r>
      <w:r>
        <w:rPr>
          <w:rFonts w:ascii="Arial" w:cs="Arial" w:eastAsia="Arial" w:hAnsi="Arial"/>
          <w:sz w:val="17"/>
          <w:szCs w:val="17"/>
          <w:color w:val="000000"/>
        </w:rPr>
        <w:t>form of stock options, stock appreciation rights, restricted stock awards, restricted stock units and stock awards. At December 31, 2023, there were 2.1 million shares of AFG Common Stock reserved for issuance under AFG’s stock incentive plans.</w:t>
      </w:r>
    </w:p>
    <w:p>
      <w:pPr>
        <w:spacing w:after="0" w:line="212"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The restricted Common Stock that AFG has granted generally vests over a four-year period. Data relating to grants of restricted stock is presented below:</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102"/>
              <w:spacing w:after="0"/>
              <w:rPr>
                <w:sz w:val="20"/>
                <w:szCs w:val="20"/>
                <w:color w:val="auto"/>
              </w:rPr>
            </w:pPr>
            <w:r>
              <w:rPr>
                <w:rFonts w:ascii="Arial" w:cs="Arial" w:eastAsia="Arial" w:hAnsi="Arial"/>
                <w:sz w:val="14"/>
                <w:szCs w:val="14"/>
                <w:color w:val="auto"/>
              </w:rPr>
              <w:t>Average</w:t>
            </w:r>
          </w:p>
        </w:tc>
        <w:tc>
          <w:tcPr>
            <w:tcW w:w="0" w:type="dxa"/>
            <w:vAlign w:val="bottom"/>
          </w:tcPr>
          <w:p>
            <w:pPr>
              <w:spacing w:after="0"/>
              <w:rPr>
                <w:sz w:val="1"/>
                <w:szCs w:val="1"/>
                <w:color w:val="auto"/>
              </w:rPr>
            </w:pPr>
          </w:p>
        </w:tc>
      </w:tr>
      <w:tr>
        <w:trPr>
          <w:trHeight w:val="144"/>
        </w:trPr>
        <w:tc>
          <w:tcPr>
            <w:tcW w:w="8720" w:type="dxa"/>
            <w:vAlign w:val="bottom"/>
          </w:tcPr>
          <w:p>
            <w:pPr>
              <w:spacing w:after="0"/>
              <w:rPr>
                <w:sz w:val="12"/>
                <w:szCs w:val="12"/>
                <w:color w:val="auto"/>
              </w:rPr>
            </w:pPr>
          </w:p>
        </w:tc>
        <w:tc>
          <w:tcPr>
            <w:tcW w:w="1220" w:type="dxa"/>
            <w:vAlign w:val="bottom"/>
            <w:vMerge w:val="restart"/>
          </w:tcPr>
          <w:p>
            <w:pPr>
              <w:jc w:val="right"/>
              <w:ind w:right="301"/>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102"/>
              <w:spacing w:after="0" w:line="145" w:lineRule="exact"/>
              <w:rPr>
                <w:sz w:val="20"/>
                <w:szCs w:val="20"/>
                <w:color w:val="auto"/>
              </w:rPr>
            </w:pPr>
            <w:r>
              <w:rPr>
                <w:rFonts w:ascii="Arial" w:cs="Arial" w:eastAsia="Arial" w:hAnsi="Arial"/>
                <w:sz w:val="14"/>
                <w:szCs w:val="14"/>
                <w:color w:val="auto"/>
              </w:rPr>
              <w:t>Grant Date</w:t>
            </w:r>
          </w:p>
        </w:tc>
        <w:tc>
          <w:tcPr>
            <w:tcW w:w="0" w:type="dxa"/>
            <w:vAlign w:val="bottom"/>
          </w:tcPr>
          <w:p>
            <w:pPr>
              <w:spacing w:after="0"/>
              <w:rPr>
                <w:sz w:val="1"/>
                <w:szCs w:val="1"/>
                <w:color w:val="auto"/>
              </w:rPr>
            </w:pPr>
          </w:p>
        </w:tc>
      </w:tr>
      <w:tr>
        <w:trPr>
          <w:trHeight w:val="189"/>
        </w:trPr>
        <w:tc>
          <w:tcPr>
            <w:tcW w:w="87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210"/>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January 1, 2023</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615,867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111.97</w:t>
            </w:r>
          </w:p>
        </w:tc>
        <w:tc>
          <w:tcPr>
            <w:tcW w:w="0" w:type="dxa"/>
            <w:vAlign w:val="bottom"/>
          </w:tcPr>
          <w:p>
            <w:pPr>
              <w:spacing w:after="0"/>
              <w:rPr>
                <w:sz w:val="1"/>
                <w:szCs w:val="1"/>
                <w:color w:val="auto"/>
              </w:rPr>
            </w:pPr>
          </w:p>
        </w:tc>
      </w:tr>
      <w:tr>
        <w:trPr>
          <w:trHeight w:val="215"/>
        </w:trPr>
        <w:tc>
          <w:tcPr>
            <w:tcW w:w="8720" w:type="dxa"/>
            <w:vAlign w:val="bottom"/>
          </w:tcPr>
          <w:p>
            <w:pPr>
              <w:ind w:left="20"/>
              <w:spacing w:after="0"/>
              <w:rPr>
                <w:sz w:val="20"/>
                <w:szCs w:val="20"/>
                <w:color w:val="auto"/>
              </w:rPr>
            </w:pPr>
            <w:r>
              <w:rPr>
                <w:rFonts w:ascii="Arial" w:cs="Arial" w:eastAsia="Arial" w:hAnsi="Arial"/>
                <w:sz w:val="16"/>
                <w:szCs w:val="16"/>
                <w:color w:val="auto"/>
              </w:rPr>
              <w:t>Granted</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165,513</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130.52</w:t>
            </w:r>
          </w:p>
        </w:tc>
        <w:tc>
          <w:tcPr>
            <w:tcW w:w="0" w:type="dxa"/>
            <w:vAlign w:val="bottom"/>
          </w:tcPr>
          <w:p>
            <w:pPr>
              <w:spacing w:after="0"/>
              <w:rPr>
                <w:sz w:val="1"/>
                <w:szCs w:val="1"/>
                <w:color w:val="auto"/>
              </w:rPr>
            </w:pPr>
          </w:p>
        </w:tc>
      </w:tr>
      <w:tr>
        <w:trPr>
          <w:trHeight w:val="217"/>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(189,606)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101.86</w:t>
            </w:r>
          </w:p>
        </w:tc>
        <w:tc>
          <w:tcPr>
            <w:tcW w:w="0" w:type="dxa"/>
            <w:vAlign w:val="bottom"/>
          </w:tcPr>
          <w:p>
            <w:pPr>
              <w:spacing w:after="0"/>
              <w:rPr>
                <w:sz w:val="1"/>
                <w:szCs w:val="1"/>
                <w:color w:val="auto"/>
              </w:rPr>
            </w:pPr>
          </w:p>
        </w:tc>
      </w:tr>
      <w:tr>
        <w:trPr>
          <w:trHeight w:val="215"/>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(18,882)</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tcPr>
          <w:p>
            <w:pPr>
              <w:jc w:val="right"/>
              <w:ind w:right="2"/>
              <w:spacing w:after="0"/>
              <w:rPr>
                <w:sz w:val="20"/>
                <w:szCs w:val="20"/>
                <w:color w:val="auto"/>
              </w:rPr>
            </w:pPr>
            <w:r>
              <w:rPr>
                <w:rFonts w:ascii="Arial" w:cs="Arial" w:eastAsia="Arial" w:hAnsi="Arial"/>
                <w:sz w:val="16"/>
                <w:szCs w:val="16"/>
                <w:color w:val="auto"/>
              </w:rPr>
              <w:t>123.65</w:t>
            </w:r>
          </w:p>
        </w:tc>
        <w:tc>
          <w:tcPr>
            <w:tcW w:w="0" w:type="dxa"/>
            <w:vAlign w:val="bottom"/>
          </w:tcPr>
          <w:p>
            <w:pPr>
              <w:spacing w:after="0"/>
              <w:rPr>
                <w:sz w:val="1"/>
                <w:szCs w:val="1"/>
                <w:color w:val="auto"/>
              </w:rPr>
            </w:pPr>
          </w:p>
        </w:tc>
      </w:tr>
      <w:tr>
        <w:trPr>
          <w:trHeight w:val="235"/>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December 31, 2023</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572,892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120.28</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The total fair value of restricted stock that vested during 2023, 2022 and 2021 was $25 million, $23 million and $28 million, respectively.</w:t>
      </w:r>
    </w:p>
    <w:p>
      <w:pPr>
        <w:spacing w:after="0" w:line="250"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AFG has not granted any stock options since 2015. Options granted in prior years have an exercise price equal to the market price of AFG Common Stock at the date of grant (adjusted for certain special dividends). Options generally became exercisable at the rate of 20% per year commencing one year after grant and expire ten years after the date of grant.</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Data for stock options issued under AFG’s stock incentive plans is presented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rPr>
              <w:t>Average</w:t>
            </w:r>
          </w:p>
        </w:tc>
        <w:tc>
          <w:tcPr>
            <w:tcW w:w="1300" w:type="dxa"/>
            <w:vAlign w:val="bottom"/>
            <w:gridSpan w:val="2"/>
          </w:tcPr>
          <w:p>
            <w:pPr>
              <w:jc w:val="center"/>
              <w:ind w:right="80"/>
              <w:spacing w:after="0"/>
              <w:rPr>
                <w:sz w:val="20"/>
                <w:szCs w:val="20"/>
                <w:color w:val="auto"/>
              </w:rPr>
            </w:pPr>
            <w:r>
              <w:rPr>
                <w:rFonts w:ascii="Arial" w:cs="Arial" w:eastAsia="Arial" w:hAnsi="Arial"/>
                <w:sz w:val="14"/>
                <w:szCs w:val="14"/>
                <w:color w:val="auto"/>
              </w:rPr>
              <w:t>Average</w:t>
            </w:r>
          </w:p>
        </w:tc>
        <w:tc>
          <w:tcPr>
            <w:tcW w:w="180" w:type="dxa"/>
            <w:vAlign w:val="bottom"/>
          </w:tcPr>
          <w:p>
            <w:pPr>
              <w:spacing w:after="0"/>
              <w:rPr>
                <w:sz w:val="14"/>
                <w:szCs w:val="14"/>
                <w:color w:val="auto"/>
              </w:rPr>
            </w:pPr>
          </w:p>
        </w:tc>
        <w:tc>
          <w:tcPr>
            <w:tcW w:w="1040" w:type="dxa"/>
            <w:vAlign w:val="bottom"/>
          </w:tcPr>
          <w:p>
            <w:pPr>
              <w:jc w:val="center"/>
              <w:ind w:right="105"/>
              <w:spacing w:after="0"/>
              <w:rPr>
                <w:sz w:val="20"/>
                <w:szCs w:val="20"/>
                <w:color w:val="auto"/>
              </w:rPr>
            </w:pPr>
            <w:r>
              <w:rPr>
                <w:rFonts w:ascii="Arial" w:cs="Arial" w:eastAsia="Arial" w:hAnsi="Arial"/>
                <w:sz w:val="14"/>
                <w:szCs w:val="14"/>
                <w:color w:val="auto"/>
              </w:rPr>
              <w:t>Aggregate</w:t>
            </w: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3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rPr>
              <w:t>Remaining</w:t>
            </w:r>
          </w:p>
        </w:tc>
        <w:tc>
          <w:tcPr>
            <w:tcW w:w="180" w:type="dxa"/>
            <w:vAlign w:val="bottom"/>
          </w:tcPr>
          <w:p>
            <w:pPr>
              <w:spacing w:after="0"/>
              <w:rPr>
                <w:sz w:val="12"/>
                <w:szCs w:val="12"/>
                <w:color w:val="auto"/>
              </w:rPr>
            </w:pPr>
          </w:p>
        </w:tc>
        <w:tc>
          <w:tcPr>
            <w:tcW w:w="1040" w:type="dxa"/>
            <w:vAlign w:val="bottom"/>
          </w:tcPr>
          <w:p>
            <w:pPr>
              <w:jc w:val="center"/>
              <w:ind w:right="105"/>
              <w:spacing w:after="0" w:line="149" w:lineRule="exact"/>
              <w:rPr>
                <w:sz w:val="20"/>
                <w:szCs w:val="20"/>
                <w:color w:val="auto"/>
              </w:rPr>
            </w:pPr>
            <w:r>
              <w:rPr>
                <w:rFonts w:ascii="Arial" w:cs="Arial" w:eastAsia="Arial" w:hAnsi="Arial"/>
                <w:sz w:val="14"/>
                <w:szCs w:val="14"/>
                <w:color w:val="auto"/>
              </w:rPr>
              <w:t>Intrinsic</w:t>
            </w:r>
          </w:p>
        </w:tc>
        <w:tc>
          <w:tcPr>
            <w:tcW w:w="0" w:type="dxa"/>
            <w:vAlign w:val="bottom"/>
          </w:tcPr>
          <w:p>
            <w:pPr>
              <w:spacing w:after="0"/>
              <w:rPr>
                <w:sz w:val="1"/>
                <w:szCs w:val="1"/>
                <w:color w:val="auto"/>
              </w:rPr>
            </w:pPr>
          </w:p>
        </w:tc>
      </w:tr>
      <w:tr>
        <w:trPr>
          <w:trHeight w:val="139"/>
        </w:trPr>
        <w:tc>
          <w:tcPr>
            <w:tcW w:w="6140" w:type="dxa"/>
            <w:vAlign w:val="bottom"/>
          </w:tcPr>
          <w:p>
            <w:pPr>
              <w:spacing w:after="0"/>
              <w:rPr>
                <w:sz w:val="12"/>
                <w:szCs w:val="12"/>
                <w:color w:val="auto"/>
              </w:rPr>
            </w:pPr>
          </w:p>
        </w:tc>
        <w:tc>
          <w:tcPr>
            <w:tcW w:w="1200" w:type="dxa"/>
            <w:vAlign w:val="bottom"/>
            <w:vMerge w:val="restart"/>
          </w:tcPr>
          <w:p>
            <w:pPr>
              <w:jc w:val="right"/>
              <w:ind w:right="301"/>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300"/>
              <w:spacing w:after="0" w:line="139" w:lineRule="exact"/>
              <w:rPr>
                <w:sz w:val="20"/>
                <w:szCs w:val="20"/>
                <w:color w:val="auto"/>
              </w:rPr>
            </w:pPr>
            <w:r>
              <w:rPr>
                <w:rFonts w:ascii="Arial" w:cs="Arial" w:eastAsia="Arial" w:hAnsi="Arial"/>
                <w:sz w:val="14"/>
                <w:szCs w:val="14"/>
                <w:color w:val="auto"/>
              </w:rPr>
              <w:t>Exercise</w:t>
            </w:r>
          </w:p>
        </w:tc>
        <w:tc>
          <w:tcPr>
            <w:tcW w:w="1300" w:type="dxa"/>
            <w:vAlign w:val="bottom"/>
            <w:gridSpan w:val="2"/>
          </w:tcPr>
          <w:p>
            <w:pPr>
              <w:jc w:val="center"/>
              <w:ind w:right="80"/>
              <w:spacing w:after="0" w:line="139" w:lineRule="exact"/>
              <w:rPr>
                <w:sz w:val="20"/>
                <w:szCs w:val="20"/>
                <w:color w:val="auto"/>
              </w:rPr>
            </w:pPr>
            <w:r>
              <w:rPr>
                <w:rFonts w:ascii="Arial" w:cs="Arial" w:eastAsia="Arial" w:hAnsi="Arial"/>
                <w:sz w:val="14"/>
                <w:szCs w:val="14"/>
                <w:color w:val="auto"/>
              </w:rPr>
              <w:t>Contractual</w:t>
            </w:r>
          </w:p>
        </w:tc>
        <w:tc>
          <w:tcPr>
            <w:tcW w:w="180" w:type="dxa"/>
            <w:vAlign w:val="bottom"/>
          </w:tcPr>
          <w:p>
            <w:pPr>
              <w:spacing w:after="0"/>
              <w:rPr>
                <w:sz w:val="12"/>
                <w:szCs w:val="12"/>
                <w:color w:val="auto"/>
              </w:rPr>
            </w:pPr>
          </w:p>
        </w:tc>
        <w:tc>
          <w:tcPr>
            <w:tcW w:w="1040" w:type="dxa"/>
            <w:vAlign w:val="bottom"/>
          </w:tcPr>
          <w:p>
            <w:pPr>
              <w:jc w:val="center"/>
              <w:ind w:right="85"/>
              <w:spacing w:after="0" w:line="139" w:lineRule="exact"/>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94"/>
        </w:trPr>
        <w:tc>
          <w:tcPr>
            <w:tcW w:w="61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color w:val="auto"/>
              </w:rPr>
              <w:t>Price</w:t>
            </w: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Term</w:t>
            </w:r>
          </w:p>
        </w:tc>
        <w:tc>
          <w:tcPr>
            <w:tcW w:w="180" w:type="dxa"/>
            <w:vAlign w:val="bottom"/>
          </w:tcPr>
          <w:p>
            <w:pPr>
              <w:spacing w:after="0"/>
              <w:rPr>
                <w:sz w:val="16"/>
                <w:szCs w:val="16"/>
                <w:color w:val="auto"/>
              </w:rPr>
            </w:pPr>
          </w:p>
        </w:tc>
        <w:tc>
          <w:tcPr>
            <w:tcW w:w="1040" w:type="dxa"/>
            <w:vAlign w:val="bottom"/>
          </w:tcPr>
          <w:p>
            <w:pPr>
              <w:jc w:val="center"/>
              <w:ind w:right="105"/>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14"/>
        </w:trPr>
        <w:tc>
          <w:tcPr>
            <w:tcW w:w="6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January 1, 2023</w:t>
            </w:r>
          </w:p>
        </w:tc>
        <w:tc>
          <w:tcPr>
            <w:tcW w:w="12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243,604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44.75</w:t>
            </w: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40" w:type="dxa"/>
            <w:vAlign w:val="bottom"/>
          </w:tcPr>
          <w:p>
            <w:pPr>
              <w:ind w:left="360"/>
              <w:spacing w:after="0"/>
              <w:rPr>
                <w:sz w:val="20"/>
                <w:szCs w:val="20"/>
                <w:color w:val="auto"/>
              </w:rPr>
            </w:pPr>
            <w:r>
              <w:rPr>
                <w:rFonts w:ascii="Arial" w:cs="Arial" w:eastAsia="Arial" w:hAnsi="Arial"/>
                <w:sz w:val="16"/>
                <w:szCs w:val="16"/>
                <w:color w:val="auto"/>
              </w:rPr>
              <w:t>Exercised</w:t>
            </w:r>
          </w:p>
        </w:tc>
        <w:tc>
          <w:tcPr>
            <w:tcW w:w="1200" w:type="dxa"/>
            <w:vAlign w:val="bottom"/>
          </w:tcPr>
          <w:p>
            <w:pPr>
              <w:jc w:val="right"/>
              <w:spacing w:after="0"/>
              <w:rPr>
                <w:sz w:val="20"/>
                <w:szCs w:val="20"/>
                <w:color w:val="auto"/>
              </w:rPr>
            </w:pPr>
            <w:r>
              <w:rPr>
                <w:rFonts w:ascii="Arial" w:cs="Arial" w:eastAsia="Arial" w:hAnsi="Arial"/>
                <w:sz w:val="16"/>
                <w:szCs w:val="16"/>
                <w:color w:val="auto"/>
              </w:rPr>
              <w:t>(96,953)</w:t>
            </w:r>
          </w:p>
        </w:tc>
        <w:tc>
          <w:tcPr>
            <w:tcW w:w="3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42.46</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Forfeited/Cancelled</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40" w:type="dxa"/>
            <w:vAlign w:val="bottom"/>
          </w:tcPr>
          <w:p>
            <w:pPr>
              <w:ind w:left="20"/>
              <w:spacing w:after="0"/>
              <w:rPr>
                <w:sz w:val="20"/>
                <w:szCs w:val="20"/>
                <w:color w:val="auto"/>
              </w:rPr>
            </w:pPr>
            <w:r>
              <w:rPr>
                <w:rFonts w:ascii="Arial" w:cs="Arial" w:eastAsia="Arial" w:hAnsi="Arial"/>
                <w:sz w:val="16"/>
                <w:szCs w:val="16"/>
                <w:color w:val="auto"/>
              </w:rPr>
              <w:t>Outstanding at December 31, 2023</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146,651</w:t>
            </w:r>
          </w:p>
        </w:tc>
        <w:tc>
          <w:tcPr>
            <w:tcW w:w="3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46.26</w:t>
            </w:r>
          </w:p>
        </w:tc>
        <w:tc>
          <w:tcPr>
            <w:tcW w:w="80" w:type="dxa"/>
            <w:vAlign w:val="bottom"/>
          </w:tcPr>
          <w:p>
            <w:pPr>
              <w:spacing w:after="0"/>
              <w:rPr>
                <w:sz w:val="18"/>
                <w:szCs w:val="18"/>
                <w:color w:val="auto"/>
              </w:rPr>
            </w:pPr>
          </w:p>
        </w:tc>
        <w:tc>
          <w:tcPr>
            <w:tcW w:w="1300" w:type="dxa"/>
            <w:vAlign w:val="bottom"/>
            <w:gridSpan w:val="2"/>
          </w:tcPr>
          <w:p>
            <w:pPr>
              <w:ind w:left="520"/>
              <w:spacing w:after="0"/>
              <w:rPr>
                <w:sz w:val="20"/>
                <w:szCs w:val="20"/>
                <w:color w:val="auto"/>
              </w:rPr>
            </w:pPr>
            <w:r>
              <w:rPr>
                <w:rFonts w:ascii="Arial" w:cs="Arial" w:eastAsia="Arial" w:hAnsi="Arial"/>
                <w:sz w:val="16"/>
                <w:szCs w:val="16"/>
                <w:color w:val="auto"/>
              </w:rPr>
              <w:t>0.7 years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14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20"/>
              <w:spacing w:after="0"/>
              <w:rPr>
                <w:sz w:val="20"/>
                <w:szCs w:val="20"/>
                <w:color w:val="auto"/>
              </w:rPr>
            </w:pPr>
            <w:r>
              <w:rPr>
                <w:rFonts w:ascii="Arial" w:cs="Arial" w:eastAsia="Arial" w:hAnsi="Arial"/>
                <w:sz w:val="16"/>
                <w:szCs w:val="16"/>
                <w:color w:val="auto"/>
              </w:rPr>
              <w:t>Options exercisable at December 31, 2023</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146,651</w:t>
            </w:r>
          </w:p>
        </w:tc>
        <w:tc>
          <w:tcPr>
            <w:tcW w:w="3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46.26</w:t>
            </w:r>
          </w:p>
        </w:tc>
        <w:tc>
          <w:tcPr>
            <w:tcW w:w="80" w:type="dxa"/>
            <w:vAlign w:val="bottom"/>
          </w:tcPr>
          <w:p>
            <w:pPr>
              <w:spacing w:after="0"/>
              <w:rPr>
                <w:sz w:val="18"/>
                <w:szCs w:val="18"/>
                <w:color w:val="auto"/>
              </w:rPr>
            </w:pPr>
          </w:p>
        </w:tc>
        <w:tc>
          <w:tcPr>
            <w:tcW w:w="1300" w:type="dxa"/>
            <w:vAlign w:val="bottom"/>
            <w:gridSpan w:val="2"/>
          </w:tcPr>
          <w:p>
            <w:pPr>
              <w:ind w:left="520"/>
              <w:spacing w:after="0"/>
              <w:rPr>
                <w:sz w:val="20"/>
                <w:szCs w:val="20"/>
                <w:color w:val="auto"/>
              </w:rPr>
            </w:pPr>
            <w:r>
              <w:rPr>
                <w:rFonts w:ascii="Arial" w:cs="Arial" w:eastAsia="Arial" w:hAnsi="Arial"/>
                <w:sz w:val="16"/>
                <w:szCs w:val="16"/>
                <w:color w:val="auto"/>
              </w:rPr>
              <w:t>0.7 years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18" w:name="page119"/>
    <w:bookmarkEnd w:id="11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AMERICAN FINANCIAL GROUP,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The total intrinsic value of options exercised during 2023, 2022 and 2021 was $8 million, $18 million and $88 million, respectively. During 2023, 2022 and 2021, AFG received $4 million, $7 million and $58 million, respectively, in cash from the exercise of stock options. The total tax benefit related to the exercises was $1 million, $3 million and $14 million during those years,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Total compensation expense related to stock incentive plans of AFG and its subsidiaries was $18 million for 2023, $19 million for 2022 and</w:t>
      </w:r>
    </w:p>
    <w:p>
      <w:pPr>
        <w:spacing w:after="0" w:line="23"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$16 million for 2021. AFG’s provision for income tax includes tax benefits of $6 million in 2023, $8 million in 2022 and $19 million in 2021 related to AFG’s stock incentive plans. At December 31, 2023, there was $32 million of unrecognized compensation expense related to restricted stock awards, which is expected to be recognized over a weighted average of 2.5 years. At December 31, 2023, there was no unrecognized compensation expense related to unvested stock options.</w:t>
      </w:r>
    </w:p>
    <w:p>
      <w:pPr>
        <w:spacing w:after="0" w:line="205" w:lineRule="exact"/>
        <w:rPr>
          <w:sz w:val="20"/>
          <w:szCs w:val="20"/>
          <w:color w:val="auto"/>
        </w:rPr>
      </w:pPr>
    </w:p>
    <w:p>
      <w:pPr>
        <w:ind w:right="300"/>
        <w:spacing w:after="0" w:line="249" w:lineRule="auto"/>
        <w:rPr>
          <w:sz w:val="20"/>
          <w:szCs w:val="20"/>
          <w:color w:val="auto"/>
        </w:rPr>
      </w:pPr>
      <w:r>
        <w:rPr>
          <w:rFonts w:ascii="Arial" w:cs="Arial" w:eastAsia="Arial" w:hAnsi="Arial"/>
          <w:sz w:val="20"/>
          <w:szCs w:val="20"/>
          <w:b w:val="1"/>
          <w:bCs w:val="1"/>
          <w:color w:val="00274E"/>
        </w:rPr>
        <w:t xml:space="preserve">Accumulated Other Comprehensive Income (Loss), Net of Tax (“AOCI”) </w:t>
      </w:r>
      <w:r>
        <w:rPr>
          <w:rFonts w:ascii="Arial" w:cs="Arial" w:eastAsia="Arial" w:hAnsi="Arial"/>
          <w:sz w:val="17"/>
          <w:szCs w:val="17"/>
          <w:color w:val="000000"/>
        </w:rPr>
        <w:t>Comprehensive income is defined as all changes in</w:t>
      </w:r>
      <w:r>
        <w:rPr>
          <w:rFonts w:ascii="Arial" w:cs="Arial" w:eastAsia="Arial" w:hAnsi="Arial"/>
          <w:sz w:val="20"/>
          <w:szCs w:val="20"/>
          <w:b w:val="1"/>
          <w:bCs w:val="1"/>
          <w:color w:val="00274E"/>
        </w:rPr>
        <w:t xml:space="preserve"> </w:t>
      </w:r>
      <w:r>
        <w:rPr>
          <w:rFonts w:ascii="Arial" w:cs="Arial" w:eastAsia="Arial" w:hAnsi="Arial"/>
          <w:sz w:val="17"/>
          <w:szCs w:val="17"/>
          <w:color w:val="000000"/>
        </w:rPr>
        <w:t>shareholders’ equity except those arising from transactions with shareholders. Comprehensive income includes net earnings and other comprehensive income (loss), which consists primarily of changes in net unrealized gains or losses on available for sale fixed maturity securities.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 progression of the components of accumulated other comprehensive income (loss) follows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80" w:type="dxa"/>
            <w:vAlign w:val="bottom"/>
            <w:gridSpan w:val="8"/>
          </w:tcPr>
          <w:p>
            <w:pPr>
              <w:jc w:val="center"/>
              <w:ind w:right="280"/>
              <w:spacing w:after="0"/>
              <w:rPr>
                <w:sz w:val="20"/>
                <w:szCs w:val="20"/>
                <w:color w:val="auto"/>
              </w:rPr>
            </w:pPr>
            <w:r>
              <w:rPr>
                <w:rFonts w:ascii="Arial" w:cs="Arial" w:eastAsia="Arial" w:hAnsi="Arial"/>
                <w:sz w:val="14"/>
                <w:szCs w:val="14"/>
                <w:color w:val="auto"/>
              </w:rPr>
              <w:t>Other Comprehensive Income (Loss)</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9"/>
              </w:rPr>
              <w:t>AOCI</w:t>
            </w: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AOCI Ending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Beginning</w:t>
            </w:r>
          </w:p>
        </w:tc>
        <w:tc>
          <w:tcPr>
            <w:tcW w:w="200" w:type="dxa"/>
            <w:vAlign w:val="bottom"/>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color w:val="auto"/>
              </w:rPr>
              <w:t>Pretax</w:t>
            </w:r>
          </w:p>
        </w:tc>
        <w:tc>
          <w:tcPr>
            <w:tcW w:w="240" w:type="dxa"/>
            <w:vAlign w:val="bottom"/>
          </w:tcPr>
          <w:p>
            <w:pPr>
              <w:spacing w:after="0"/>
              <w:rPr>
                <w:sz w:val="12"/>
                <w:szCs w:val="12"/>
                <w:color w:val="auto"/>
              </w:rPr>
            </w:pPr>
          </w:p>
        </w:tc>
        <w:tc>
          <w:tcPr>
            <w:tcW w:w="860" w:type="dxa"/>
            <w:vAlign w:val="bottom"/>
            <w:gridSpan w:val="2"/>
            <w:vMerge w:val="restart"/>
          </w:tcPr>
          <w:p>
            <w:pPr>
              <w:jc w:val="center"/>
              <w:ind w:right="340"/>
              <w:spacing w:after="0"/>
              <w:rPr>
                <w:sz w:val="20"/>
                <w:szCs w:val="20"/>
                <w:color w:val="auto"/>
              </w:rPr>
            </w:pPr>
            <w:r>
              <w:rPr>
                <w:rFonts w:ascii="Arial" w:cs="Arial" w:eastAsia="Arial" w:hAnsi="Arial"/>
                <w:sz w:val="14"/>
                <w:szCs w:val="14"/>
                <w:color w:val="auto"/>
              </w:rPr>
              <w:t>Tax</w:t>
            </w:r>
          </w:p>
        </w:tc>
        <w:tc>
          <w:tcPr>
            <w:tcW w:w="14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color w:val="auto"/>
              </w:rPr>
              <w:t>Net of tax</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color w:val="auto"/>
              </w:rPr>
              <w:t>Balance</w:t>
            </w:r>
          </w:p>
        </w:tc>
        <w:tc>
          <w:tcPr>
            <w:tcW w:w="2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Balance</w:t>
            </w: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582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5"/>
                <w:szCs w:val="15"/>
                <w:b w:val="1"/>
                <w:bCs w:val="1"/>
                <w:color w:val="auto"/>
              </w:rPr>
              <w:t>Year ended December 31, 2023</w:t>
            </w:r>
          </w:p>
        </w:tc>
        <w:tc>
          <w:tcPr>
            <w:tcW w:w="1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auto"/>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Net unrealized gains (losses) on securities: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Unrealized holding gains (losses) on securities arising during the period</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Borders>
              <w:bottom w:val="single" w:sz="8" w:color="CCEEFF"/>
            </w:tcBorders>
          </w:tcPr>
          <w:p>
            <w:pPr>
              <w:spacing w:after="0"/>
              <w:rPr>
                <w:sz w:val="17"/>
                <w:szCs w:val="17"/>
                <w:color w:val="auto"/>
              </w:rPr>
            </w:pPr>
          </w:p>
        </w:tc>
        <w:tc>
          <w:tcPr>
            <w:tcW w:w="5820" w:type="dxa"/>
            <w:vAlign w:val="bottom"/>
            <w:tcBorders>
              <w:bottom w:val="single" w:sz="8" w:color="CCEEFF"/>
            </w:tcBorders>
            <w:gridSpan w:val="2"/>
          </w:tcPr>
          <w:p>
            <w:pPr>
              <w:ind w:left="160"/>
              <w:spacing w:after="0"/>
              <w:rPr>
                <w:sz w:val="20"/>
                <w:szCs w:val="20"/>
                <w:color w:val="auto"/>
              </w:rPr>
            </w:pPr>
            <w:r>
              <w:rPr>
                <w:rFonts w:ascii="Arial" w:cs="Arial" w:eastAsia="Arial" w:hAnsi="Arial"/>
                <w:sz w:val="15"/>
                <w:szCs w:val="15"/>
                <w:color w:val="auto"/>
              </w:rPr>
              <w:t>Reclassification adjustment for realized (gains) losses included in net earnings (*)</w:t>
            </w: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Total net unrealized gains (losses) on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Net unrealized gains (losses) on cash flow hedges: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Unrealized holding gains (losses) on cash flow hedges arising during the period</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Borders>
              <w:bottom w:val="single" w:sz="8" w:color="CCEEFF"/>
            </w:tcBorders>
          </w:tcPr>
          <w:p>
            <w:pPr>
              <w:spacing w:after="0"/>
              <w:rPr>
                <w:sz w:val="17"/>
                <w:szCs w:val="17"/>
                <w:color w:val="auto"/>
              </w:rPr>
            </w:pPr>
          </w:p>
        </w:tc>
        <w:tc>
          <w:tcPr>
            <w:tcW w:w="5820" w:type="dxa"/>
            <w:vAlign w:val="bottom"/>
            <w:tcBorders>
              <w:bottom w:val="single" w:sz="8" w:color="CCEEFF"/>
            </w:tcBorders>
            <w:gridSpan w:val="2"/>
          </w:tcPr>
          <w:p>
            <w:pPr>
              <w:ind w:left="160"/>
              <w:spacing w:after="0"/>
              <w:rPr>
                <w:sz w:val="20"/>
                <w:szCs w:val="20"/>
                <w:color w:val="auto"/>
              </w:rPr>
            </w:pPr>
            <w:r>
              <w:rPr>
                <w:rFonts w:ascii="Arial" w:cs="Arial" w:eastAsia="Arial" w:hAnsi="Arial"/>
                <w:sz w:val="15"/>
                <w:szCs w:val="15"/>
                <w:color w:val="auto"/>
              </w:rPr>
              <w:t>Reclassification adjustment for investment income included in net earnings (*)</w:t>
            </w: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21</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Total net unrealized gains (losses) on cash flow hedges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Foreign currency translation adjustments</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Pension and other postretirement plan adjustments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820" w:type="dxa"/>
            <w:vAlign w:val="bottom"/>
            <w:gridSpan w:val="2"/>
          </w:tcPr>
          <w:p>
            <w:pPr>
              <w:ind w:left="340"/>
              <w:spacing w:after="0"/>
              <w:rPr>
                <w:sz w:val="20"/>
                <w:szCs w:val="20"/>
                <w:color w:val="auto"/>
              </w:rPr>
            </w:pPr>
            <w:r>
              <w:rPr>
                <w:rFonts w:ascii="Arial" w:cs="Arial" w:eastAsia="Arial" w:hAnsi="Arial"/>
                <w:sz w:val="15"/>
                <w:szCs w:val="15"/>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(543)</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283</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224</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3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gridSpan w:val="2"/>
          </w:tcPr>
          <w:p>
            <w:pPr>
              <w:spacing w:after="0" w:line="162" w:lineRule="exact"/>
              <w:rPr>
                <w:sz w:val="20"/>
                <w:szCs w:val="20"/>
                <w:color w:val="auto"/>
              </w:rPr>
            </w:pPr>
            <w:r>
              <w:rPr>
                <w:rFonts w:ascii="Arial" w:cs="Arial" w:eastAsia="Arial" w:hAnsi="Arial"/>
                <w:sz w:val="15"/>
                <w:szCs w:val="15"/>
                <w:b w:val="1"/>
                <w:bCs w:val="1"/>
                <w:color w:val="auto"/>
              </w:rPr>
              <w:t>Year ended December 31, 2022</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Borders>
              <w:top w:val="single" w:sz="8" w:color="auto"/>
            </w:tcBorders>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unrealized gains (losses) on securities: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ind w:left="160"/>
              <w:spacing w:after="0"/>
              <w:rPr>
                <w:sz w:val="20"/>
                <w:szCs w:val="20"/>
                <w:color w:val="auto"/>
              </w:rPr>
            </w:pPr>
            <w:r>
              <w:rPr>
                <w:rFonts w:ascii="Arial" w:cs="Arial" w:eastAsia="Arial" w:hAnsi="Arial"/>
                <w:sz w:val="15"/>
                <w:szCs w:val="15"/>
                <w:color w:val="auto"/>
              </w:rPr>
              <w:t>Unrealized holding gains (losses) on securities arising during the period</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(821)</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(647)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Reclassification adjustment for realized (gains) losses included in net earnings (*)</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20" w:type="dxa"/>
            <w:vAlign w:val="bottom"/>
            <w:gridSpan w:val="2"/>
          </w:tcPr>
          <w:p>
            <w:pPr>
              <w:ind w:left="500"/>
              <w:spacing w:after="0"/>
              <w:rPr>
                <w:sz w:val="20"/>
                <w:szCs w:val="20"/>
                <w:color w:val="auto"/>
              </w:rPr>
            </w:pPr>
            <w:r>
              <w:rPr>
                <w:rFonts w:ascii="Arial" w:cs="Arial" w:eastAsia="Arial" w:hAnsi="Arial"/>
                <w:sz w:val="15"/>
                <w:szCs w:val="15"/>
                <w:color w:val="auto"/>
              </w:rPr>
              <w:t>Total net unrealized gains (losses) on securities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136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(803)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(633)</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(497)</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unrealized gains (losses) on cash flow hedges: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ind w:left="160"/>
              <w:spacing w:after="0"/>
              <w:rPr>
                <w:sz w:val="20"/>
                <w:szCs w:val="20"/>
                <w:color w:val="auto"/>
              </w:rPr>
            </w:pPr>
            <w:r>
              <w:rPr>
                <w:rFonts w:ascii="Arial" w:cs="Arial" w:eastAsia="Arial" w:hAnsi="Arial"/>
                <w:sz w:val="15"/>
                <w:szCs w:val="15"/>
                <w:color w:val="auto"/>
              </w:rPr>
              <w:t>Unrealized holding gains (losses) on cash flow hedges arising during the period</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Reclassification adjustment for investment income included in net earnings (*)</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20" w:type="dxa"/>
            <w:vAlign w:val="bottom"/>
            <w:gridSpan w:val="2"/>
          </w:tcPr>
          <w:p>
            <w:pPr>
              <w:ind w:left="500"/>
              <w:spacing w:after="0"/>
              <w:rPr>
                <w:sz w:val="20"/>
                <w:szCs w:val="20"/>
                <w:color w:val="auto"/>
              </w:rPr>
            </w:pPr>
            <w:r>
              <w:rPr>
                <w:rFonts w:ascii="Arial" w:cs="Arial" w:eastAsia="Arial" w:hAnsi="Arial"/>
                <w:sz w:val="15"/>
                <w:szCs w:val="15"/>
                <w:color w:val="auto"/>
              </w:rPr>
              <w:t>Total net unrealized gains (losses) on cash flow hedges</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Foreign currency translation adjustments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Pension and other postretirement plan adjustments</w:t>
            </w:r>
          </w:p>
        </w:tc>
        <w:tc>
          <w:tcPr>
            <w:tcW w:w="1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22"/>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82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5"/>
                <w:szCs w:val="15"/>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9" w:name="page120"/>
    <w:bookmarkEnd w:id="11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AMERICAN FINANCIAL GROUP,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NOTES TO CONSOLIDATED FINANCIAL STATEMENTS — CONTINUED</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00" w:type="dxa"/>
            <w:vAlign w:val="bottom"/>
            <w:gridSpan w:val="8"/>
          </w:tcPr>
          <w:p>
            <w:pPr>
              <w:jc w:val="center"/>
              <w:ind w:right="260"/>
              <w:spacing w:after="0"/>
              <w:rPr>
                <w:sz w:val="20"/>
                <w:szCs w:val="20"/>
                <w:color w:val="auto"/>
              </w:rPr>
            </w:pPr>
            <w:r>
              <w:rPr>
                <w:rFonts w:ascii="Arial" w:cs="Arial" w:eastAsia="Arial" w:hAnsi="Arial"/>
                <w:sz w:val="14"/>
                <w:szCs w:val="14"/>
                <w:color w:val="auto"/>
              </w:rPr>
              <w:t>Other Comprehensive Income (Loss)</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9"/>
              </w:rPr>
              <w:t>AOCI</w:t>
            </w:r>
          </w:p>
        </w:tc>
        <w:tc>
          <w:tcPr>
            <w:tcW w:w="1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AOCI Ending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rPr>
              <w:t>Beginning</w:t>
            </w:r>
          </w:p>
        </w:tc>
        <w:tc>
          <w:tcPr>
            <w:tcW w:w="180" w:type="dxa"/>
            <w:vAlign w:val="bottom"/>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color w:val="auto"/>
              </w:rPr>
              <w:t>Pretax</w:t>
            </w:r>
          </w:p>
        </w:tc>
        <w:tc>
          <w:tcPr>
            <w:tcW w:w="240" w:type="dxa"/>
            <w:vAlign w:val="bottom"/>
          </w:tcPr>
          <w:p>
            <w:pPr>
              <w:spacing w:after="0"/>
              <w:rPr>
                <w:sz w:val="12"/>
                <w:szCs w:val="12"/>
                <w:color w:val="auto"/>
              </w:rPr>
            </w:pPr>
          </w:p>
        </w:tc>
        <w:tc>
          <w:tcPr>
            <w:tcW w:w="860" w:type="dxa"/>
            <w:vAlign w:val="bottom"/>
            <w:gridSpan w:val="2"/>
            <w:vMerge w:val="restart"/>
          </w:tcPr>
          <w:p>
            <w:pPr>
              <w:jc w:val="center"/>
              <w:ind w:right="320"/>
              <w:spacing w:after="0"/>
              <w:rPr>
                <w:sz w:val="20"/>
                <w:szCs w:val="20"/>
                <w:color w:val="auto"/>
              </w:rPr>
            </w:pPr>
            <w:r>
              <w:rPr>
                <w:rFonts w:ascii="Arial" w:cs="Arial" w:eastAsia="Arial" w:hAnsi="Arial"/>
                <w:sz w:val="14"/>
                <w:szCs w:val="14"/>
                <w:color w:val="auto"/>
                <w:w w:val="94"/>
              </w:rPr>
              <w:t>Tax</w:t>
            </w:r>
          </w:p>
        </w:tc>
        <w:tc>
          <w:tcPr>
            <w:tcW w:w="14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color w:val="auto"/>
              </w:rPr>
              <w:t>Net of tax</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Balance</w:t>
            </w: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color w:val="auto"/>
              </w:rPr>
              <w:t>Balance</w:t>
            </w: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580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5"/>
                <w:szCs w:val="15"/>
                <w:b w:val="1"/>
                <w:bCs w:val="1"/>
                <w:color w:val="auto"/>
              </w:rPr>
              <w:t>Year ended December 31, 2021</w:t>
            </w:r>
          </w:p>
        </w:tc>
        <w:tc>
          <w:tcPr>
            <w:tcW w:w="1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auto"/>
            </w:tcBorders>
            <w:shd w:val="clear" w:color="auto" w:fill="CCEEFF"/>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800" w:type="dxa"/>
            <w:vAlign w:val="bottom"/>
            <w:gridSpan w:val="2"/>
          </w:tcPr>
          <w:p>
            <w:pPr>
              <w:spacing w:after="0"/>
              <w:rPr>
                <w:sz w:val="20"/>
                <w:szCs w:val="20"/>
                <w:color w:val="auto"/>
              </w:rPr>
            </w:pPr>
            <w:r>
              <w:rPr>
                <w:rFonts w:ascii="Arial" w:cs="Arial" w:eastAsia="Arial" w:hAnsi="Arial"/>
                <w:sz w:val="15"/>
                <w:szCs w:val="15"/>
                <w:color w:val="auto"/>
              </w:rPr>
              <w:t>Net unrealized gains (losses) on securities: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Unrealized holding gains (losses) on securities arising during the period</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00" w:type="dxa"/>
            <w:vAlign w:val="bottom"/>
            <w:gridSpan w:val="2"/>
          </w:tcPr>
          <w:p>
            <w:pPr>
              <w:ind w:left="160"/>
              <w:spacing w:after="0"/>
              <w:rPr>
                <w:sz w:val="20"/>
                <w:szCs w:val="20"/>
                <w:color w:val="auto"/>
              </w:rPr>
            </w:pPr>
            <w:r>
              <w:rPr>
                <w:rFonts w:ascii="Arial" w:cs="Arial" w:eastAsia="Arial" w:hAnsi="Arial"/>
                <w:sz w:val="15"/>
                <w:szCs w:val="15"/>
                <w:color w:val="auto"/>
              </w:rPr>
              <w:t>Reclassification adjustment for realized (gains) losses included in net earnings (*)</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0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Reclassification for unrealized gains of subsidiaries sold</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(1,119)</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00" w:type="dxa"/>
            <w:vAlign w:val="bottom"/>
            <w:gridSpan w:val="2"/>
          </w:tcPr>
          <w:p>
            <w:pPr>
              <w:ind w:left="500"/>
              <w:spacing w:after="0"/>
              <w:rPr>
                <w:sz w:val="20"/>
                <w:szCs w:val="20"/>
                <w:color w:val="auto"/>
              </w:rPr>
            </w:pPr>
            <w:r>
              <w:rPr>
                <w:rFonts w:ascii="Arial" w:cs="Arial" w:eastAsia="Arial" w:hAnsi="Arial"/>
                <w:sz w:val="15"/>
                <w:szCs w:val="15"/>
                <w:color w:val="auto"/>
              </w:rPr>
              <w:t>Total net unrealized gains (losses) on securities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1,255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(1,416)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(1,119)</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unrealized gains (losses) on cash flow hedges: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00" w:type="dxa"/>
            <w:vAlign w:val="bottom"/>
            <w:gridSpan w:val="2"/>
          </w:tcPr>
          <w:p>
            <w:pPr>
              <w:ind w:left="160"/>
              <w:spacing w:after="0"/>
              <w:rPr>
                <w:sz w:val="20"/>
                <w:szCs w:val="20"/>
                <w:color w:val="auto"/>
              </w:rPr>
            </w:pPr>
            <w:r>
              <w:rPr>
                <w:rFonts w:ascii="Arial" w:cs="Arial" w:eastAsia="Arial" w:hAnsi="Arial"/>
                <w:sz w:val="15"/>
                <w:szCs w:val="15"/>
                <w:color w:val="auto"/>
              </w:rPr>
              <w:t>Unrealized holding gains (losses) on cash flow hedges arising during the period</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5800" w:type="dxa"/>
            <w:vAlign w:val="bottom"/>
            <w:gridSpan w:val="2"/>
            <w:shd w:val="clear" w:color="auto" w:fill="CCEEFF"/>
          </w:tcPr>
          <w:p>
            <w:pPr>
              <w:ind w:left="160"/>
              <w:spacing w:after="0" w:line="150" w:lineRule="exact"/>
              <w:rPr>
                <w:sz w:val="20"/>
                <w:szCs w:val="20"/>
                <w:color w:val="auto"/>
              </w:rPr>
            </w:pPr>
            <w:r>
              <w:rPr>
                <w:rFonts w:ascii="Arial" w:cs="Arial" w:eastAsia="Arial" w:hAnsi="Arial"/>
                <w:sz w:val="15"/>
                <w:szCs w:val="15"/>
                <w:color w:val="auto"/>
              </w:rPr>
              <w:t>Reclassification adjustment for investment income included in net earnings from</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discontinued operations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Borders>
              <w:bottom w:val="single" w:sz="8" w:color="CCEEFF"/>
            </w:tcBorders>
          </w:tcPr>
          <w:p>
            <w:pPr>
              <w:spacing w:after="0"/>
              <w:rPr>
                <w:sz w:val="17"/>
                <w:szCs w:val="17"/>
                <w:color w:val="auto"/>
              </w:rPr>
            </w:pPr>
          </w:p>
        </w:tc>
        <w:tc>
          <w:tcPr>
            <w:tcW w:w="5800" w:type="dxa"/>
            <w:vAlign w:val="bottom"/>
            <w:tcBorders>
              <w:bottom w:val="single" w:sz="8" w:color="CCEEFF"/>
            </w:tcBorders>
            <w:gridSpan w:val="2"/>
          </w:tcPr>
          <w:p>
            <w:pPr>
              <w:ind w:left="160"/>
              <w:spacing w:after="0"/>
              <w:rPr>
                <w:sz w:val="20"/>
                <w:szCs w:val="20"/>
                <w:color w:val="auto"/>
              </w:rPr>
            </w:pPr>
            <w:r>
              <w:rPr>
                <w:rFonts w:ascii="Arial" w:cs="Arial" w:eastAsia="Arial" w:hAnsi="Arial"/>
                <w:sz w:val="15"/>
                <w:szCs w:val="15"/>
                <w:color w:val="auto"/>
              </w:rPr>
              <w:t>Reclassification for unrealized gains on cash flow hedges of subsidiaries sold</w:t>
            </w: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580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Total net unrealized gains (losses) on cash flow hedges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00" w:type="dxa"/>
            <w:vAlign w:val="bottom"/>
            <w:gridSpan w:val="2"/>
          </w:tcPr>
          <w:p>
            <w:pPr>
              <w:spacing w:after="0"/>
              <w:rPr>
                <w:sz w:val="20"/>
                <w:szCs w:val="20"/>
                <w:color w:val="auto"/>
              </w:rPr>
            </w:pPr>
            <w:r>
              <w:rPr>
                <w:rFonts w:ascii="Arial" w:cs="Arial" w:eastAsia="Arial" w:hAnsi="Arial"/>
                <w:sz w:val="15"/>
                <w:szCs w:val="15"/>
                <w:color w:val="auto"/>
              </w:rPr>
              <w:t>Foreign currency translation adjustments</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Pension and other postretirement plan adjustments: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00" w:type="dxa"/>
            <w:vAlign w:val="bottom"/>
            <w:gridSpan w:val="2"/>
          </w:tcPr>
          <w:p>
            <w:pPr>
              <w:ind w:left="160"/>
              <w:spacing w:after="0" w:line="149" w:lineRule="exact"/>
              <w:rPr>
                <w:sz w:val="20"/>
                <w:szCs w:val="20"/>
                <w:color w:val="auto"/>
              </w:rPr>
            </w:pPr>
            <w:r>
              <w:rPr>
                <w:rFonts w:ascii="Arial" w:cs="Arial" w:eastAsia="Arial" w:hAnsi="Arial"/>
                <w:sz w:val="15"/>
                <w:szCs w:val="15"/>
                <w:color w:val="auto"/>
              </w:rPr>
              <w:t>Unrealized holding gains (losses) on pension and other postretirement plans</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00" w:type="dxa"/>
            <w:vAlign w:val="bottom"/>
            <w:gridSpan w:val="2"/>
          </w:tcPr>
          <w:p>
            <w:pPr>
              <w:ind w:left="340"/>
              <w:spacing w:after="0"/>
              <w:rPr>
                <w:sz w:val="20"/>
                <w:szCs w:val="20"/>
                <w:color w:val="auto"/>
              </w:rPr>
            </w:pPr>
            <w:r>
              <w:rPr>
                <w:rFonts w:ascii="Arial" w:cs="Arial" w:eastAsia="Arial" w:hAnsi="Arial"/>
                <w:sz w:val="15"/>
                <w:szCs w:val="15"/>
                <w:color w:val="auto"/>
              </w:rPr>
              <w:t>arising during the period</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5800" w:type="dxa"/>
            <w:vAlign w:val="bottom"/>
            <w:gridSpan w:val="2"/>
            <w:shd w:val="clear" w:color="auto" w:fill="CCEEFF"/>
          </w:tcPr>
          <w:p>
            <w:pPr>
              <w:ind w:left="160"/>
              <w:spacing w:after="0" w:line="153" w:lineRule="exact"/>
              <w:rPr>
                <w:sz w:val="20"/>
                <w:szCs w:val="20"/>
                <w:color w:val="auto"/>
              </w:rPr>
            </w:pPr>
            <w:r>
              <w:rPr>
                <w:rFonts w:ascii="Arial" w:cs="Arial" w:eastAsia="Arial" w:hAnsi="Arial"/>
                <w:sz w:val="15"/>
                <w:szCs w:val="15"/>
                <w:color w:val="auto"/>
              </w:rPr>
              <w:t>Reclassification adjustment for pension settlement loss included in other expense</w:t>
            </w: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in net earnings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Borders>
              <w:bottom w:val="single" w:sz="8" w:color="CCEEFF"/>
            </w:tcBorders>
          </w:tcPr>
          <w:p>
            <w:pPr>
              <w:spacing w:after="0"/>
              <w:rPr>
                <w:sz w:val="16"/>
                <w:szCs w:val="16"/>
                <w:color w:val="auto"/>
              </w:rPr>
            </w:pPr>
          </w:p>
        </w:tc>
        <w:tc>
          <w:tcPr>
            <w:tcW w:w="5800" w:type="dxa"/>
            <w:vAlign w:val="bottom"/>
            <w:tcBorders>
              <w:bottom w:val="single" w:sz="8" w:color="CCEEFF"/>
            </w:tcBorders>
            <w:gridSpan w:val="2"/>
          </w:tcPr>
          <w:p>
            <w:pPr>
              <w:ind w:left="500"/>
              <w:spacing w:after="0"/>
              <w:rPr>
                <w:sz w:val="20"/>
                <w:szCs w:val="20"/>
                <w:color w:val="auto"/>
              </w:rPr>
            </w:pPr>
            <w:r>
              <w:rPr>
                <w:rFonts w:ascii="Arial" w:cs="Arial" w:eastAsia="Arial" w:hAnsi="Arial"/>
                <w:sz w:val="15"/>
                <w:szCs w:val="15"/>
                <w:color w:val="auto"/>
              </w:rPr>
              <w:t>Total pension and other postretirement plan adjustments</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4"/>
        </w:trPr>
        <w:tc>
          <w:tcPr>
            <w:tcW w:w="20" w:type="dxa"/>
            <w:vAlign w:val="bottom"/>
            <w:tcBorders>
              <w:bottom w:val="single" w:sz="8" w:color="CCEEFF"/>
            </w:tcBorders>
            <w:shd w:val="clear" w:color="auto" w:fill="CCEEFF"/>
          </w:tcPr>
          <w:p>
            <w:pPr>
              <w:spacing w:after="0"/>
              <w:rPr>
                <w:sz w:val="19"/>
                <w:szCs w:val="19"/>
                <w:color w:val="auto"/>
              </w:rPr>
            </w:pPr>
          </w:p>
        </w:tc>
        <w:tc>
          <w:tcPr>
            <w:tcW w:w="58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5"/>
                <w:szCs w:val="15"/>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(1,460)</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(1,154)</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400" w:hanging="392"/>
        <w:spacing w:after="0"/>
        <w:tabs>
          <w:tab w:leader="none" w:pos="4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reclassification adjustments affected the following lines in AFG’s Statement of Earnings:</w:t>
      </w:r>
    </w:p>
    <w:p>
      <w:pPr>
        <w:spacing w:after="0" w:line="120" w:lineRule="exact"/>
        <w:rPr>
          <w:sz w:val="20"/>
          <w:szCs w:val="20"/>
          <w:color w:val="auto"/>
        </w:rPr>
      </w:pPr>
    </w:p>
    <w:tbl>
      <w:tblPr>
        <w:tblLayout w:type="fixed"/>
        <w:tblInd w:w="500" w:type="dxa"/>
        <w:tblCellMar>
          <w:top w:w="0" w:type="dxa"/>
          <w:left w:w="0" w:type="dxa"/>
          <w:bottom w:w="0" w:type="dxa"/>
          <w:right w:w="0" w:type="dxa"/>
        </w:tblCellMar>
      </w:tblPr>
      <w:tr>
        <w:trPr>
          <w:trHeight w:val="203"/>
        </w:trPr>
        <w:tc>
          <w:tcPr>
            <w:tcW w:w="5060" w:type="dxa"/>
            <w:vAlign w:val="bottom"/>
            <w:gridSpan w:val="2"/>
          </w:tcPr>
          <w:p>
            <w:pPr>
              <w:ind w:left="20"/>
              <w:spacing w:after="0"/>
              <w:rPr>
                <w:sz w:val="20"/>
                <w:szCs w:val="20"/>
                <w:color w:val="auto"/>
              </w:rPr>
            </w:pPr>
            <w:r>
              <w:rPr>
                <w:rFonts w:ascii="Arial" w:cs="Arial" w:eastAsia="Arial" w:hAnsi="Arial"/>
                <w:sz w:val="15"/>
                <w:szCs w:val="15"/>
                <w:color w:val="auto"/>
              </w:rPr>
              <w:t>OCI component</w:t>
            </w:r>
          </w:p>
        </w:tc>
        <w:tc>
          <w:tcPr>
            <w:tcW w:w="5340" w:type="dxa"/>
            <w:vAlign w:val="bottom"/>
          </w:tcPr>
          <w:p>
            <w:pPr>
              <w:ind w:left="20"/>
              <w:spacing w:after="0"/>
              <w:rPr>
                <w:sz w:val="20"/>
                <w:szCs w:val="20"/>
                <w:color w:val="auto"/>
              </w:rPr>
            </w:pPr>
            <w:r>
              <w:rPr>
                <w:rFonts w:ascii="Arial" w:cs="Arial" w:eastAsia="Arial" w:hAnsi="Arial"/>
                <w:sz w:val="15"/>
                <w:szCs w:val="15"/>
                <w:color w:val="auto"/>
              </w:rPr>
              <w:t>Affected line in the statement of earnings</w:t>
            </w:r>
          </w:p>
        </w:tc>
      </w:tr>
      <w:tr>
        <w:trPr>
          <w:trHeight w:val="195"/>
        </w:trPr>
        <w:tc>
          <w:tcPr>
            <w:tcW w:w="496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Pretax - Net unrealized gains (losses) on securities</w:t>
            </w:r>
          </w:p>
        </w:tc>
        <w:tc>
          <w:tcPr>
            <w:tcW w:w="100" w:type="dxa"/>
            <w:vAlign w:val="bottom"/>
          </w:tcPr>
          <w:p>
            <w:pPr>
              <w:spacing w:after="0"/>
              <w:rPr>
                <w:sz w:val="16"/>
                <w:szCs w:val="16"/>
                <w:color w:val="auto"/>
              </w:rPr>
            </w:pPr>
          </w:p>
        </w:tc>
        <w:tc>
          <w:tcPr>
            <w:tcW w:w="534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rPr>
              <w:t>Realized gains (losses) on securities</w:t>
            </w:r>
          </w:p>
        </w:tc>
      </w:tr>
      <w:tr>
        <w:trPr>
          <w:trHeight w:val="200"/>
        </w:trPr>
        <w:tc>
          <w:tcPr>
            <w:tcW w:w="5060" w:type="dxa"/>
            <w:vAlign w:val="bottom"/>
            <w:gridSpan w:val="2"/>
          </w:tcPr>
          <w:p>
            <w:pPr>
              <w:ind w:left="20"/>
              <w:spacing w:after="0"/>
              <w:rPr>
                <w:sz w:val="20"/>
                <w:szCs w:val="20"/>
                <w:color w:val="auto"/>
              </w:rPr>
            </w:pPr>
            <w:r>
              <w:rPr>
                <w:rFonts w:ascii="Arial" w:cs="Arial" w:eastAsia="Arial" w:hAnsi="Arial"/>
                <w:sz w:val="15"/>
                <w:szCs w:val="15"/>
                <w:color w:val="auto"/>
              </w:rPr>
              <w:t>Pretax - Net unrealized gains (losses) on cash flow hedges</w:t>
            </w:r>
          </w:p>
        </w:tc>
        <w:tc>
          <w:tcPr>
            <w:tcW w:w="5340" w:type="dxa"/>
            <w:vAlign w:val="bottom"/>
          </w:tcPr>
          <w:p>
            <w:pPr>
              <w:ind w:left="20"/>
              <w:spacing w:after="0"/>
              <w:rPr>
                <w:sz w:val="20"/>
                <w:szCs w:val="20"/>
                <w:color w:val="auto"/>
              </w:rPr>
            </w:pPr>
            <w:r>
              <w:rPr>
                <w:rFonts w:ascii="Arial" w:cs="Arial" w:eastAsia="Arial" w:hAnsi="Arial"/>
                <w:sz w:val="15"/>
                <w:szCs w:val="15"/>
                <w:color w:val="auto"/>
              </w:rPr>
              <w:t>Net investment income</w:t>
            </w:r>
          </w:p>
        </w:tc>
      </w:tr>
      <w:tr>
        <w:trPr>
          <w:trHeight w:val="155"/>
        </w:trPr>
        <w:tc>
          <w:tcPr>
            <w:tcW w:w="5060" w:type="dxa"/>
            <w:vAlign w:val="bottom"/>
            <w:gridSpan w:val="2"/>
          </w:tcPr>
          <w:p>
            <w:pPr>
              <w:ind w:left="20"/>
              <w:spacing w:after="0" w:line="154" w:lineRule="exact"/>
              <w:rPr>
                <w:sz w:val="20"/>
                <w:szCs w:val="20"/>
                <w:color w:val="auto"/>
              </w:rPr>
            </w:pPr>
            <w:r>
              <w:rPr>
                <w:rFonts w:ascii="Arial" w:cs="Arial" w:eastAsia="Arial" w:hAnsi="Arial"/>
                <w:sz w:val="15"/>
                <w:szCs w:val="15"/>
                <w:color w:val="auto"/>
              </w:rPr>
              <w:t>Pretax - Net unrealized gains (losses) on pension and other</w:t>
            </w:r>
          </w:p>
        </w:tc>
        <w:tc>
          <w:tcPr>
            <w:tcW w:w="5340" w:type="dxa"/>
            <w:vAlign w:val="bottom"/>
          </w:tcPr>
          <w:p>
            <w:pPr>
              <w:spacing w:after="0"/>
              <w:rPr>
                <w:sz w:val="13"/>
                <w:szCs w:val="13"/>
                <w:color w:val="auto"/>
              </w:rPr>
            </w:pPr>
          </w:p>
        </w:tc>
      </w:tr>
      <w:tr>
        <w:trPr>
          <w:trHeight w:val="210"/>
        </w:trPr>
        <w:tc>
          <w:tcPr>
            <w:tcW w:w="5060" w:type="dxa"/>
            <w:vAlign w:val="bottom"/>
            <w:gridSpan w:val="2"/>
          </w:tcPr>
          <w:p>
            <w:pPr>
              <w:ind w:left="180"/>
              <w:spacing w:after="0"/>
              <w:rPr>
                <w:sz w:val="20"/>
                <w:szCs w:val="20"/>
                <w:color w:val="auto"/>
              </w:rPr>
            </w:pPr>
            <w:r>
              <w:rPr>
                <w:rFonts w:ascii="Arial" w:cs="Arial" w:eastAsia="Arial" w:hAnsi="Arial"/>
                <w:sz w:val="15"/>
                <w:szCs w:val="15"/>
                <w:color w:val="auto"/>
              </w:rPr>
              <w:t>postretirement plans</w:t>
            </w:r>
          </w:p>
        </w:tc>
        <w:tc>
          <w:tcPr>
            <w:tcW w:w="5340" w:type="dxa"/>
            <w:vAlign w:val="bottom"/>
          </w:tcPr>
          <w:p>
            <w:pPr>
              <w:ind w:left="20"/>
              <w:spacing w:after="0"/>
              <w:rPr>
                <w:sz w:val="20"/>
                <w:szCs w:val="20"/>
                <w:color w:val="auto"/>
              </w:rPr>
            </w:pPr>
            <w:r>
              <w:rPr>
                <w:rFonts w:ascii="Arial" w:cs="Arial" w:eastAsia="Arial" w:hAnsi="Arial"/>
                <w:sz w:val="15"/>
                <w:szCs w:val="15"/>
                <w:color w:val="auto"/>
              </w:rPr>
              <w:t>Other expenses</w:t>
            </w:r>
          </w:p>
        </w:tc>
      </w:tr>
      <w:tr>
        <w:trPr>
          <w:trHeight w:val="203"/>
        </w:trPr>
        <w:tc>
          <w:tcPr>
            <w:tcW w:w="5060" w:type="dxa"/>
            <w:vAlign w:val="bottom"/>
            <w:gridSpan w:val="2"/>
          </w:tcPr>
          <w:p>
            <w:pPr>
              <w:ind w:left="20"/>
              <w:spacing w:after="0"/>
              <w:rPr>
                <w:sz w:val="20"/>
                <w:szCs w:val="20"/>
                <w:color w:val="auto"/>
              </w:rPr>
            </w:pPr>
            <w:r>
              <w:rPr>
                <w:rFonts w:ascii="Arial" w:cs="Arial" w:eastAsia="Arial" w:hAnsi="Arial"/>
                <w:sz w:val="15"/>
                <w:szCs w:val="15"/>
                <w:color w:val="auto"/>
              </w:rPr>
              <w:t>Tax</w:t>
            </w:r>
          </w:p>
        </w:tc>
        <w:tc>
          <w:tcPr>
            <w:tcW w:w="5340" w:type="dxa"/>
            <w:vAlign w:val="bottom"/>
          </w:tcPr>
          <w:p>
            <w:pPr>
              <w:ind w:left="20"/>
              <w:spacing w:after="0"/>
              <w:rPr>
                <w:sz w:val="20"/>
                <w:szCs w:val="20"/>
                <w:color w:val="auto"/>
              </w:rPr>
            </w:pPr>
            <w:r>
              <w:rPr>
                <w:rFonts w:ascii="Arial" w:cs="Arial" w:eastAsia="Arial" w:hAnsi="Arial"/>
                <w:sz w:val="15"/>
                <w:szCs w:val="15"/>
                <w:color w:val="auto"/>
              </w:rPr>
              <w:t>Provision for income taxes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0" w:name="page121"/>
    <w:bookmarkEnd w:id="12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AMERICAN FINANCIAL GROUP,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NOTES TO CONSOLIDATED FINANCIAL STATEMENTS — CONTINUED</w:t>
      </w:r>
    </w:p>
    <w:p>
      <w:pPr>
        <w:spacing w:after="0" w:line="200" w:lineRule="exact"/>
        <w:rPr>
          <w:sz w:val="20"/>
          <w:szCs w:val="20"/>
          <w:color w:val="auto"/>
        </w:rPr>
      </w:pPr>
    </w:p>
    <w:p>
      <w:pPr>
        <w:spacing w:after="0" w:line="228" w:lineRule="exact"/>
        <w:rPr>
          <w:sz w:val="20"/>
          <w:szCs w:val="20"/>
          <w:color w:val="auto"/>
        </w:rPr>
      </w:pPr>
    </w:p>
    <w:p>
      <w:pPr>
        <w:ind w:left="640" w:hanging="632"/>
        <w:spacing w:after="0"/>
        <w:tabs>
          <w:tab w:leader="none" w:pos="640" w:val="left"/>
        </w:tabs>
        <w:numPr>
          <w:ilvl w:val="0"/>
          <w:numId w:val="65"/>
        </w:numPr>
        <w:rPr>
          <w:rFonts w:ascii="Arial" w:cs="Arial" w:eastAsia="Arial" w:hAnsi="Arial"/>
          <w:sz w:val="29"/>
          <w:szCs w:val="29"/>
          <w:b w:val="1"/>
          <w:bCs w:val="1"/>
          <w:color w:val="00274E"/>
        </w:rPr>
      </w:pPr>
      <w:r>
        <w:rPr>
          <w:rFonts w:ascii="Arial" w:cs="Arial" w:eastAsia="Arial" w:hAnsi="Arial"/>
          <w:sz w:val="29"/>
          <w:szCs w:val="29"/>
          <w:b w:val="1"/>
          <w:bCs w:val="1"/>
          <w:color w:val="00274E"/>
        </w:rPr>
        <w:t>Income Taxes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income taxes on continuing operations at the statutory rate of 21% to the provision for income taxes as shown in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AFG’s Statement of Earnings (dollars in millions):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2023</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2022</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4"/>
                <w:szCs w:val="14"/>
                <w:color w:val="auto"/>
                <w:w w:val="96"/>
              </w:rPr>
              <w:t>2021</w:t>
            </w:r>
          </w:p>
        </w:tc>
      </w:tr>
      <w:tr>
        <w:trPr>
          <w:trHeight w:val="196"/>
        </w:trPr>
        <w:tc>
          <w:tcPr>
            <w:tcW w:w="5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3"/>
          </w:tcPr>
          <w:p>
            <w:pPr>
              <w:jc w:val="right"/>
              <w:ind w:right="480"/>
              <w:spacing w:after="0"/>
              <w:rPr>
                <w:sz w:val="20"/>
                <w:szCs w:val="20"/>
                <w:color w:val="auto"/>
              </w:rPr>
            </w:pPr>
            <w:r>
              <w:rPr>
                <w:rFonts w:ascii="Arial" w:cs="Arial" w:eastAsia="Arial" w:hAnsi="Arial"/>
                <w:sz w:val="14"/>
                <w:szCs w:val="14"/>
                <w:color w:val="auto"/>
              </w:rPr>
              <w:t>Amount</w:t>
            </w:r>
          </w:p>
        </w:tc>
        <w:tc>
          <w:tcPr>
            <w:tcW w:w="920" w:type="dxa"/>
            <w:vAlign w:val="bottom"/>
            <w:gridSpan w:val="2"/>
          </w:tcPr>
          <w:p>
            <w:pPr>
              <w:ind w:left="20"/>
              <w:spacing w:after="0"/>
              <w:rPr>
                <w:sz w:val="20"/>
                <w:szCs w:val="20"/>
                <w:color w:val="auto"/>
              </w:rPr>
            </w:pPr>
            <w:r>
              <w:rPr>
                <w:rFonts w:ascii="Arial" w:cs="Arial" w:eastAsia="Arial" w:hAnsi="Arial"/>
                <w:sz w:val="14"/>
                <w:szCs w:val="14"/>
                <w:color w:val="auto"/>
              </w:rPr>
              <w:t>% of EBT</w:t>
            </w:r>
          </w:p>
        </w:tc>
        <w:tc>
          <w:tcPr>
            <w:tcW w:w="160" w:type="dxa"/>
            <w:vAlign w:val="bottom"/>
          </w:tcPr>
          <w:p>
            <w:pPr>
              <w:spacing w:after="0"/>
              <w:rPr>
                <w:sz w:val="17"/>
                <w:szCs w:val="17"/>
                <w:color w:val="auto"/>
              </w:rPr>
            </w:pPr>
          </w:p>
        </w:tc>
        <w:tc>
          <w:tcPr>
            <w:tcW w:w="1020" w:type="dxa"/>
            <w:vAlign w:val="bottom"/>
            <w:gridSpan w:val="3"/>
          </w:tcPr>
          <w:p>
            <w:pPr>
              <w:jc w:val="right"/>
              <w:ind w:right="500"/>
              <w:spacing w:after="0"/>
              <w:rPr>
                <w:sz w:val="20"/>
                <w:szCs w:val="20"/>
                <w:color w:val="auto"/>
              </w:rPr>
            </w:pPr>
            <w:r>
              <w:rPr>
                <w:rFonts w:ascii="Arial" w:cs="Arial" w:eastAsia="Arial" w:hAnsi="Arial"/>
                <w:sz w:val="14"/>
                <w:szCs w:val="14"/>
                <w:color w:val="auto"/>
              </w:rPr>
              <w:t>Amount</w:t>
            </w:r>
          </w:p>
        </w:tc>
        <w:tc>
          <w:tcPr>
            <w:tcW w:w="920" w:type="dxa"/>
            <w:vAlign w:val="bottom"/>
            <w:gridSpan w:val="2"/>
          </w:tcPr>
          <w:p>
            <w:pPr>
              <w:spacing w:after="0"/>
              <w:rPr>
                <w:sz w:val="20"/>
                <w:szCs w:val="20"/>
                <w:color w:val="auto"/>
              </w:rPr>
            </w:pPr>
            <w:r>
              <w:rPr>
                <w:rFonts w:ascii="Arial" w:cs="Arial" w:eastAsia="Arial" w:hAnsi="Arial"/>
                <w:sz w:val="14"/>
                <w:szCs w:val="14"/>
                <w:color w:val="auto"/>
              </w:rPr>
              <w:t>% of EBT</w:t>
            </w:r>
          </w:p>
        </w:tc>
        <w:tc>
          <w:tcPr>
            <w:tcW w:w="140" w:type="dxa"/>
            <w:vAlign w:val="bottom"/>
          </w:tcPr>
          <w:p>
            <w:pPr>
              <w:spacing w:after="0"/>
              <w:rPr>
                <w:sz w:val="17"/>
                <w:szCs w:val="17"/>
                <w:color w:val="auto"/>
              </w:rPr>
            </w:pPr>
          </w:p>
        </w:tc>
        <w:tc>
          <w:tcPr>
            <w:tcW w:w="700" w:type="dxa"/>
            <w:vAlign w:val="bottom"/>
          </w:tcPr>
          <w:p>
            <w:pPr>
              <w:jc w:val="right"/>
              <w:ind w:right="80"/>
              <w:spacing w:after="0"/>
              <w:rPr>
                <w:sz w:val="20"/>
                <w:szCs w:val="20"/>
                <w:color w:val="auto"/>
              </w:rPr>
            </w:pPr>
            <w:r>
              <w:rPr>
                <w:rFonts w:ascii="Arial" w:cs="Arial" w:eastAsia="Arial" w:hAnsi="Arial"/>
                <w:sz w:val="14"/>
                <w:szCs w:val="14"/>
                <w:color w:val="auto"/>
              </w:rPr>
              <w:t>Amount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140"/>
              <w:spacing w:after="0"/>
              <w:rPr>
                <w:sz w:val="20"/>
                <w:szCs w:val="20"/>
                <w:color w:val="auto"/>
              </w:rPr>
            </w:pPr>
            <w:r>
              <w:rPr>
                <w:rFonts w:ascii="Arial" w:cs="Arial" w:eastAsia="Arial" w:hAnsi="Arial"/>
                <w:sz w:val="14"/>
                <w:szCs w:val="14"/>
                <w:color w:val="auto"/>
              </w:rPr>
              <w:t>% of EBT</w:t>
            </w:r>
          </w:p>
        </w:tc>
      </w:tr>
      <w:tr>
        <w:trPr>
          <w:trHeight w:val="239"/>
        </w:trPr>
        <w:tc>
          <w:tcPr>
            <w:tcW w:w="5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from continuing operations before income taxes (“EBT”)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1,335</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r>
        <w:trPr>
          <w:trHeight w:val="163"/>
        </w:trPr>
        <w:tc>
          <w:tcPr>
            <w:tcW w:w="5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16"/>
        </w:trPr>
        <w:tc>
          <w:tcPr>
            <w:tcW w:w="5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at statutory rate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21 %</w:t>
            </w:r>
          </w:p>
        </w:tc>
      </w:tr>
      <w:tr>
        <w:trPr>
          <w:trHeight w:val="215"/>
        </w:trPr>
        <w:tc>
          <w:tcPr>
            <w:tcW w:w="5060" w:type="dxa"/>
            <w:vAlign w:val="bottom"/>
          </w:tcPr>
          <w:p>
            <w:pPr>
              <w:ind w:left="20"/>
              <w:spacing w:after="0"/>
              <w:rPr>
                <w:sz w:val="20"/>
                <w:szCs w:val="20"/>
                <w:color w:val="auto"/>
              </w:rPr>
            </w:pPr>
            <w:r>
              <w:rPr>
                <w:rFonts w:ascii="Arial" w:cs="Arial" w:eastAsia="Arial" w:hAnsi="Arial"/>
                <w:sz w:val="16"/>
                <w:szCs w:val="16"/>
                <w:color w:val="auto"/>
              </w:rPr>
              <w:t>Effect of:</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7"/>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Employee stock ownership plan dividend paid deduction</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(1 %)</w:t>
            </w:r>
          </w:p>
        </w:tc>
      </w:tr>
      <w:tr>
        <w:trPr>
          <w:trHeight w:val="215"/>
        </w:trPr>
        <w:tc>
          <w:tcPr>
            <w:tcW w:w="5060" w:type="dxa"/>
            <w:vAlign w:val="bottom"/>
          </w:tcPr>
          <w:p>
            <w:pPr>
              <w:ind w:left="360"/>
              <w:spacing w:after="0"/>
              <w:rPr>
                <w:sz w:val="20"/>
                <w:szCs w:val="20"/>
                <w:color w:val="auto"/>
              </w:rPr>
            </w:pPr>
            <w:r>
              <w:rPr>
                <w:rFonts w:ascii="Arial" w:cs="Arial" w:eastAsia="Arial" w:hAnsi="Arial"/>
                <w:sz w:val="16"/>
                <w:szCs w:val="16"/>
                <w:color w:val="auto"/>
              </w:rPr>
              <w:t>Tax exempt interest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w:t>
            </w: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(1 %)</w:t>
            </w:r>
          </w:p>
        </w:tc>
      </w:tr>
      <w:tr>
        <w:trPr>
          <w:trHeight w:val="217"/>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 to prior year taxes</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5"/>
        </w:trPr>
        <w:tc>
          <w:tcPr>
            <w:tcW w:w="5060" w:type="dxa"/>
            <w:vAlign w:val="bottom"/>
          </w:tcPr>
          <w:p>
            <w:pPr>
              <w:ind w:left="360"/>
              <w:spacing w:after="0"/>
              <w:rPr>
                <w:sz w:val="20"/>
                <w:szCs w:val="20"/>
                <w:color w:val="auto"/>
              </w:rPr>
            </w:pPr>
            <w:r>
              <w:rPr>
                <w:rFonts w:ascii="Arial" w:cs="Arial" w:eastAsia="Arial" w:hAnsi="Arial"/>
                <w:sz w:val="16"/>
                <w:szCs w:val="16"/>
                <w:color w:val="auto"/>
              </w:rPr>
              <w:t>Stock-based compensation</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 %</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 %</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w:t>
            </w: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(1 %)</w:t>
            </w:r>
          </w:p>
        </w:tc>
      </w:tr>
      <w:tr>
        <w:trPr>
          <w:trHeight w:val="217"/>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valuation allowance</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5"/>
        </w:trPr>
        <w:tc>
          <w:tcPr>
            <w:tcW w:w="5060" w:type="dxa"/>
            <w:vAlign w:val="bottom"/>
          </w:tcPr>
          <w:p>
            <w:pPr>
              <w:ind w:left="360"/>
              <w:spacing w:after="0"/>
              <w:rPr>
                <w:sz w:val="20"/>
                <w:szCs w:val="20"/>
                <w:color w:val="auto"/>
              </w:rPr>
            </w:pPr>
            <w:r>
              <w:rPr>
                <w:rFonts w:ascii="Arial" w:cs="Arial" w:eastAsia="Arial" w:hAnsi="Arial"/>
                <w:sz w:val="16"/>
                <w:szCs w:val="16"/>
                <w:color w:val="auto"/>
              </w:rPr>
              <w:t>Dividend received deduction</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 %</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 %</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7"/>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Nondeductible expenses</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1 %</w:t>
            </w:r>
          </w:p>
        </w:tc>
      </w:tr>
      <w:tr>
        <w:trPr>
          <w:trHeight w:val="215"/>
        </w:trPr>
        <w:tc>
          <w:tcPr>
            <w:tcW w:w="5060" w:type="dxa"/>
            <w:vAlign w:val="bottom"/>
          </w:tcPr>
          <w:p>
            <w:pPr>
              <w:ind w:left="360"/>
              <w:spacing w:after="0"/>
              <w:rPr>
                <w:sz w:val="20"/>
                <w:szCs w:val="20"/>
                <w:color w:val="auto"/>
              </w:rPr>
            </w:pPr>
            <w:r>
              <w:rPr>
                <w:rFonts w:ascii="Arial" w:cs="Arial" w:eastAsia="Arial" w:hAnsi="Arial"/>
                <w:sz w:val="16"/>
                <w:szCs w:val="16"/>
                <w:color w:val="auto"/>
              </w:rPr>
              <w:t>Foreign operations</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7"/>
        </w:trPr>
        <w:tc>
          <w:tcPr>
            <w:tcW w:w="5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0"/>
        </w:trPr>
        <w:tc>
          <w:tcPr>
            <w:tcW w:w="5060" w:type="dxa"/>
            <w:vAlign w:val="bottom"/>
          </w:tcPr>
          <w:p>
            <w:pPr>
              <w:ind w:left="20"/>
              <w:spacing w:after="0"/>
              <w:rPr>
                <w:sz w:val="20"/>
                <w:szCs w:val="20"/>
                <w:color w:val="auto"/>
              </w:rPr>
            </w:pPr>
            <w:r>
              <w:rPr>
                <w:rFonts w:ascii="Arial" w:cs="Arial" w:eastAsia="Arial" w:hAnsi="Arial"/>
                <w:sz w:val="16"/>
                <w:szCs w:val="16"/>
                <w:color w:val="auto"/>
              </w:rPr>
              <w:t>Provision for income taxes as shown in the statement of earnings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21 %</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254</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19 %</w:t>
            </w:r>
          </w:p>
        </w:tc>
      </w:tr>
      <w:tr>
        <w:trPr>
          <w:trHeight w:val="20"/>
        </w:trPr>
        <w:tc>
          <w:tcPr>
            <w:tcW w:w="5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On January 1, 2023, the two major tax provisions in the Inflation Reduction Act ("IRA”) became effective. The IRA created a new corporate alternative minimum tax (“CAMT”) based on the earnings that a company reports in its financial statements and imposes a 1% excise tax on corporate stock repurchases. Any CAMT incurred would be available to offset taxes payable under the standard calculation in future periods. Accordingly, the CAMT is a timing difference and would result in the recording of an offsetting deferred tax asset with no impact on overall income tax expense. Based on current guidance, while AFG meets the financial statement income thresholds to be subject to CAMT, management does not believe AFG will incur a CAMT liability for 2023. The excise tax on stock repurchases in excess of any issuances is recorded as part of the cost of the repurchases directly in shareholders’ equity.</w:t>
      </w:r>
    </w:p>
    <w:p>
      <w:pPr>
        <w:spacing w:after="0" w:line="222"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Since almost all of AFG’s earnings are taxable based on U.S. tax rates, the Global Intangible Low-taxed Income (“GILTI”) provision is not expected to be material to AFG’s results of operations and will be recorded in the period that any tax arises.</w:t>
      </w:r>
    </w:p>
    <w:p>
      <w:pPr>
        <w:spacing w:after="0" w:line="185" w:lineRule="exact"/>
        <w:rPr>
          <w:sz w:val="20"/>
          <w:szCs w:val="20"/>
          <w:color w:val="auto"/>
        </w:rPr>
      </w:pPr>
    </w:p>
    <w:p>
      <w:pPr>
        <w:ind w:right="340"/>
        <w:spacing w:after="0" w:line="266" w:lineRule="auto"/>
        <w:rPr>
          <w:sz w:val="20"/>
          <w:szCs w:val="20"/>
          <w:color w:val="auto"/>
        </w:rPr>
      </w:pPr>
      <w:r>
        <w:rPr>
          <w:rFonts w:ascii="Arial" w:cs="Arial" w:eastAsia="Arial" w:hAnsi="Arial"/>
          <w:sz w:val="17"/>
          <w:szCs w:val="17"/>
          <w:color w:val="auto"/>
        </w:rPr>
        <w:t>The Organisation for Economic Co-operation and Development, an intergovernmental organization with 38 member countries, has proposed a global minimum corporate tax rate of 15% (“Pillar Two”). Due to AFG’s limited international operations and the tax rate AFG is subject to in those jurisdictions, management does not believe Pillar Two will have a material impact on AFG’s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AFG’s 2013 — 2018 and 2020 — 2023 tax years remain subject to examination by the 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1" w:name="page122"/>
    <w:bookmarkEnd w:id="12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AMERICAN FINANCIAL GROUP,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NOTES TO CONSOLIDATED FINANCIAL STATEMENTS — CONTINUED</w:t>
      </w:r>
    </w:p>
    <w:p>
      <w:pPr>
        <w:spacing w:after="0" w:line="200" w:lineRule="exact"/>
        <w:rPr>
          <w:sz w:val="20"/>
          <w:szCs w:val="20"/>
          <w:color w:val="auto"/>
        </w:rPr>
      </w:pPr>
    </w:p>
    <w:p>
      <w:pPr>
        <w:spacing w:after="0" w:line="240"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Total earnings before income taxes include earnings subject to tax in foreign jurisdictions of $32 million in 2023, $64 million in 2022 and $33 million in 2021.</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total income tax provision of continuing operations consists of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4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2022</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2021</w:t>
            </w:r>
          </w:p>
        </w:tc>
      </w:tr>
      <w:tr>
        <w:trPr>
          <w:trHeight w:val="200"/>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taxes:</w:t>
            </w: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5"/>
        </w:trPr>
        <w:tc>
          <w:tcPr>
            <w:tcW w:w="7400" w:type="dxa"/>
            <w:vAlign w:val="bottom"/>
          </w:tcPr>
          <w:p>
            <w:pPr>
              <w:ind w:left="360"/>
              <w:spacing w:after="0"/>
              <w:rPr>
                <w:sz w:val="20"/>
                <w:szCs w:val="20"/>
                <w:color w:val="auto"/>
              </w:rPr>
            </w:pPr>
            <w:r>
              <w:rPr>
                <w:rFonts w:ascii="Arial" w:cs="Arial" w:eastAsia="Arial" w:hAnsi="Arial"/>
                <w:sz w:val="16"/>
                <w:szCs w:val="16"/>
                <w:color w:val="auto"/>
              </w:rPr>
              <w:t>Federal</w:t>
            </w:r>
          </w:p>
        </w:tc>
        <w:tc>
          <w:tcPr>
            <w:tcW w:w="820" w:type="dxa"/>
            <w:vAlign w:val="bottom"/>
          </w:tcPr>
          <w:p>
            <w:pPr>
              <w:jc w:val="right"/>
              <w:ind w:right="622"/>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192</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162</w:t>
            </w:r>
          </w:p>
        </w:tc>
      </w:tr>
      <w:tr>
        <w:trPr>
          <w:trHeight w:val="217"/>
        </w:trPr>
        <w:tc>
          <w:tcPr>
            <w:tcW w:w="7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State</w:t>
            </w: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w:t>
            </w:r>
          </w:p>
        </w:tc>
      </w:tr>
      <w:tr>
        <w:trPr>
          <w:trHeight w:val="215"/>
        </w:trPr>
        <w:tc>
          <w:tcPr>
            <w:tcW w:w="7400" w:type="dxa"/>
            <w:vAlign w:val="bottom"/>
          </w:tcPr>
          <w:p>
            <w:pPr>
              <w:ind w:left="360"/>
              <w:spacing w:after="0"/>
              <w:rPr>
                <w:sz w:val="20"/>
                <w:szCs w:val="20"/>
                <w:color w:val="auto"/>
              </w:rPr>
            </w:pPr>
            <w:r>
              <w:rPr>
                <w:rFonts w:ascii="Arial" w:cs="Arial" w:eastAsia="Arial" w:hAnsi="Arial"/>
                <w:sz w:val="16"/>
                <w:szCs w:val="16"/>
                <w:color w:val="auto"/>
              </w:rPr>
              <w:t>Foreign</w:t>
            </w: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w:t>
            </w: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taxes:</w:t>
            </w: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5"/>
        </w:trPr>
        <w:tc>
          <w:tcPr>
            <w:tcW w:w="7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Federal</w:t>
            </w:r>
          </w:p>
        </w:tc>
        <w:tc>
          <w:tcPr>
            <w:tcW w:w="8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84</w:t>
            </w:r>
          </w:p>
        </w:tc>
      </w:tr>
      <w:tr>
        <w:trPr>
          <w:trHeight w:val="235"/>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820" w:type="dxa"/>
            <w:vAlign w:val="bottom"/>
            <w:tcBorders>
              <w:bottom w:val="single" w:sz="8" w:color="auto"/>
            </w:tcBorders>
            <w:shd w:val="clear" w:color="auto" w:fill="CCEEFF"/>
          </w:tcPr>
          <w:p>
            <w:pPr>
              <w:jc w:val="right"/>
              <w:ind w:right="622"/>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225</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254</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For income tax purposes, AFG and its subsidiaries had the following carryforwards available at December 31, 2023 (in millions):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300" w:type="dxa"/>
            <w:vAlign w:val="bottom"/>
          </w:tcPr>
          <w:p>
            <w:pPr>
              <w:spacing w:after="0"/>
              <w:rPr>
                <w:sz w:val="16"/>
                <w:szCs w:val="16"/>
                <w:color w:val="auto"/>
              </w:rPr>
            </w:pPr>
          </w:p>
        </w:tc>
        <w:tc>
          <w:tcPr>
            <w:tcW w:w="1480" w:type="dxa"/>
            <w:vAlign w:val="bottom"/>
            <w:gridSpan w:val="2"/>
          </w:tcPr>
          <w:p>
            <w:pPr>
              <w:ind w:left="440"/>
              <w:spacing w:after="0"/>
              <w:rPr>
                <w:sz w:val="20"/>
                <w:szCs w:val="20"/>
                <w:color w:val="auto"/>
              </w:rPr>
            </w:pPr>
            <w:r>
              <w:rPr>
                <w:rFonts w:ascii="Arial" w:cs="Arial" w:eastAsia="Arial" w:hAnsi="Arial"/>
                <w:sz w:val="14"/>
                <w:szCs w:val="14"/>
                <w:color w:val="auto"/>
              </w:rPr>
              <w:t>Expiring</w:t>
            </w:r>
          </w:p>
        </w:tc>
        <w:tc>
          <w:tcPr>
            <w:tcW w:w="200" w:type="dxa"/>
            <w:vAlign w:val="bottom"/>
          </w:tcPr>
          <w:p>
            <w:pPr>
              <w:spacing w:after="0"/>
              <w:rPr>
                <w:sz w:val="16"/>
                <w:szCs w:val="16"/>
                <w:color w:val="auto"/>
              </w:rPr>
            </w:pPr>
          </w:p>
        </w:tc>
        <w:tc>
          <w:tcPr>
            <w:tcW w:w="860" w:type="dxa"/>
            <w:vAlign w:val="bottom"/>
          </w:tcPr>
          <w:p>
            <w:pPr>
              <w:jc w:val="right"/>
              <w:ind w:right="202"/>
              <w:spacing w:after="0"/>
              <w:rPr>
                <w:sz w:val="20"/>
                <w:szCs w:val="20"/>
                <w:color w:val="auto"/>
              </w:rPr>
            </w:pPr>
            <w:r>
              <w:rPr>
                <w:rFonts w:ascii="Arial" w:cs="Arial" w:eastAsia="Arial" w:hAnsi="Arial"/>
                <w:sz w:val="14"/>
                <w:szCs w:val="14"/>
                <w:color w:val="auto"/>
              </w:rPr>
              <w:t>Amount</w:t>
            </w:r>
          </w:p>
        </w:tc>
        <w:tc>
          <w:tcPr>
            <w:tcW w:w="400" w:type="dxa"/>
            <w:vAlign w:val="bottom"/>
          </w:tcPr>
          <w:p>
            <w:pPr>
              <w:spacing w:after="0"/>
              <w:rPr>
                <w:sz w:val="16"/>
                <w:szCs w:val="16"/>
                <w:color w:val="auto"/>
              </w:rPr>
            </w:pPr>
          </w:p>
        </w:tc>
      </w:tr>
      <w:tr>
        <w:trPr>
          <w:trHeight w:val="213"/>
        </w:trPr>
        <w:tc>
          <w:tcPr>
            <w:tcW w:w="8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Loss – U.S.</w:t>
            </w:r>
          </w:p>
        </w:tc>
        <w:tc>
          <w:tcPr>
            <w:tcW w:w="1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2024 - 2041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w:t>
            </w:r>
          </w:p>
        </w:tc>
        <w:tc>
          <w:tcPr>
            <w:tcW w:w="400" w:type="dxa"/>
            <w:vAlign w:val="bottom"/>
            <w:tcBorders>
              <w:top w:val="single" w:sz="8" w:color="CCEEFF"/>
            </w:tcBorders>
            <w:shd w:val="clear" w:color="auto" w:fill="CCEEFF"/>
          </w:tcPr>
          <w:p>
            <w:pPr>
              <w:spacing w:after="0"/>
              <w:rPr>
                <w:sz w:val="18"/>
                <w:szCs w:val="18"/>
                <w:color w:val="auto"/>
              </w:rPr>
            </w:pPr>
          </w:p>
        </w:tc>
      </w:tr>
      <w:tr>
        <w:trPr>
          <w:trHeight w:val="215"/>
        </w:trPr>
        <w:tc>
          <w:tcPr>
            <w:tcW w:w="8300" w:type="dxa"/>
            <w:vAlign w:val="bottom"/>
          </w:tcPr>
          <w:p>
            <w:pPr>
              <w:ind w:left="20"/>
              <w:spacing w:after="0"/>
              <w:rPr>
                <w:sz w:val="20"/>
                <w:szCs w:val="20"/>
                <w:color w:val="auto"/>
              </w:rPr>
            </w:pPr>
            <w:r>
              <w:rPr>
                <w:rFonts w:ascii="Arial" w:cs="Arial" w:eastAsia="Arial" w:hAnsi="Arial"/>
                <w:sz w:val="16"/>
                <w:szCs w:val="16"/>
                <w:color w:val="auto"/>
              </w:rPr>
              <w:t>Operating Loss – United Kingdom</w:t>
            </w:r>
          </w:p>
        </w:tc>
        <w:tc>
          <w:tcPr>
            <w:tcW w:w="1480" w:type="dxa"/>
            <w:vAlign w:val="bottom"/>
            <w:gridSpan w:val="2"/>
          </w:tcPr>
          <w:p>
            <w:pPr>
              <w:ind w:left="20"/>
              <w:spacing w:after="0"/>
              <w:rPr>
                <w:sz w:val="20"/>
                <w:szCs w:val="20"/>
                <w:color w:val="auto"/>
              </w:rPr>
            </w:pPr>
            <w:r>
              <w:rPr>
                <w:rFonts w:ascii="Arial" w:cs="Arial" w:eastAsia="Arial" w:hAnsi="Arial"/>
                <w:sz w:val="16"/>
                <w:szCs w:val="16"/>
                <w:color w:val="auto"/>
              </w:rPr>
              <w:t>indefinite</w:t>
            </w:r>
          </w:p>
        </w:tc>
        <w:tc>
          <w:tcPr>
            <w:tcW w:w="20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38</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w w:val="94"/>
              </w:rPr>
              <w:t>(*)</w:t>
            </w:r>
          </w:p>
        </w:tc>
      </w:tr>
    </w:tbl>
    <w:p>
      <w:pPr>
        <w:spacing w:after="0" w:line="141" w:lineRule="exact"/>
        <w:rPr>
          <w:sz w:val="20"/>
          <w:szCs w:val="20"/>
          <w:color w:val="auto"/>
        </w:rPr>
      </w:pPr>
    </w:p>
    <w:p>
      <w:pPr>
        <w:ind w:left="400" w:hanging="392"/>
        <w:spacing w:after="0"/>
        <w:tabs>
          <w:tab w:leader="none" w:pos="4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£30 million</w:t>
      </w:r>
    </w:p>
    <w:p>
      <w:pPr>
        <w:spacing w:after="0" w:line="264"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Deferred income tax assets and liabilities reflect temporary differences between the carrying amounts of assets and liabilities recognized for financial reporting purposes and the amounts recognized for tax purposes. The significant components of deferred tax assets and liabilities included in AFG’s Balance Sheet at December 31 were as follows (in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2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2023</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2022</w:t>
            </w:r>
          </w:p>
        </w:tc>
      </w:tr>
      <w:tr>
        <w:trPr>
          <w:trHeight w:val="200"/>
        </w:trPr>
        <w:tc>
          <w:tcPr>
            <w:tcW w:w="9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15"/>
        </w:trPr>
        <w:tc>
          <w:tcPr>
            <w:tcW w:w="9280" w:type="dxa"/>
            <w:vAlign w:val="bottom"/>
          </w:tcPr>
          <w:p>
            <w:pPr>
              <w:ind w:left="360"/>
              <w:spacing w:after="0"/>
              <w:rPr>
                <w:sz w:val="20"/>
                <w:szCs w:val="20"/>
                <w:color w:val="auto"/>
              </w:rPr>
            </w:pPr>
            <w:r>
              <w:rPr>
                <w:rFonts w:ascii="Arial" w:cs="Arial" w:eastAsia="Arial" w:hAnsi="Arial"/>
                <w:sz w:val="16"/>
                <w:szCs w:val="16"/>
                <w:color w:val="auto"/>
              </w:rPr>
              <w:t>Federal net operating loss carryforwards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7"/>
        </w:trPr>
        <w:tc>
          <w:tcPr>
            <w:tcW w:w="9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 underwriting losses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5"/>
        </w:trPr>
        <w:tc>
          <w:tcPr>
            <w:tcW w:w="9280" w:type="dxa"/>
            <w:vAlign w:val="bottom"/>
          </w:tcPr>
          <w:p>
            <w:pPr>
              <w:ind w:left="360"/>
              <w:spacing w:after="0"/>
              <w:rPr>
                <w:sz w:val="20"/>
                <w:szCs w:val="20"/>
                <w:color w:val="auto"/>
              </w:rPr>
            </w:pPr>
            <w:r>
              <w:rPr>
                <w:rFonts w:ascii="Arial" w:cs="Arial" w:eastAsia="Arial" w:hAnsi="Arial"/>
                <w:sz w:val="16"/>
                <w:szCs w:val="16"/>
                <w:color w:val="auto"/>
              </w:rPr>
              <w:t>Insurance claims and reserves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255</w:t>
            </w:r>
          </w:p>
        </w:tc>
      </w:tr>
      <w:tr>
        <w:trPr>
          <w:trHeight w:val="217"/>
        </w:trPr>
        <w:tc>
          <w:tcPr>
            <w:tcW w:w="9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Employee benefits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215"/>
        </w:trPr>
        <w:tc>
          <w:tcPr>
            <w:tcW w:w="92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net</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10"/>
        </w:trPr>
        <w:tc>
          <w:tcPr>
            <w:tcW w:w="92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deferred tax assets before valuation allowance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w:t>
            </w:r>
          </w:p>
        </w:tc>
      </w:tr>
      <w:tr>
        <w:trPr>
          <w:trHeight w:val="215"/>
        </w:trPr>
        <w:tc>
          <w:tcPr>
            <w:tcW w:w="92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Valuation allowance against deferred tax assets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10"/>
        </w:trPr>
        <w:tc>
          <w:tcPr>
            <w:tcW w:w="92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deferred tax assets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r>
      <w:tr>
        <w:trPr>
          <w:trHeight w:val="215"/>
        </w:trPr>
        <w:tc>
          <w:tcPr>
            <w:tcW w:w="928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7"/>
        </w:trPr>
        <w:tc>
          <w:tcPr>
            <w:tcW w:w="9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Investment securities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15"/>
        </w:trPr>
        <w:tc>
          <w:tcPr>
            <w:tcW w:w="9280" w:type="dxa"/>
            <w:vAlign w:val="bottom"/>
          </w:tcPr>
          <w:p>
            <w:pPr>
              <w:ind w:left="360"/>
              <w:spacing w:after="0"/>
              <w:rPr>
                <w:sz w:val="20"/>
                <w:szCs w:val="20"/>
                <w:color w:val="auto"/>
              </w:rPr>
            </w:pPr>
            <w:r>
              <w:rPr>
                <w:rFonts w:ascii="Arial" w:cs="Arial" w:eastAsia="Arial" w:hAnsi="Arial"/>
                <w:sz w:val="16"/>
                <w:szCs w:val="16"/>
                <w:color w:val="auto"/>
              </w:rPr>
              <w:t>Deferred policy acquisition costs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17"/>
        </w:trPr>
        <w:tc>
          <w:tcPr>
            <w:tcW w:w="9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Insurance claims and reserves transition liability</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5"/>
        </w:trPr>
        <w:tc>
          <w:tcPr>
            <w:tcW w:w="92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Real estate, property and equipment</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210"/>
        </w:trPr>
        <w:tc>
          <w:tcPr>
            <w:tcW w:w="92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deferred tax liabilities</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w:t>
            </w:r>
          </w:p>
        </w:tc>
      </w:tr>
      <w:tr>
        <w:trPr>
          <w:trHeight w:val="210"/>
        </w:trPr>
        <w:tc>
          <w:tcPr>
            <w:tcW w:w="9280" w:type="dxa"/>
            <w:vAlign w:val="bottom"/>
          </w:tcPr>
          <w:p>
            <w:pPr>
              <w:ind w:left="20"/>
              <w:spacing w:after="0"/>
              <w:rPr>
                <w:sz w:val="20"/>
                <w:szCs w:val="20"/>
                <w:color w:val="auto"/>
              </w:rPr>
            </w:pPr>
            <w:r>
              <w:rPr>
                <w:rFonts w:ascii="Arial" w:cs="Arial" w:eastAsia="Arial" w:hAnsi="Arial"/>
                <w:sz w:val="16"/>
                <w:szCs w:val="16"/>
                <w:color w:val="auto"/>
              </w:rPr>
              <w:t>Net deferred tax asset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r>
      <w:tr>
        <w:trPr>
          <w:trHeight w:val="20"/>
        </w:trPr>
        <w:tc>
          <w:tcPr>
            <w:tcW w:w="9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AFG’s net deferred tax asset at December 31, 2023 and 2022 is included in other assets in AFG’s Balance Sheet. The decrease in AFG’s net deferred tax asset at December 31, 2023 compared to December 31, 2022 reflects lower net unrealized losses on fixed maturities at December 31, 2023 compared to December 31, 2022 and the increase in fair value of equity securities still owned.</w:t>
      </w:r>
    </w:p>
    <w:p>
      <w:pPr>
        <w:spacing w:after="0" w:line="195" w:lineRule="exact"/>
        <w:rPr>
          <w:sz w:val="20"/>
          <w:szCs w:val="20"/>
          <w:color w:val="auto"/>
        </w:rPr>
      </w:pPr>
    </w:p>
    <w:p>
      <w:pPr>
        <w:jc w:val="both"/>
        <w:ind w:right="200"/>
        <w:spacing w:after="0" w:line="284" w:lineRule="auto"/>
        <w:rPr>
          <w:sz w:val="20"/>
          <w:szCs w:val="20"/>
          <w:color w:val="auto"/>
        </w:rPr>
      </w:pPr>
      <w:r>
        <w:rPr>
          <w:rFonts w:ascii="Arial" w:cs="Arial" w:eastAsia="Arial" w:hAnsi="Arial"/>
          <w:sz w:val="17"/>
          <w:szCs w:val="17"/>
          <w:color w:val="auto"/>
        </w:rPr>
        <w:t>The likelihood of realizing deferred tax assets is reviewed periodically. Any adjustments required to the valuation allowance are made in the period during which developments requiring an adjustment become known.</w:t>
      </w:r>
    </w:p>
    <w:p>
      <w:pPr>
        <w:spacing w:after="0" w:line="185" w:lineRule="exact"/>
        <w:rPr>
          <w:sz w:val="20"/>
          <w:szCs w:val="20"/>
          <w:color w:val="auto"/>
        </w:rPr>
      </w:pPr>
    </w:p>
    <w:p>
      <w:pPr>
        <w:jc w:val="both"/>
        <w:ind w:right="220"/>
        <w:spacing w:after="0" w:line="266" w:lineRule="auto"/>
        <w:rPr>
          <w:sz w:val="20"/>
          <w:szCs w:val="20"/>
          <w:color w:val="auto"/>
        </w:rPr>
      </w:pPr>
      <w:r>
        <w:rPr>
          <w:rFonts w:ascii="Arial" w:cs="Arial" w:eastAsia="Arial" w:hAnsi="Arial"/>
          <w:sz w:val="17"/>
          <w:szCs w:val="17"/>
          <w:color w:val="auto"/>
        </w:rPr>
        <w:t>At both December 31, 2023 and December 31, 2022, there are unrecognized tax benefits and related interest and penalties of less than $1 million that, if recognized, would impact the effective tax rate. AFG’s provision for income taxes in 2023, 2022 and 2021 included interest expense of less than $1 million related to unrecognized tax benefits. There were liabilities of less than $1 million for interest related to unrecognized tax benefits at both December 31, 2023 and</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22" w:name="page123"/>
    <w:bookmarkEnd w:id="12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274E"/>
        </w:rPr>
        <w:t>AMERICAN FINANCIAL GROUP,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274E"/>
        </w:rPr>
        <w:t>NOTES TO CONSOLIDATED FINANCIAL STATEMENTS — CONTINUED</w:t>
      </w:r>
    </w:p>
    <w:p>
      <w:pPr>
        <w:spacing w:after="0" w:line="200" w:lineRule="exact"/>
        <w:rPr>
          <w:sz w:val="20"/>
          <w:szCs w:val="20"/>
          <w:color w:val="auto"/>
        </w:rPr>
      </w:pPr>
    </w:p>
    <w:p>
      <w:pPr>
        <w:spacing w:after="0" w:line="240" w:lineRule="exact"/>
        <w:rPr>
          <w:sz w:val="20"/>
          <w:szCs w:val="20"/>
          <w:color w:val="auto"/>
        </w:rPr>
      </w:pPr>
    </w:p>
    <w:p>
      <w:pPr>
        <w:ind w:right="200"/>
        <w:spacing w:after="0" w:line="284" w:lineRule="auto"/>
        <w:rPr>
          <w:sz w:val="20"/>
          <w:szCs w:val="20"/>
          <w:color w:val="auto"/>
        </w:rPr>
      </w:pPr>
      <w:r>
        <w:rPr>
          <w:rFonts w:ascii="Arial" w:cs="Arial" w:eastAsia="Arial" w:hAnsi="Arial"/>
          <w:sz w:val="17"/>
          <w:szCs w:val="17"/>
          <w:color w:val="auto"/>
        </w:rPr>
        <w:t>December 31, 2022. There were no penalties related to unrecognized tax benefits included in AFG’s provision for income taxes in 2023, 2022 and 2021. There is no liability for penalties related to unrecognized tax benefits at December 31, 2023 or December 31, 2022.</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Cash payments for income taxes, net of refunds, were $201 million, $242 million and $212 million for 2023, 2022 and 2021, respectively.</w:t>
      </w:r>
    </w:p>
    <w:p>
      <w:pPr>
        <w:spacing w:after="0" w:line="252" w:lineRule="exact"/>
        <w:rPr>
          <w:sz w:val="20"/>
          <w:szCs w:val="20"/>
          <w:color w:val="auto"/>
        </w:rPr>
      </w:pPr>
    </w:p>
    <w:p>
      <w:pPr>
        <w:ind w:left="620" w:hanging="612"/>
        <w:spacing w:after="0"/>
        <w:tabs>
          <w:tab w:leader="none" w:pos="620" w:val="left"/>
        </w:tabs>
        <w:numPr>
          <w:ilvl w:val="0"/>
          <w:numId w:val="67"/>
        </w:numPr>
        <w:rPr>
          <w:rFonts w:ascii="Arial" w:cs="Arial" w:eastAsia="Arial" w:hAnsi="Arial"/>
          <w:sz w:val="29"/>
          <w:szCs w:val="29"/>
          <w:b w:val="1"/>
          <w:bCs w:val="1"/>
          <w:color w:val="00274E"/>
        </w:rPr>
      </w:pPr>
      <w:r>
        <w:rPr>
          <w:rFonts w:ascii="Arial" w:cs="Arial" w:eastAsia="Arial" w:hAnsi="Arial"/>
          <w:sz w:val="29"/>
          <w:szCs w:val="29"/>
          <w:b w:val="1"/>
          <w:bCs w:val="1"/>
          <w:color w:val="00274E"/>
        </w:rPr>
        <w:t>Contingencies</w:t>
      </w:r>
    </w:p>
    <w:p>
      <w:pPr>
        <w:spacing w:after="0" w:line="259"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Establishing property and casualty insurance reserves for claims related to environmental exposures, asbestos and other mass tort claims is subject to uncertainties that are significantly greater than those presented by other types of claims. For this group of claims, traditional actuarial techniques that rely on historical loss development trends cannot be used and a range of reasonably possible losses cannot be estimated. Accruals (included in other liabilities) have been recorded for various environmental and occupational injury and disease claims and other contingencies arising out of the railroad operations disposed of by Penn Central Transportation Company (“PCTC”), the predecessor to American Premier Underwriters, Inc (including its subsidiaries, “American Premier”), prior to PCTC’s bankruptcy reorganization in 1978 and certain manufacturing operations disposed of by American Premier and Great American Financial Resources, Inc. (“GAFRI”).</w:t>
      </w:r>
    </w:p>
    <w:p>
      <w:pPr>
        <w:spacing w:after="0" w:line="209"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AFG completed in-depth internal reviews of its asbestos and environmental (“A&amp;E”) reserves in the third quarters of 2023, 2022 and 2021. The 2023 internal review resulted in a pretax special A&amp;E charge of $15 million for the former railroad and manufacturing operations. The 2022 and 2021 reviews resulted in smaller adjustments to AFG’s A&amp;E reserves.</w:t>
      </w:r>
    </w:p>
    <w:p>
      <w:pPr>
        <w:spacing w:after="0" w:line="195" w:lineRule="exact"/>
        <w:rPr>
          <w:sz w:val="20"/>
          <w:szCs w:val="20"/>
          <w:color w:val="auto"/>
        </w:rPr>
      </w:pPr>
    </w:p>
    <w:p>
      <w:pPr>
        <w:ind w:right="320"/>
        <w:spacing w:after="0" w:line="284" w:lineRule="auto"/>
        <w:rPr>
          <w:sz w:val="20"/>
          <w:szCs w:val="20"/>
          <w:color w:val="auto"/>
        </w:rPr>
      </w:pPr>
      <w:r>
        <w:rPr>
          <w:rFonts w:ascii="Arial" w:cs="Arial" w:eastAsia="Arial" w:hAnsi="Arial"/>
          <w:sz w:val="17"/>
          <w:szCs w:val="17"/>
          <w:color w:val="auto"/>
        </w:rPr>
        <w:t>The property and casualty group’s liability for A&amp;E reserves was $498 million at December 31, 2023; related recoverables from reinsurers (net of allowances for doubtful accounts) at that date were $128 million.</w:t>
      </w:r>
    </w:p>
    <w:p>
      <w:pPr>
        <w:spacing w:after="0" w:line="185"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At December 31, 2023, American Premier and its subsidiaries had liabilities for environmental and personal injury claims and other contingencies aggregating $94 million. The environmental claims consist of a number of proceedings and claims seeking to impose responsibility for hazardous waste remediation costs related to certain sites formerly owned or operated by the railroad and manufacturing operations. Remediation costs are difficult to estimate for a number of reasons, including the number and financial resources of other potentially responsible parties, the range of costs for remediation alternatives, changing technology and the time period over which these matters develop. The personal injury claims and other contingencies include pending and expected claims, primarily by former employees of PCTC, for injury or disease allegedly caused by exposure to excessive noise, asbestos or other substances in the workplace and other labor disputes.</w:t>
      </w:r>
    </w:p>
    <w:p>
      <w:pPr>
        <w:spacing w:after="0" w:line="205" w:lineRule="exact"/>
        <w:rPr>
          <w:sz w:val="20"/>
          <w:szCs w:val="20"/>
          <w:color w:val="auto"/>
        </w:rPr>
      </w:pPr>
    </w:p>
    <w:p>
      <w:pPr>
        <w:ind w:right="240"/>
        <w:spacing w:after="0" w:line="284" w:lineRule="auto"/>
        <w:rPr>
          <w:sz w:val="20"/>
          <w:szCs w:val="20"/>
          <w:color w:val="auto"/>
        </w:rPr>
      </w:pPr>
      <w:r>
        <w:rPr>
          <w:rFonts w:ascii="Arial" w:cs="Arial" w:eastAsia="Arial" w:hAnsi="Arial"/>
          <w:sz w:val="17"/>
          <w:szCs w:val="17"/>
          <w:color w:val="auto"/>
        </w:rPr>
        <w:t>At December 31, 2023, GAFRI had a liability of $7 million for environmental costs and certain other matters associated with the sales of its former manufacturing operations.</w:t>
      </w:r>
    </w:p>
    <w:p>
      <w:pPr>
        <w:spacing w:after="0" w:line="185"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While management believes AFG has recorded adequate reserves for the items discussed above, the outcome is uncertain and could result in liabilities that may vary from amounts AFG has currently recorded. Such amounts could have a material effect on AFG’s future results of operations and financial condition.</w:t>
      </w:r>
    </w:p>
    <w:p>
      <w:pPr>
        <w:spacing w:after="0" w:line="214"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In addition, AFG and its subsidiaries are involved in litigation from time to time, generally arising in the ordinary course of business. This litigation may include, but is not limited to, general commercial disputes, lawsuits brought by policyholders, employment matters, reinsurance collection matters and actions challenging certain business practices of insurance subsidiaries. None of these matters are expected to have a material adverse impact on AFG’s results of operations or financial condition.</w:t>
      </w:r>
    </w:p>
    <w:p>
      <w:pPr>
        <w:spacing w:after="0" w:line="194" w:lineRule="exact"/>
        <w:rPr>
          <w:sz w:val="20"/>
          <w:szCs w:val="20"/>
          <w:color w:val="auto"/>
        </w:rPr>
      </w:pPr>
    </w:p>
    <w:p>
      <w:pPr>
        <w:ind w:left="640" w:hanging="632"/>
        <w:spacing w:after="0"/>
        <w:tabs>
          <w:tab w:leader="none" w:pos="640" w:val="left"/>
        </w:tabs>
        <w:numPr>
          <w:ilvl w:val="0"/>
          <w:numId w:val="68"/>
        </w:numPr>
        <w:rPr>
          <w:rFonts w:ascii="Arial" w:cs="Arial" w:eastAsia="Arial" w:hAnsi="Arial"/>
          <w:sz w:val="29"/>
          <w:szCs w:val="29"/>
          <w:b w:val="1"/>
          <w:bCs w:val="1"/>
          <w:color w:val="00274E"/>
        </w:rPr>
      </w:pPr>
      <w:r>
        <w:rPr>
          <w:rFonts w:ascii="Arial" w:cs="Arial" w:eastAsia="Arial" w:hAnsi="Arial"/>
          <w:sz w:val="29"/>
          <w:szCs w:val="29"/>
          <w:b w:val="1"/>
          <w:bCs w:val="1"/>
          <w:color w:val="00274E"/>
        </w:rPr>
        <w:t>Insurance</w:t>
      </w:r>
    </w:p>
    <w:p>
      <w:pPr>
        <w:spacing w:after="0" w:line="272" w:lineRule="exact"/>
        <w:rPr>
          <w:sz w:val="20"/>
          <w:szCs w:val="20"/>
          <w:color w:val="auto"/>
        </w:rPr>
      </w:pPr>
    </w:p>
    <w:p>
      <w:pPr>
        <w:ind w:right="400"/>
        <w:spacing w:after="0" w:line="284" w:lineRule="auto"/>
        <w:rPr>
          <w:sz w:val="20"/>
          <w:szCs w:val="20"/>
          <w:color w:val="auto"/>
        </w:rPr>
      </w:pPr>
      <w:r>
        <w:rPr>
          <w:rFonts w:ascii="Arial" w:cs="Arial" w:eastAsia="Arial" w:hAnsi="Arial"/>
          <w:sz w:val="17"/>
          <w:szCs w:val="17"/>
          <w:color w:val="auto"/>
        </w:rPr>
        <w:t>Cash and securities owned by U.S.-based insurance subsidiaries, having a carrying value of approximately $1.22 billion at December 31, 2023, were on deposit as required by regulatory authorities.</w:t>
      </w:r>
    </w:p>
    <w:p>
      <w:pPr>
        <w:spacing w:after="0" w:line="184" w:lineRule="exact"/>
        <w:rPr>
          <w:sz w:val="20"/>
          <w:szCs w:val="20"/>
          <w:color w:val="auto"/>
        </w:rPr>
      </w:pPr>
    </w:p>
    <w:p>
      <w:pPr>
        <w:spacing w:after="0" w:line="249" w:lineRule="auto"/>
        <w:rPr>
          <w:sz w:val="20"/>
          <w:szCs w:val="20"/>
          <w:color w:val="auto"/>
        </w:rPr>
      </w:pPr>
      <w:r>
        <w:rPr>
          <w:rFonts w:ascii="Arial" w:cs="Arial" w:eastAsia="Arial" w:hAnsi="Arial"/>
          <w:sz w:val="20"/>
          <w:szCs w:val="20"/>
          <w:b w:val="1"/>
          <w:bCs w:val="1"/>
          <w:color w:val="00274E"/>
        </w:rPr>
        <w:t xml:space="preserve">Property and Casualty Insurance Reserves </w:t>
      </w:r>
      <w:r>
        <w:rPr>
          <w:rFonts w:ascii="Arial" w:cs="Arial" w:eastAsia="Arial" w:hAnsi="Arial"/>
          <w:sz w:val="17"/>
          <w:szCs w:val="17"/>
          <w:color w:val="000000"/>
        </w:rPr>
        <w:t>Estimating the liability for unpaid losses and loss adjustment expenses (“LAE”) is inherently</w:t>
      </w:r>
      <w:r>
        <w:rPr>
          <w:rFonts w:ascii="Arial" w:cs="Arial" w:eastAsia="Arial" w:hAnsi="Arial"/>
          <w:sz w:val="20"/>
          <w:szCs w:val="20"/>
          <w:b w:val="1"/>
          <w:bCs w:val="1"/>
          <w:color w:val="00274E"/>
        </w:rPr>
        <w:t xml:space="preserve"> </w:t>
      </w:r>
      <w:r>
        <w:rPr>
          <w:rFonts w:ascii="Arial" w:cs="Arial" w:eastAsia="Arial" w:hAnsi="Arial"/>
          <w:sz w:val="17"/>
          <w:szCs w:val="17"/>
          <w:color w:val="000000"/>
        </w:rPr>
        <w:t>judgmental and is influenced by factors that are subject to significant variation. Determining the liability is a complex process incorporating input from many areas of the Company including actuarial, underwriting, pricing, claims and operations management.</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23" w:name="page124"/>
    <w:bookmarkEnd w:id="12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274E"/>
        </w:rPr>
        <w:t>AMERICAN FINANCIAL GROUP,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274E"/>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process used to determine the total reserve for liabilities involves estimating the ultimate incurred losses and LAE, adjusted for amounts already paid on the claims. The incurred but not reported (“IBNR”) reserve is derived by first estimating the ultimate unpaid reserve liability and subtracting case reserves for loss and LAE.</w:t>
      </w:r>
    </w:p>
    <w:p>
      <w:pPr>
        <w:spacing w:after="0" w:line="214"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In determining management’s best estimate of the ultimate liability, management (with the assistance of Company actuaries) considers items such as the effect of inflation on medical, hospitalization, material, repair and replacement costs, the nature and maturity of lines of insurance, general economic trends and the legal environment. In addition, historical trends adjusted for changes in underwriting standards, policy provisions, product mix and other factors are analyzed using actuarial reserve development techniques. Weighing all of the factors, the management team determines a single or “point” estimate that it records as its best estimate of the ultimate liability. Ranges of loss reserves are not developed by Company actuaries. This reserve analysis and review is completed each quarter and for almost every business within AFG’s property and casualty insurance sub-segments.</w:t>
      </w:r>
    </w:p>
    <w:p>
      <w:pPr>
        <w:spacing w:after="0" w:line="209" w:lineRule="exact"/>
        <w:rPr>
          <w:sz w:val="20"/>
          <w:szCs w:val="20"/>
          <w:color w:val="auto"/>
        </w:rPr>
      </w:pPr>
    </w:p>
    <w:p>
      <w:pPr>
        <w:jc w:val="both"/>
        <w:ind w:right="80"/>
        <w:spacing w:after="0" w:line="266" w:lineRule="auto"/>
        <w:rPr>
          <w:sz w:val="20"/>
          <w:szCs w:val="20"/>
          <w:color w:val="auto"/>
        </w:rPr>
      </w:pPr>
      <w:r>
        <w:rPr>
          <w:rFonts w:ascii="Arial" w:cs="Arial" w:eastAsia="Arial" w:hAnsi="Arial"/>
          <w:sz w:val="17"/>
          <w:szCs w:val="17"/>
          <w:color w:val="auto"/>
        </w:rPr>
        <w:t>Each quarterly review includes in-depth analysis of several hundred subdivisions of the business, employing multiple actuarial techniques. For each subdivision, actuaries use informed, professional judgment to adjust these techniques as necessary to respond to specific conditions in the data or within the business.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Some of the standard actuarial methods employed for the quarterly reserve analysis may include (but may not be limited to):</w:t>
      </w:r>
    </w:p>
    <w:p>
      <w:pPr>
        <w:spacing w:after="0" w:line="29" w:lineRule="exact"/>
        <w:rPr>
          <w:sz w:val="20"/>
          <w:szCs w:val="20"/>
          <w:color w:val="auto"/>
        </w:rPr>
      </w:pPr>
    </w:p>
    <w:p>
      <w:pPr>
        <w:ind w:left="640" w:hanging="308"/>
        <w:spacing w:after="0"/>
        <w:tabs>
          <w:tab w:leader="none" w:pos="6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Case Incurred Development Method</w:t>
      </w:r>
    </w:p>
    <w:p>
      <w:pPr>
        <w:spacing w:after="0" w:line="14" w:lineRule="exact"/>
        <w:rPr>
          <w:rFonts w:ascii="Arial" w:cs="Arial" w:eastAsia="Arial" w:hAnsi="Arial"/>
          <w:sz w:val="17"/>
          <w:szCs w:val="17"/>
          <w:color w:val="auto"/>
        </w:rPr>
      </w:pPr>
    </w:p>
    <w:p>
      <w:pPr>
        <w:ind w:left="640" w:hanging="308"/>
        <w:spacing w:after="0"/>
        <w:tabs>
          <w:tab w:leader="none" w:pos="6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Paid Development Method</w:t>
      </w:r>
    </w:p>
    <w:p>
      <w:pPr>
        <w:spacing w:after="0" w:line="7" w:lineRule="exact"/>
        <w:rPr>
          <w:rFonts w:ascii="Arial" w:cs="Arial" w:eastAsia="Arial" w:hAnsi="Arial"/>
          <w:sz w:val="17"/>
          <w:szCs w:val="17"/>
          <w:color w:val="auto"/>
        </w:rPr>
      </w:pPr>
    </w:p>
    <w:p>
      <w:pPr>
        <w:ind w:left="640" w:hanging="308"/>
        <w:spacing w:after="0"/>
        <w:tabs>
          <w:tab w:leader="none" w:pos="6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Bornhuetter-Ferguson Method</w:t>
      </w:r>
    </w:p>
    <w:p>
      <w:pPr>
        <w:spacing w:after="0" w:line="7" w:lineRule="exact"/>
        <w:rPr>
          <w:rFonts w:ascii="Arial" w:cs="Arial" w:eastAsia="Arial" w:hAnsi="Arial"/>
          <w:sz w:val="17"/>
          <w:szCs w:val="17"/>
          <w:color w:val="auto"/>
        </w:rPr>
      </w:pPr>
    </w:p>
    <w:p>
      <w:pPr>
        <w:ind w:left="640" w:hanging="308"/>
        <w:spacing w:after="0"/>
        <w:tabs>
          <w:tab w:leader="none" w:pos="6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Incremental Paid LAE to Paid Loss Methods</w:t>
      </w:r>
    </w:p>
    <w:p>
      <w:pPr>
        <w:spacing w:after="0" w:line="234"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Each method has particular strengths and weaknesses and no single estimation method is most accurate in all situations. When applied to a particular group of claims, the relative strengths and weaknesses of each method can change over time based on the facts and circumstances. Ultimately, the estimation methods chosen are those which the actuary believes produce the most reliable indication for the particular liabilities under review.</w:t>
      </w:r>
    </w:p>
    <w:p>
      <w:pPr>
        <w:spacing w:after="0" w:line="200"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The period of time from the event triggering a claim through the settlement of the liability is referred to as the “tail”. Generally, the same actuarial methods are considered for both short-tail and long-tail lines of business because most of them work properly for both. The methods are designed to incorporate the effects of the differing length of time to settle particular claims. For nearly all lines of business, the actuaries rely heavily on the Bornhuetter-Ferguson method for more recent accident periods. As accident years mature and the underlying claim data becomes more credible, more weight is given to the Case Incurred and Paid Development methods. This transition occurs relatively quickly for short-tailed lines, and over a number of years for long-tail lines. Liability claims for long-tail lines are more susceptible to litigation and can be significantly affected by changing contract interpretation and the legal environment. Therefore, the estimation of loss reserves for these classes is more complex and subject to a higher degree of variability.</w:t>
      </w:r>
    </w:p>
    <w:p>
      <w:pPr>
        <w:spacing w:after="0" w:line="22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level of detail in which data is analyzed varies among the different lines of business. Data is generally analyzed by major product or by coverage within product, using countrywide data; however, in some situations, data may be reviewed by state or region. Appropriate segmentation of the data is determined based on data credibility, homogeneity of development patterns, mix of business, and other actuarial considerations.</w:t>
      </w:r>
    </w:p>
    <w:p>
      <w:pPr>
        <w:spacing w:after="0" w:line="201" w:lineRule="exact"/>
        <w:rPr>
          <w:sz w:val="20"/>
          <w:szCs w:val="20"/>
          <w:color w:val="auto"/>
        </w:rPr>
      </w:pPr>
    </w:p>
    <w:p>
      <w:pPr>
        <w:ind w:right="440"/>
        <w:spacing w:after="0" w:line="262" w:lineRule="auto"/>
        <w:rPr>
          <w:sz w:val="20"/>
          <w:szCs w:val="20"/>
          <w:color w:val="auto"/>
        </w:rPr>
      </w:pPr>
      <w:r>
        <w:rPr>
          <w:rFonts w:ascii="Arial" w:cs="Arial" w:eastAsia="Arial" w:hAnsi="Arial"/>
          <w:sz w:val="17"/>
          <w:szCs w:val="17"/>
          <w:color w:val="auto"/>
        </w:rPr>
        <w:t>Supplementary statistical information is also reviewed to determine which methods are most appropriate to use or if adjustments are needed to particular methods. Such information includes:</w:t>
      </w:r>
    </w:p>
    <w:p>
      <w:pPr>
        <w:ind w:left="640" w:hanging="308"/>
        <w:spacing w:after="0"/>
        <w:tabs>
          <w:tab w:leader="none" w:pos="6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Open and closed claim counts</w:t>
      </w:r>
    </w:p>
    <w:p>
      <w:pPr>
        <w:spacing w:after="0" w:line="14" w:lineRule="exact"/>
        <w:rPr>
          <w:rFonts w:ascii="Arial" w:cs="Arial" w:eastAsia="Arial" w:hAnsi="Arial"/>
          <w:sz w:val="17"/>
          <w:szCs w:val="17"/>
          <w:color w:val="auto"/>
        </w:rPr>
      </w:pPr>
    </w:p>
    <w:p>
      <w:pPr>
        <w:ind w:left="640" w:hanging="308"/>
        <w:spacing w:after="0"/>
        <w:tabs>
          <w:tab w:leader="none" w:pos="6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Average case reserves and average incurred on open claims</w:t>
      </w:r>
    </w:p>
    <w:p>
      <w:pPr>
        <w:spacing w:after="0" w:line="7" w:lineRule="exact"/>
        <w:rPr>
          <w:rFonts w:ascii="Arial" w:cs="Arial" w:eastAsia="Arial" w:hAnsi="Arial"/>
          <w:sz w:val="17"/>
          <w:szCs w:val="17"/>
          <w:color w:val="auto"/>
        </w:rPr>
      </w:pPr>
    </w:p>
    <w:p>
      <w:pPr>
        <w:ind w:left="640" w:hanging="308"/>
        <w:spacing w:after="0"/>
        <w:tabs>
          <w:tab w:leader="none" w:pos="6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Closure rates and statistics related to closed and open claim percentages</w:t>
      </w:r>
    </w:p>
    <w:p>
      <w:pPr>
        <w:spacing w:after="0" w:line="7" w:lineRule="exact"/>
        <w:rPr>
          <w:rFonts w:ascii="Arial" w:cs="Arial" w:eastAsia="Arial" w:hAnsi="Arial"/>
          <w:sz w:val="17"/>
          <w:szCs w:val="17"/>
          <w:color w:val="auto"/>
        </w:rPr>
      </w:pPr>
    </w:p>
    <w:p>
      <w:pPr>
        <w:ind w:left="640" w:hanging="308"/>
        <w:spacing w:after="0"/>
        <w:tabs>
          <w:tab w:leader="none" w:pos="6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Average closed claim severity</w:t>
      </w:r>
    </w:p>
    <w:p>
      <w:pPr>
        <w:spacing w:after="0" w:line="7" w:lineRule="exact"/>
        <w:rPr>
          <w:rFonts w:ascii="Arial" w:cs="Arial" w:eastAsia="Arial" w:hAnsi="Arial"/>
          <w:sz w:val="17"/>
          <w:szCs w:val="17"/>
          <w:color w:val="auto"/>
        </w:rPr>
      </w:pPr>
    </w:p>
    <w:p>
      <w:pPr>
        <w:ind w:left="640" w:hanging="308"/>
        <w:spacing w:after="0"/>
        <w:tabs>
          <w:tab w:leader="none" w:pos="6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Ultimate claim severity</w:t>
      </w:r>
    </w:p>
    <w:p>
      <w:pPr>
        <w:spacing w:after="0" w:line="13" w:lineRule="exact"/>
        <w:rPr>
          <w:rFonts w:ascii="Arial" w:cs="Arial" w:eastAsia="Arial" w:hAnsi="Arial"/>
          <w:sz w:val="17"/>
          <w:szCs w:val="17"/>
          <w:color w:val="auto"/>
        </w:rPr>
      </w:pPr>
    </w:p>
    <w:p>
      <w:pPr>
        <w:ind w:left="640" w:hanging="308"/>
        <w:spacing w:after="0"/>
        <w:tabs>
          <w:tab w:leader="none" w:pos="6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Reported loss ratios</w:t>
      </w:r>
    </w:p>
    <w:p>
      <w:pPr>
        <w:spacing w:after="0" w:line="14" w:lineRule="exact"/>
        <w:rPr>
          <w:rFonts w:ascii="Arial" w:cs="Arial" w:eastAsia="Arial" w:hAnsi="Arial"/>
          <w:sz w:val="17"/>
          <w:szCs w:val="17"/>
          <w:color w:val="auto"/>
        </w:rPr>
      </w:pPr>
    </w:p>
    <w:p>
      <w:pPr>
        <w:ind w:left="640" w:hanging="308"/>
        <w:spacing w:after="0"/>
        <w:tabs>
          <w:tab w:leader="none" w:pos="6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Projected ultimate loss ratios</w:t>
      </w:r>
    </w:p>
    <w:p>
      <w:pPr>
        <w:spacing w:after="0" w:line="7" w:lineRule="exact"/>
        <w:rPr>
          <w:rFonts w:ascii="Arial" w:cs="Arial" w:eastAsia="Arial" w:hAnsi="Arial"/>
          <w:sz w:val="17"/>
          <w:szCs w:val="17"/>
          <w:color w:val="auto"/>
        </w:rPr>
      </w:pPr>
    </w:p>
    <w:p>
      <w:pPr>
        <w:ind w:left="640" w:hanging="308"/>
        <w:spacing w:after="0"/>
        <w:tabs>
          <w:tab w:leader="none" w:pos="6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Loss payment patterns</w:t>
      </w:r>
    </w:p>
    <w:p>
      <w:pPr>
        <w:spacing w:after="0" w:line="234"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Within each business, results of individual methods are reviewed, supplementary statistical information is analyzed, and data from underwriting, operating and claim management are considered in deriving management’s best estimate of the ultimate liability. This estimate may be the result of one method, a weighted average of several methods, or a judgmental selection as the management team determines is appropriate.</w:t>
      </w:r>
    </w:p>
    <w:p>
      <w:pPr>
        <w:sectPr>
          <w:pgSz w:w="11900" w:h="16838" w:orient="portrait"/>
          <w:cols w:equalWidth="0" w:num="1">
            <w:col w:w="11220"/>
          </w:cols>
          <w:pgMar w:left="320" w:top="115" w:right="35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type w:val="continuous"/>
        </w:sectPr>
      </w:pPr>
    </w:p>
    <w:bookmarkStart w:id="124" w:name="page125"/>
    <w:bookmarkEnd w:id="12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AMERICAN FINANCIAL GROUP,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The liability for losses and LAE for a very limited number of claims with long-term scheduled payments under certain workers’ compensation policies has been discounted at 4.5% at December 31, 2023 and 3.5% at December 31, 2022, which represents an approximation of long-term investment yields. Because of the limited amount of claims involved, the net impact of discounting did not materially impact AFG’s total liability for unpaid losses and loss adjustment expenses (net reductions from discounting of $9 million at both December 31, 2023 and 2022,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an analysis of changes in the liability for losses and loss adjustment expenses over the past three years (in millions):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4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2022</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2021</w:t>
            </w:r>
          </w:p>
        </w:tc>
      </w:tr>
      <w:tr>
        <w:trPr>
          <w:trHeight w:val="213"/>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11,974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11,074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10,392</w:t>
            </w:r>
          </w:p>
        </w:tc>
      </w:tr>
      <w:tr>
        <w:trPr>
          <w:trHeight w:val="215"/>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reinsurance recoverables, net of allowance</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3,419</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3,117</w:t>
            </w:r>
          </w:p>
        </w:tc>
      </w:tr>
      <w:tr>
        <w:trPr>
          <w:trHeight w:val="210"/>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liability at beginning of period</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7,275</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Provision for losses and LAE occurring in the current year</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4,256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3,914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3,436</w:t>
            </w: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 the provision for claims of prior years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w:t>
            </w:r>
          </w:p>
        </w:tc>
      </w:tr>
      <w:tr>
        <w:trPr>
          <w:trHeight w:val="209"/>
        </w:trPr>
        <w:tc>
          <w:tcPr>
            <w:tcW w:w="7400" w:type="dxa"/>
            <w:vAlign w:val="bottom"/>
          </w:tcPr>
          <w:p>
            <w:pPr>
              <w:ind w:left="480"/>
              <w:spacing w:after="0"/>
              <w:rPr>
                <w:sz w:val="20"/>
                <w:szCs w:val="20"/>
                <w:color w:val="auto"/>
              </w:rPr>
            </w:pPr>
            <w:r>
              <w:rPr>
                <w:rFonts w:ascii="Arial" w:cs="Arial" w:eastAsia="Arial" w:hAnsi="Arial"/>
                <w:sz w:val="16"/>
                <w:szCs w:val="16"/>
                <w:color w:val="auto"/>
              </w:rPr>
              <w:t>Total losses and LAE incurred</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3,629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3,157</w:t>
            </w: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for losses and LAE of:</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5"/>
        </w:trPr>
        <w:tc>
          <w:tcPr>
            <w:tcW w:w="7400" w:type="dxa"/>
            <w:vAlign w:val="bottom"/>
          </w:tcPr>
          <w:p>
            <w:pPr>
              <w:ind w:left="220"/>
              <w:spacing w:after="0"/>
              <w:rPr>
                <w:sz w:val="20"/>
                <w:szCs w:val="20"/>
                <w:color w:val="auto"/>
              </w:rPr>
            </w:pPr>
            <w:r>
              <w:rPr>
                <w:rFonts w:ascii="Arial" w:cs="Arial" w:eastAsia="Arial" w:hAnsi="Arial"/>
                <w:sz w:val="16"/>
                <w:szCs w:val="16"/>
                <w:color w:val="auto"/>
              </w:rPr>
              <w:t>Current year</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(1,212)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(1,024)</w:t>
            </w:r>
          </w:p>
        </w:tc>
      </w:tr>
      <w:tr>
        <w:trPr>
          <w:trHeight w:val="217"/>
        </w:trPr>
        <w:tc>
          <w:tcPr>
            <w:tcW w:w="7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Prior years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(1,870)</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(1,753)</w:t>
            </w:r>
          </w:p>
        </w:tc>
      </w:tr>
      <w:tr>
        <w:trPr>
          <w:trHeight w:val="209"/>
        </w:trPr>
        <w:tc>
          <w:tcPr>
            <w:tcW w:w="7400" w:type="dxa"/>
            <w:vAlign w:val="bottom"/>
          </w:tcPr>
          <w:p>
            <w:pPr>
              <w:ind w:left="480"/>
              <w:spacing w:after="0"/>
              <w:rPr>
                <w:sz w:val="20"/>
                <w:szCs w:val="20"/>
                <w:color w:val="auto"/>
              </w:rPr>
            </w:pPr>
            <w:r>
              <w:rPr>
                <w:rFonts w:ascii="Arial" w:cs="Arial" w:eastAsia="Arial" w:hAnsi="Arial"/>
                <w:sz w:val="16"/>
                <w:szCs w:val="16"/>
                <w:color w:val="auto"/>
              </w:rPr>
              <w:t>Total payments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(3,082)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(2,777)</w:t>
            </w: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and other</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7400" w:type="dxa"/>
            <w:vAlign w:val="bottom"/>
          </w:tcPr>
          <w:p>
            <w:pPr>
              <w:ind w:left="20"/>
              <w:spacing w:after="0"/>
              <w:rPr>
                <w:sz w:val="20"/>
                <w:szCs w:val="20"/>
                <w:color w:val="auto"/>
              </w:rPr>
            </w:pPr>
            <w:r>
              <w:rPr>
                <w:rFonts w:ascii="Arial" w:cs="Arial" w:eastAsia="Arial" w:hAnsi="Arial"/>
                <w:sz w:val="16"/>
                <w:szCs w:val="16"/>
                <w:color w:val="auto"/>
              </w:rPr>
              <w:t>Net liability at end of period</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8,799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8,207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7,655</w:t>
            </w: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back reinsurance recoverables, net of allowance</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3,767</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3,419</w:t>
            </w:r>
          </w:p>
        </w:tc>
      </w:tr>
      <w:tr>
        <w:trPr>
          <w:trHeight w:val="210"/>
        </w:trPr>
        <w:tc>
          <w:tcPr>
            <w:tcW w:w="7400" w:type="dxa"/>
            <w:vAlign w:val="bottom"/>
          </w:tcPr>
          <w:p>
            <w:pPr>
              <w:ind w:left="20"/>
              <w:spacing w:after="0"/>
              <w:rPr>
                <w:sz w:val="20"/>
                <w:szCs w:val="20"/>
                <w:color w:val="auto"/>
              </w:rPr>
            </w:pPr>
            <w:r>
              <w:rPr>
                <w:rFonts w:ascii="Arial" w:cs="Arial" w:eastAsia="Arial" w:hAnsi="Arial"/>
                <w:sz w:val="16"/>
                <w:szCs w:val="16"/>
                <w:color w:val="auto"/>
              </w:rPr>
              <w:t>Gross unpaid losses and LAE included in the balance sheet</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13,087</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11,974</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11,074</w:t>
            </w:r>
          </w:p>
        </w:tc>
      </w:tr>
      <w:tr>
        <w:trPr>
          <w:trHeight w:val="21"/>
        </w:trPr>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The net decrease in the provision for claims of prior years in 2023 reflects (i) lower than anticipated losses in the crop business, lower than expected claim frequency and severity across the transportation businesses and lower than anticipated claim frequency in the property and inland marine and ocean marine businesses and in the Singapore operations (within the Property and transportation sub-segment), (ii) lower than anticipated claim severity in the workers’ compensation businesses, lower than expected claim frequency in the executive liability and environmental businesses and favorable reserve development related to COVID-19 losses across several businesses (within the Specialty casualty sub-segment) and (iii) lower than anticipated claim frequency in the trade credit, financial institutions and surety businesses and lower than expected claim frequency and severity in the fidelity business (within the Specialty financial sub-segment). This favorable development was partially offset by higher than anticipated claim severity in the public sector business and higher than expected claim frequency and severity in the excess liability and general liability businesses (within the Specialty casualty sub-segment).</w:t>
      </w:r>
    </w:p>
    <w:p>
      <w:pPr>
        <w:spacing w:after="0" w:line="210"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The net decrease in the provision for claims of prior years in 2022 reflects (i) lower than anticipated losses in the crop business, lower than expected claim frequency in the trucking and ocean marine businesses and in the Singapore operations, lower than expected claim frequency and severity in the aviation business and lower than anticipated claim severity in the property and inland marine business (within the Property and transportation sub-segment), (ii) lower than anticipated claim severity in the workers’ compensation businesses and lower than expected claim frequency in the executive liability and excess and surplus businesses (within the Specialty casualty sub-segment) and (iii) lower than anticipated claim frequency in the surety, trade credit and financial institutions businesses (within the Specialty financial sub-segment). This favorable development was partially offset by (i) higher than anticipated claim severity in the general liability, umbrella and excess liability, and certain targeted markets businesses (within the Specialty casualty sub-segment) and (ii) net adverse development associated with AFG’s internal reinsurance program, primarily related to social inflation exposed business assumed from the Specialty casualty sub-segment (within Other specialty).</w:t>
      </w:r>
    </w:p>
    <w:p>
      <w:pPr>
        <w:spacing w:after="0" w:line="209"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The net decrease in the provision for claims of prior years in 2021 reflects (i) lower than anticipated claim frequency and severity in the transportation businesses, lower than expected losses in the crop business, lower than expected claim severity in the ocean marine business and lower than expected claim frequency in the aviation business (within the Property and transportation sub-segment), (ii) lower than anticipated claim severity in the workers’ compensation businesses (within the Specialty casualty sub-segment) and (iii) lower than anticipated claim frequency in the surety and trade credit businesses and lower than expected claim frequency and severity in the financial institutions business (within the Specialty financial sub-segment). This favorable development was partially offset by (i) higher than anticipated claim</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5" w:name="page126"/>
    <w:bookmarkEnd w:id="12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AMERICAN FINANCIAL GROUP,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NOTES TO CONSOLIDATED FINANCIAL STATEMENTS — CONTINUED</w:t>
      </w:r>
    </w:p>
    <w:p>
      <w:pPr>
        <w:spacing w:after="0" w:line="200" w:lineRule="exact"/>
        <w:rPr>
          <w:sz w:val="20"/>
          <w:szCs w:val="20"/>
          <w:color w:val="auto"/>
        </w:rPr>
      </w:pPr>
    </w:p>
    <w:p>
      <w:pPr>
        <w:spacing w:after="0" w:line="240"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severity in the general liability and targeted markets businesses (within the Specialty casualty sub-segment) and (ii) net adverse development associated with AFG’s internal reinsurance program, primarily related to social inflation exposed business assumed from the Specialty casualty sub-segment (within Other specialty).</w:t>
      </w:r>
    </w:p>
    <w:p>
      <w:pPr>
        <w:spacing w:after="0" w:line="214"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A reconciliation of incurred and paid claims development information to the aggregate carrying amount of the liability for unpaid losses and LAE, with separate disclosure of reinsurance recoverables on unpaid claims is shown below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8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2023</w:t>
            </w:r>
          </w:p>
        </w:tc>
      </w:tr>
      <w:tr>
        <w:trPr>
          <w:trHeight w:val="200"/>
        </w:trPr>
        <w:tc>
          <w:tcPr>
            <w:tcW w:w="9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Unpaid losses and allocated LAE, net of reinsurance:</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5"/>
        </w:trPr>
        <w:tc>
          <w:tcPr>
            <w:tcW w:w="9860" w:type="dxa"/>
            <w:vAlign w:val="bottom"/>
          </w:tcPr>
          <w:p>
            <w:pPr>
              <w:ind w:left="220"/>
              <w:spacing w:after="0"/>
              <w:rPr>
                <w:sz w:val="20"/>
                <w:szCs w:val="20"/>
                <w:color w:val="auto"/>
              </w:rPr>
            </w:pPr>
            <w:r>
              <w:rPr>
                <w:rFonts w:ascii="Arial" w:cs="Arial" w:eastAsia="Arial" w:hAnsi="Arial"/>
                <w:sz w:val="16"/>
                <w:szCs w:val="16"/>
                <w:color w:val="auto"/>
              </w:rPr>
              <w:t>Specialty</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7"/>
        </w:trPr>
        <w:tc>
          <w:tcPr>
            <w:tcW w:w="98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Property and transportation</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1,636</w:t>
            </w:r>
          </w:p>
        </w:tc>
      </w:tr>
      <w:tr>
        <w:trPr>
          <w:trHeight w:val="215"/>
        </w:trPr>
        <w:tc>
          <w:tcPr>
            <w:tcW w:w="9860" w:type="dxa"/>
            <w:vAlign w:val="bottom"/>
          </w:tcPr>
          <w:p>
            <w:pPr>
              <w:ind w:left="480"/>
              <w:spacing w:after="0"/>
              <w:rPr>
                <w:sz w:val="20"/>
                <w:szCs w:val="20"/>
                <w:color w:val="auto"/>
              </w:rPr>
            </w:pPr>
            <w:r>
              <w:rPr>
                <w:rFonts w:ascii="Arial" w:cs="Arial" w:eastAsia="Arial" w:hAnsi="Arial"/>
                <w:sz w:val="16"/>
                <w:szCs w:val="16"/>
                <w:color w:val="auto"/>
              </w:rPr>
              <w:t>Specialty casualty</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4,984</w:t>
            </w:r>
          </w:p>
        </w:tc>
      </w:tr>
      <w:tr>
        <w:trPr>
          <w:trHeight w:val="217"/>
        </w:trPr>
        <w:tc>
          <w:tcPr>
            <w:tcW w:w="98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Specialty financial</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r>
      <w:tr>
        <w:trPr>
          <w:trHeight w:val="215"/>
        </w:trPr>
        <w:tc>
          <w:tcPr>
            <w:tcW w:w="986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Other specialty</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w:t>
            </w:r>
          </w:p>
        </w:tc>
      </w:tr>
      <w:tr>
        <w:trPr>
          <w:trHeight w:val="210"/>
        </w:trPr>
        <w:tc>
          <w:tcPr>
            <w:tcW w:w="98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Specialty (excluding foreign reserves)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7,528</w:t>
            </w:r>
          </w:p>
        </w:tc>
      </w:tr>
      <w:tr>
        <w:trPr>
          <w:trHeight w:val="216"/>
        </w:trPr>
        <w:tc>
          <w:tcPr>
            <w:tcW w:w="9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9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reserves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5"/>
        </w:trPr>
        <w:tc>
          <w:tcPr>
            <w:tcW w:w="9860" w:type="dxa"/>
            <w:vAlign w:val="bottom"/>
          </w:tcPr>
          <w:p>
            <w:pPr>
              <w:ind w:left="480"/>
              <w:spacing w:after="0"/>
              <w:rPr>
                <w:sz w:val="20"/>
                <w:szCs w:val="20"/>
                <w:color w:val="auto"/>
              </w:rPr>
            </w:pPr>
            <w:r>
              <w:rPr>
                <w:rFonts w:ascii="Arial" w:cs="Arial" w:eastAsia="Arial" w:hAnsi="Arial"/>
                <w:sz w:val="16"/>
                <w:szCs w:val="16"/>
                <w:color w:val="auto"/>
              </w:rPr>
              <w:t>Foreign operations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396</w:t>
            </w:r>
          </w:p>
        </w:tc>
      </w:tr>
      <w:tr>
        <w:trPr>
          <w:trHeight w:val="217"/>
        </w:trPr>
        <w:tc>
          <w:tcPr>
            <w:tcW w:w="98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A&amp;E reserves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r>
      <w:tr>
        <w:trPr>
          <w:trHeight w:val="215"/>
        </w:trPr>
        <w:tc>
          <w:tcPr>
            <w:tcW w:w="9860" w:type="dxa"/>
            <w:vAlign w:val="bottom"/>
          </w:tcPr>
          <w:p>
            <w:pPr>
              <w:ind w:left="480"/>
              <w:spacing w:after="0"/>
              <w:rPr>
                <w:sz w:val="20"/>
                <w:szCs w:val="20"/>
                <w:color w:val="auto"/>
              </w:rPr>
            </w:pPr>
            <w:r>
              <w:rPr>
                <w:rFonts w:ascii="Arial" w:cs="Arial" w:eastAsia="Arial" w:hAnsi="Arial"/>
                <w:sz w:val="16"/>
                <w:szCs w:val="16"/>
                <w:color w:val="auto"/>
              </w:rPr>
              <w:t>Unallocated LAE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448</w:t>
            </w:r>
          </w:p>
        </w:tc>
      </w:tr>
      <w:tr>
        <w:trPr>
          <w:trHeight w:val="217"/>
        </w:trPr>
        <w:tc>
          <w:tcPr>
            <w:tcW w:w="98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09"/>
        </w:trPr>
        <w:tc>
          <w:tcPr>
            <w:tcW w:w="986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other reserves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1,271</w:t>
            </w:r>
          </w:p>
        </w:tc>
      </w:tr>
      <w:tr>
        <w:trPr>
          <w:trHeight w:val="210"/>
        </w:trPr>
        <w:tc>
          <w:tcPr>
            <w:tcW w:w="9860" w:type="dxa"/>
            <w:vAlign w:val="bottom"/>
            <w:shd w:val="clear" w:color="auto" w:fill="CCEEFF"/>
          </w:tcPr>
          <w:p>
            <w:pPr>
              <w:ind w:left="880"/>
              <w:spacing w:after="0"/>
              <w:rPr>
                <w:sz w:val="20"/>
                <w:szCs w:val="20"/>
                <w:color w:val="auto"/>
              </w:rPr>
            </w:pPr>
            <w:r>
              <w:rPr>
                <w:rFonts w:ascii="Arial" w:cs="Arial" w:eastAsia="Arial" w:hAnsi="Arial"/>
                <w:sz w:val="16"/>
                <w:szCs w:val="16"/>
                <w:color w:val="auto"/>
              </w:rPr>
              <w:t>Total reserves, net of reinsurance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8,799</w:t>
            </w:r>
          </w:p>
        </w:tc>
      </w:tr>
      <w:tr>
        <w:trPr>
          <w:trHeight w:val="216"/>
        </w:trPr>
        <w:tc>
          <w:tcPr>
            <w:tcW w:w="9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5"/>
        </w:trPr>
        <w:tc>
          <w:tcPr>
            <w:tcW w:w="9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back reinsurance recoverables, net of allowance</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4,288</w:t>
            </w:r>
          </w:p>
        </w:tc>
      </w:tr>
      <w:tr>
        <w:trPr>
          <w:trHeight w:val="210"/>
        </w:trPr>
        <w:tc>
          <w:tcPr>
            <w:tcW w:w="9860" w:type="dxa"/>
            <w:vAlign w:val="bottom"/>
          </w:tcPr>
          <w:p>
            <w:pPr>
              <w:ind w:left="20"/>
              <w:spacing w:after="0"/>
              <w:rPr>
                <w:sz w:val="20"/>
                <w:szCs w:val="20"/>
                <w:color w:val="auto"/>
              </w:rPr>
            </w:pPr>
            <w:r>
              <w:rPr>
                <w:rFonts w:ascii="Arial" w:cs="Arial" w:eastAsia="Arial" w:hAnsi="Arial"/>
                <w:sz w:val="16"/>
                <w:szCs w:val="16"/>
                <w:color w:val="auto"/>
              </w:rPr>
              <w:t>Gross unpaid losses and LAE included in the balance sheet</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13,087</w:t>
            </w:r>
          </w:p>
        </w:tc>
      </w:tr>
      <w:tr>
        <w:trPr>
          <w:trHeight w:val="20"/>
        </w:trPr>
        <w:tc>
          <w:tcPr>
            <w:tcW w:w="9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The following claims development tables and associated disclosures related to short-duration insurance contracts are prepared by sub-segment within the property and casualty insurance business for the most recent 10 accident years. AFG determines its claim counts at the claimant or policy feature level depending on the particular facts and circumstances of the underlying claim. While the methodology is generally consistent within each sub-segment, there are minor differences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6" w:name="page127"/>
    <w:bookmarkEnd w:id="12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AMERICAN FINANCIAL GROUP,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NOTES TO CONSOLIDATED FINANCIAL STATEMENTS — CONTINUED</w:t>
      </w:r>
    </w:p>
    <w:p>
      <w:pPr>
        <w:spacing w:after="0" w:line="200" w:lineRule="exact"/>
        <w:rPr>
          <w:sz w:val="20"/>
          <w:szCs w:val="20"/>
          <w:color w:val="auto"/>
        </w:rPr>
      </w:pPr>
    </w:p>
    <w:p>
      <w:pPr>
        <w:spacing w:after="0" w:line="240"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between and within the sub-segments. The methods used to summarize claim counts have not changed significantly over the time periods reported in the tables below.</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0274E"/>
        </w:rPr>
        <w:t>Property and transportation</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(Dollars in Millions)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380" w:type="dxa"/>
            <w:vAlign w:val="bottom"/>
            <w:gridSpan w:val="29"/>
          </w:tcPr>
          <w:p>
            <w:pPr>
              <w:jc w:val="center"/>
              <w:spacing w:after="0"/>
              <w:rPr>
                <w:sz w:val="20"/>
                <w:szCs w:val="20"/>
                <w:color w:val="auto"/>
              </w:rPr>
            </w:pPr>
            <w:r>
              <w:rPr>
                <w:rFonts w:ascii="Arial" w:cs="Arial" w:eastAsia="Arial" w:hAnsi="Arial"/>
                <w:sz w:val="14"/>
                <w:szCs w:val="14"/>
                <w:color w:val="auto"/>
              </w:rPr>
              <w:t>Incurred Claims and Allocated LAE, Net of Reinsurance</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jc w:val="right"/>
              <w:ind w:right="330"/>
              <w:spacing w:after="0"/>
              <w:rPr>
                <w:sz w:val="20"/>
                <w:szCs w:val="20"/>
                <w:color w:val="auto"/>
              </w:rPr>
            </w:pPr>
            <w:r>
              <w:rPr>
                <w:rFonts w:ascii="Arial" w:cs="Arial" w:eastAsia="Arial" w:hAnsi="Arial"/>
                <w:sz w:val="14"/>
                <w:szCs w:val="14"/>
                <w:color w:val="auto"/>
              </w:rPr>
              <w:t>As of December 31, 2023</w:t>
            </w: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80" w:type="dxa"/>
            <w:vAlign w:val="bottom"/>
            <w:gridSpan w:val="39"/>
          </w:tcPr>
          <w:p>
            <w:pPr>
              <w:jc w:val="center"/>
              <w:ind w:left="348"/>
              <w:spacing w:after="0"/>
              <w:rPr>
                <w:sz w:val="20"/>
                <w:szCs w:val="20"/>
                <w:color w:val="auto"/>
              </w:rPr>
            </w:pPr>
            <w:r>
              <w:rPr>
                <w:rFonts w:ascii="Arial" w:cs="Arial" w:eastAsia="Arial" w:hAnsi="Arial"/>
                <w:sz w:val="14"/>
                <w:szCs w:val="14"/>
                <w:color w:val="auto"/>
              </w:rPr>
              <w:t>For the Years Ended (2014–2022 is Supplementary Information and Unaudited)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4"/>
          </w:tcPr>
          <w:p>
            <w:pPr>
              <w:jc w:val="center"/>
              <w:ind w:right="220"/>
              <w:spacing w:after="0"/>
              <w:rPr>
                <w:sz w:val="20"/>
                <w:szCs w:val="20"/>
                <w:color w:val="auto"/>
              </w:rPr>
            </w:pPr>
            <w:r>
              <w:rPr>
                <w:rFonts w:ascii="Arial" w:cs="Arial" w:eastAsia="Arial" w:hAnsi="Arial"/>
                <w:sz w:val="13"/>
                <w:szCs w:val="13"/>
                <w:color w:val="auto"/>
              </w:rPr>
              <w:t>Total IBNR Plus</w:t>
            </w:r>
          </w:p>
        </w:tc>
        <w:tc>
          <w:tcPr>
            <w:tcW w:w="960" w:type="dxa"/>
            <w:vAlign w:val="bottom"/>
          </w:tcPr>
          <w:p>
            <w:pPr>
              <w:jc w:val="center"/>
              <w:spacing w:after="0"/>
              <w:rPr>
                <w:sz w:val="20"/>
                <w:szCs w:val="20"/>
                <w:color w:val="auto"/>
              </w:rPr>
            </w:pPr>
            <w:r>
              <w:rPr>
                <w:rFonts w:ascii="Arial" w:cs="Arial" w:eastAsia="Arial" w:hAnsi="Arial"/>
                <w:sz w:val="13"/>
                <w:szCs w:val="13"/>
                <w:color w:val="auto"/>
              </w:rPr>
              <w:t>Cumulative</w:t>
            </w:r>
          </w:p>
        </w:tc>
        <w:tc>
          <w:tcPr>
            <w:tcW w:w="0" w:type="dxa"/>
            <w:vAlign w:val="bottom"/>
          </w:tcPr>
          <w:p>
            <w:pPr>
              <w:spacing w:after="0"/>
              <w:rPr>
                <w:sz w:val="1"/>
                <w:szCs w:val="1"/>
                <w:color w:val="auto"/>
              </w:rPr>
            </w:pPr>
          </w:p>
        </w:tc>
      </w:tr>
      <w:tr>
        <w:trPr>
          <w:trHeight w:val="54"/>
        </w:trPr>
        <w:tc>
          <w:tcPr>
            <w:tcW w:w="1000" w:type="dxa"/>
            <w:vAlign w:val="bottom"/>
            <w:gridSpan w:val="3"/>
            <w:vMerge w:val="restart"/>
          </w:tcPr>
          <w:p>
            <w:pPr>
              <w:jc w:val="center"/>
              <w:ind w:right="80"/>
              <w:spacing w:after="0"/>
              <w:rPr>
                <w:sz w:val="20"/>
                <w:szCs w:val="20"/>
                <w:color w:val="auto"/>
              </w:rPr>
            </w:pPr>
            <w:r>
              <w:rPr>
                <w:rFonts w:ascii="Arial" w:cs="Arial" w:eastAsia="Arial" w:hAnsi="Arial"/>
                <w:sz w:val="14"/>
                <w:szCs w:val="14"/>
                <w:color w:val="auto"/>
              </w:rPr>
              <w:t>Accident</w:t>
            </w:r>
          </w:p>
        </w:tc>
        <w:tc>
          <w:tcPr>
            <w:tcW w:w="7720" w:type="dxa"/>
            <w:vAlign w:val="bottom"/>
            <w:tcBorders>
              <w:bottom w:val="single" w:sz="8" w:color="auto"/>
            </w:tcBorders>
            <w:gridSpan w:val="53"/>
          </w:tcPr>
          <w:p>
            <w:pPr>
              <w:spacing w:after="0"/>
              <w:rPr>
                <w:sz w:val="4"/>
                <w:szCs w:val="4"/>
                <w:color w:val="auto"/>
              </w:rPr>
            </w:pPr>
          </w:p>
        </w:tc>
        <w:tc>
          <w:tcPr>
            <w:tcW w:w="240" w:type="dxa"/>
            <w:vAlign w:val="bottom"/>
            <w:gridSpan w:val="3"/>
          </w:tcPr>
          <w:p>
            <w:pPr>
              <w:spacing w:after="0"/>
              <w:rPr>
                <w:sz w:val="4"/>
                <w:szCs w:val="4"/>
                <w:color w:val="auto"/>
              </w:rPr>
            </w:pPr>
          </w:p>
        </w:tc>
        <w:tc>
          <w:tcPr>
            <w:tcW w:w="1320" w:type="dxa"/>
            <w:vAlign w:val="bottom"/>
            <w:gridSpan w:val="4"/>
            <w:vMerge w:val="restart"/>
          </w:tcPr>
          <w:p>
            <w:pPr>
              <w:jc w:val="center"/>
              <w:ind w:right="240"/>
              <w:spacing w:after="0" w:line="109" w:lineRule="exact"/>
              <w:rPr>
                <w:sz w:val="20"/>
                <w:szCs w:val="20"/>
                <w:color w:val="auto"/>
              </w:rPr>
            </w:pPr>
            <w:r>
              <w:rPr>
                <w:rFonts w:ascii="Arial" w:cs="Arial" w:eastAsia="Arial" w:hAnsi="Arial"/>
                <w:sz w:val="12"/>
                <w:szCs w:val="12"/>
                <w:color w:val="auto"/>
              </w:rPr>
              <w:t>Expected</w:t>
            </w:r>
          </w:p>
        </w:tc>
        <w:tc>
          <w:tcPr>
            <w:tcW w:w="960" w:type="dxa"/>
            <w:vAlign w:val="bottom"/>
            <w:vMerge w:val="restart"/>
          </w:tcPr>
          <w:p>
            <w:pPr>
              <w:jc w:val="center"/>
              <w:spacing w:after="0" w:line="109" w:lineRule="exact"/>
              <w:rPr>
                <w:sz w:val="20"/>
                <w:szCs w:val="20"/>
                <w:color w:val="auto"/>
              </w:rPr>
            </w:pPr>
            <w:r>
              <w:rPr>
                <w:rFonts w:ascii="Arial" w:cs="Arial" w:eastAsia="Arial" w:hAnsi="Arial"/>
                <w:sz w:val="12"/>
                <w:szCs w:val="12"/>
                <w:color w:val="auto"/>
              </w:rPr>
              <w:t>Number of</w:t>
            </w:r>
          </w:p>
        </w:tc>
        <w:tc>
          <w:tcPr>
            <w:tcW w:w="0" w:type="dxa"/>
            <w:vAlign w:val="bottom"/>
          </w:tcPr>
          <w:p>
            <w:pPr>
              <w:spacing w:after="0"/>
              <w:rPr>
                <w:sz w:val="1"/>
                <w:szCs w:val="1"/>
                <w:color w:val="auto"/>
              </w:rPr>
            </w:pPr>
          </w:p>
        </w:tc>
      </w:tr>
      <w:tr>
        <w:trPr>
          <w:trHeight w:val="35"/>
        </w:trPr>
        <w:tc>
          <w:tcPr>
            <w:tcW w:w="1000" w:type="dxa"/>
            <w:vAlign w:val="bottom"/>
            <w:gridSpan w:val="3"/>
            <w:vMerge w:val="continue"/>
          </w:tcPr>
          <w:p>
            <w:pPr>
              <w:spacing w:after="0"/>
              <w:rPr>
                <w:sz w:val="3"/>
                <w:szCs w:val="3"/>
                <w:color w:val="auto"/>
              </w:rPr>
            </w:pPr>
          </w:p>
        </w:tc>
        <w:tc>
          <w:tcPr>
            <w:tcW w:w="7960" w:type="dxa"/>
            <w:vAlign w:val="bottom"/>
            <w:gridSpan w:val="56"/>
          </w:tcPr>
          <w:p>
            <w:pPr>
              <w:spacing w:after="0"/>
              <w:rPr>
                <w:sz w:val="3"/>
                <w:szCs w:val="3"/>
                <w:color w:val="auto"/>
              </w:rPr>
            </w:pPr>
          </w:p>
        </w:tc>
        <w:tc>
          <w:tcPr>
            <w:tcW w:w="1320" w:type="dxa"/>
            <w:vAlign w:val="bottom"/>
            <w:gridSpan w:val="4"/>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10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ind w:right="108"/>
              <w:spacing w:after="0"/>
              <w:rPr>
                <w:sz w:val="20"/>
                <w:szCs w:val="20"/>
                <w:color w:val="auto"/>
              </w:rPr>
            </w:pPr>
            <w:r>
              <w:rPr>
                <w:rFonts w:ascii="Arial" w:cs="Arial" w:eastAsia="Arial" w:hAnsi="Arial"/>
                <w:sz w:val="14"/>
                <w:szCs w:val="14"/>
                <w:color w:val="auto"/>
              </w:rPr>
              <w:t>2014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4"/>
                <w:szCs w:val="14"/>
                <w:color w:val="auto"/>
              </w:rPr>
              <w:t>2015</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restart"/>
          </w:tcPr>
          <w:p>
            <w:pPr>
              <w:jc w:val="right"/>
              <w:ind w:right="10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ind w:right="108"/>
              <w:spacing w:after="0"/>
              <w:rPr>
                <w:sz w:val="20"/>
                <w:szCs w:val="20"/>
                <w:color w:val="auto"/>
              </w:rPr>
            </w:pPr>
            <w:r>
              <w:rPr>
                <w:rFonts w:ascii="Arial" w:cs="Arial" w:eastAsia="Arial" w:hAnsi="Arial"/>
                <w:sz w:val="14"/>
                <w:szCs w:val="14"/>
                <w:color w:val="auto"/>
              </w:rPr>
              <w:t>2017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vMerge w:val="restart"/>
          </w:tcPr>
          <w:p>
            <w:pPr>
              <w:jc w:val="right"/>
              <w:ind w:right="108"/>
              <w:spacing w:after="0"/>
              <w:rPr>
                <w:sz w:val="20"/>
                <w:szCs w:val="20"/>
                <w:color w:val="auto"/>
              </w:rPr>
            </w:pPr>
            <w:r>
              <w:rPr>
                <w:rFonts w:ascii="Arial" w:cs="Arial" w:eastAsia="Arial" w:hAnsi="Arial"/>
                <w:sz w:val="14"/>
                <w:szCs w:val="14"/>
                <w:color w:val="auto"/>
              </w:rPr>
              <w:t>2018</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vMerge w:val="restart"/>
          </w:tcPr>
          <w:p>
            <w:pPr>
              <w:jc w:val="right"/>
              <w:ind w:right="88"/>
              <w:spacing w:after="0"/>
              <w:rPr>
                <w:sz w:val="20"/>
                <w:szCs w:val="20"/>
                <w:color w:val="auto"/>
              </w:rPr>
            </w:pPr>
            <w:r>
              <w:rPr>
                <w:rFonts w:ascii="Arial" w:cs="Arial" w:eastAsia="Arial" w:hAnsi="Arial"/>
                <w:sz w:val="14"/>
                <w:szCs w:val="14"/>
                <w:color w:val="auto"/>
              </w:rPr>
              <w:t>2019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vMerge w:val="restart"/>
          </w:tcPr>
          <w:p>
            <w:pPr>
              <w:jc w:val="right"/>
              <w:ind w:right="68"/>
              <w:spacing w:after="0"/>
              <w:rPr>
                <w:sz w:val="20"/>
                <w:szCs w:val="20"/>
                <w:color w:val="auto"/>
              </w:rPr>
            </w:pPr>
            <w:r>
              <w:rPr>
                <w:rFonts w:ascii="Arial" w:cs="Arial" w:eastAsia="Arial" w:hAnsi="Arial"/>
                <w:sz w:val="14"/>
                <w:szCs w:val="14"/>
                <w:color w:val="auto"/>
              </w:rPr>
              <w:t>2020</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gridSpan w:val="3"/>
            <w:vMerge w:val="restart"/>
          </w:tcPr>
          <w:p>
            <w:pPr>
              <w:jc w:val="right"/>
              <w:ind w:right="48"/>
              <w:spacing w:after="0"/>
              <w:rPr>
                <w:sz w:val="20"/>
                <w:szCs w:val="20"/>
                <w:color w:val="auto"/>
              </w:rPr>
            </w:pPr>
            <w:r>
              <w:rPr>
                <w:rFonts w:ascii="Arial" w:cs="Arial" w:eastAsia="Arial" w:hAnsi="Arial"/>
                <w:sz w:val="14"/>
                <w:szCs w:val="14"/>
                <w:color w:val="auto"/>
              </w:rPr>
              <w:t>2021</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gridSpan w:val="3"/>
            <w:vMerge w:val="restart"/>
          </w:tcPr>
          <w:p>
            <w:pPr>
              <w:jc w:val="right"/>
              <w:ind w:right="108"/>
              <w:spacing w:after="0"/>
              <w:rPr>
                <w:sz w:val="20"/>
                <w:szCs w:val="20"/>
                <w:color w:val="auto"/>
              </w:rPr>
            </w:pPr>
            <w:r>
              <w:rPr>
                <w:rFonts w:ascii="Arial" w:cs="Arial" w:eastAsia="Arial" w:hAnsi="Arial"/>
                <w:sz w:val="14"/>
                <w:szCs w:val="14"/>
                <w:color w:val="auto"/>
                <w:w w:val="96"/>
              </w:rPr>
              <w:t>2022</w:t>
            </w:r>
          </w:p>
        </w:tc>
        <w:tc>
          <w:tcPr>
            <w:tcW w:w="100" w:type="dxa"/>
            <w:vAlign w:val="bottom"/>
            <w:gridSpan w:val="2"/>
            <w:vMerge w:val="restart"/>
          </w:tcPr>
          <w:p>
            <w:pPr>
              <w:spacing w:after="0"/>
              <w:rPr>
                <w:sz w:val="11"/>
                <w:szCs w:val="11"/>
                <w:color w:val="auto"/>
              </w:rPr>
            </w:pPr>
          </w:p>
        </w:tc>
        <w:tc>
          <w:tcPr>
            <w:tcW w:w="720" w:type="dxa"/>
            <w:vAlign w:val="bottom"/>
            <w:gridSpan w:val="4"/>
            <w:vMerge w:val="restart"/>
          </w:tcPr>
          <w:p>
            <w:pPr>
              <w:jc w:val="right"/>
              <w:ind w:right="128"/>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4"/>
          </w:tcPr>
          <w:p>
            <w:pPr>
              <w:jc w:val="center"/>
              <w:ind w:right="220"/>
              <w:spacing w:after="0" w:line="135" w:lineRule="exact"/>
              <w:rPr>
                <w:sz w:val="20"/>
                <w:szCs w:val="20"/>
                <w:color w:val="auto"/>
              </w:rPr>
            </w:pPr>
            <w:r>
              <w:rPr>
                <w:rFonts w:ascii="Arial" w:cs="Arial" w:eastAsia="Arial" w:hAnsi="Arial"/>
                <w:sz w:val="13"/>
                <w:szCs w:val="13"/>
                <w:color w:val="auto"/>
              </w:rPr>
              <w:t>Development on</w:t>
            </w:r>
          </w:p>
        </w:tc>
        <w:tc>
          <w:tcPr>
            <w:tcW w:w="960" w:type="dxa"/>
            <w:vAlign w:val="bottom"/>
          </w:tcPr>
          <w:p>
            <w:pPr>
              <w:jc w:val="center"/>
              <w:spacing w:after="0" w:line="135" w:lineRule="exact"/>
              <w:rPr>
                <w:sz w:val="20"/>
                <w:szCs w:val="20"/>
                <w:color w:val="auto"/>
              </w:rPr>
            </w:pPr>
            <w:r>
              <w:rPr>
                <w:rFonts w:ascii="Arial" w:cs="Arial" w:eastAsia="Arial" w:hAnsi="Arial"/>
                <w:sz w:val="13"/>
                <w:szCs w:val="13"/>
                <w:color w:val="auto"/>
              </w:rPr>
              <w:t>Reported</w:t>
            </w:r>
          </w:p>
        </w:tc>
        <w:tc>
          <w:tcPr>
            <w:tcW w:w="0" w:type="dxa"/>
            <w:vAlign w:val="bottom"/>
          </w:tcPr>
          <w:p>
            <w:pPr>
              <w:spacing w:after="0"/>
              <w:rPr>
                <w:sz w:val="1"/>
                <w:szCs w:val="1"/>
                <w:color w:val="auto"/>
              </w:rPr>
            </w:pPr>
          </w:p>
        </w:tc>
      </w:tr>
      <w:tr>
        <w:trPr>
          <w:trHeight w:val="188"/>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Year</w:t>
            </w:r>
          </w:p>
        </w:tc>
        <w:tc>
          <w:tcPr>
            <w:tcW w:w="80" w:type="dxa"/>
            <w:vAlign w:val="bottom"/>
            <w:tcBorders>
              <w:bottom w:val="single" w:sz="8" w:color="CCEEFF"/>
            </w:tcBorders>
            <w:gridSpan w:val="2"/>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720" w:type="dxa"/>
            <w:vAlign w:val="bottom"/>
            <w:tcBorders>
              <w:bottom w:val="single" w:sz="8" w:color="auto"/>
            </w:tcBorders>
            <w:gridSpan w:val="4"/>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68"/>
              <w:spacing w:after="0"/>
              <w:rPr>
                <w:sz w:val="20"/>
                <w:szCs w:val="20"/>
                <w:color w:val="auto"/>
              </w:rPr>
            </w:pPr>
            <w:r>
              <w:rPr>
                <w:rFonts w:ascii="Arial" w:cs="Arial" w:eastAsia="Arial" w:hAnsi="Arial"/>
                <w:sz w:val="13"/>
                <w:szCs w:val="13"/>
                <w:color w:val="auto"/>
              </w:rPr>
              <w:t>Reported Claims</w:t>
            </w:r>
          </w:p>
        </w:tc>
        <w:tc>
          <w:tcPr>
            <w:tcW w:w="100" w:type="dxa"/>
            <w:vAlign w:val="bottom"/>
            <w:tcBorders>
              <w:bottom w:val="single" w:sz="8" w:color="CCEEFF"/>
            </w:tcBorders>
            <w:gridSpan w:val="2"/>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Claims</w:t>
            </w:r>
          </w:p>
        </w:tc>
        <w:tc>
          <w:tcPr>
            <w:tcW w:w="0" w:type="dxa"/>
            <w:vAlign w:val="bottom"/>
          </w:tcPr>
          <w:p>
            <w:pPr>
              <w:spacing w:after="0"/>
              <w:rPr>
                <w:sz w:val="1"/>
                <w:szCs w:val="1"/>
                <w:color w:val="auto"/>
              </w:rPr>
            </w:pPr>
          </w:p>
        </w:tc>
      </w:tr>
      <w:tr>
        <w:trPr>
          <w:trHeight w:val="196"/>
        </w:trPr>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rPr>
              <w:t>828</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rPr>
              <w:t>820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815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808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804</w:t>
            </w:r>
          </w:p>
        </w:tc>
        <w:tc>
          <w:tcPr>
            <w:tcW w:w="280" w:type="dxa"/>
            <w:vAlign w:val="bottom"/>
            <w:gridSpan w:val="5"/>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802</w:t>
            </w:r>
          </w:p>
        </w:tc>
        <w:tc>
          <w:tcPr>
            <w:tcW w:w="340" w:type="dxa"/>
            <w:vAlign w:val="bottom"/>
            <w:gridSpan w:val="5"/>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360" w:type="dxa"/>
            <w:vAlign w:val="bottom"/>
            <w:gridSpan w:val="3"/>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133,284</w:t>
            </w:r>
          </w:p>
        </w:tc>
        <w:tc>
          <w:tcPr>
            <w:tcW w:w="0" w:type="dxa"/>
            <w:vAlign w:val="bottom"/>
          </w:tcPr>
          <w:p>
            <w:pPr>
              <w:spacing w:after="0"/>
              <w:rPr>
                <w:sz w:val="1"/>
                <w:szCs w:val="1"/>
                <w:color w:val="auto"/>
              </w:rPr>
            </w:pPr>
          </w:p>
        </w:tc>
      </w:tr>
      <w:tr>
        <w:trPr>
          <w:trHeight w:val="198"/>
        </w:trPr>
        <w:tc>
          <w:tcPr>
            <w:tcW w:w="920" w:type="dxa"/>
            <w:vAlign w:val="bottom"/>
          </w:tcPr>
          <w:p>
            <w:pPr>
              <w:jc w:val="center"/>
              <w:spacing w:after="0"/>
              <w:rPr>
                <w:sz w:val="20"/>
                <w:szCs w:val="20"/>
                <w:color w:val="auto"/>
              </w:rPr>
            </w:pPr>
            <w:r>
              <w:rPr>
                <w:rFonts w:ascii="Arial" w:cs="Arial" w:eastAsia="Arial" w:hAnsi="Arial"/>
                <w:sz w:val="14"/>
                <w:szCs w:val="14"/>
                <w:color w:val="auto"/>
              </w:rPr>
              <w:t>2015</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center"/>
              <w:ind w:left="68"/>
              <w:spacing w:after="0"/>
              <w:rPr>
                <w:sz w:val="20"/>
                <w:szCs w:val="20"/>
                <w:color w:val="auto"/>
              </w:rPr>
            </w:pPr>
            <w:r>
              <w:rPr>
                <w:rFonts w:ascii="Arial" w:cs="Arial" w:eastAsia="Arial" w:hAnsi="Arial"/>
                <w:sz w:val="14"/>
                <w:szCs w:val="14"/>
                <w:color w:val="auto"/>
              </w:rPr>
              <w:t>818</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784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center"/>
              <w:ind w:left="68"/>
              <w:spacing w:after="0"/>
              <w:rPr>
                <w:sz w:val="20"/>
                <w:szCs w:val="20"/>
                <w:color w:val="auto"/>
              </w:rPr>
            </w:pPr>
            <w:r>
              <w:rPr>
                <w:rFonts w:ascii="Arial" w:cs="Arial" w:eastAsia="Arial" w:hAnsi="Arial"/>
                <w:sz w:val="14"/>
                <w:szCs w:val="14"/>
                <w:color w:val="auto"/>
              </w:rPr>
              <w:t>779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ind w:left="260"/>
              <w:spacing w:after="0"/>
              <w:rPr>
                <w:sz w:val="20"/>
                <w:szCs w:val="20"/>
                <w:color w:val="auto"/>
              </w:rPr>
            </w:pPr>
            <w:r>
              <w:rPr>
                <w:rFonts w:ascii="Arial" w:cs="Arial" w:eastAsia="Arial" w:hAnsi="Arial"/>
                <w:sz w:val="14"/>
                <w:szCs w:val="14"/>
                <w:color w:val="auto"/>
              </w:rPr>
              <w:t>777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777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772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gridSpan w:val="3"/>
          </w:tcPr>
          <w:p>
            <w:pPr>
              <w:jc w:val="right"/>
              <w:spacing w:after="0"/>
              <w:rPr>
                <w:sz w:val="20"/>
                <w:szCs w:val="20"/>
                <w:color w:val="auto"/>
              </w:rPr>
            </w:pPr>
            <w:r>
              <w:rPr>
                <w:rFonts w:ascii="Arial" w:cs="Arial" w:eastAsia="Arial" w:hAnsi="Arial"/>
                <w:sz w:val="14"/>
                <w:szCs w:val="14"/>
                <w:color w:val="auto"/>
              </w:rPr>
              <w:t>768</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color w:val="auto"/>
              </w:rPr>
              <w:t>769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gridSpan w:val="3"/>
          </w:tcPr>
          <w:p>
            <w:pPr>
              <w:jc w:val="right"/>
              <w:spacing w:after="0"/>
              <w:rPr>
                <w:sz w:val="20"/>
                <w:szCs w:val="20"/>
                <w:color w:val="auto"/>
              </w:rPr>
            </w:pPr>
            <w:r>
              <w:rPr>
                <w:rFonts w:ascii="Arial" w:cs="Arial" w:eastAsia="Arial" w:hAnsi="Arial"/>
                <w:sz w:val="14"/>
                <w:szCs w:val="14"/>
                <w:color w:val="auto"/>
              </w:rPr>
              <w:t>769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135,083</w:t>
            </w:r>
          </w:p>
        </w:tc>
        <w:tc>
          <w:tcPr>
            <w:tcW w:w="0" w:type="dxa"/>
            <w:vAlign w:val="bottom"/>
          </w:tcPr>
          <w:p>
            <w:pPr>
              <w:spacing w:after="0"/>
              <w:rPr>
                <w:sz w:val="1"/>
                <w:szCs w:val="1"/>
                <w:color w:val="auto"/>
              </w:rPr>
            </w:pPr>
          </w:p>
        </w:tc>
      </w:tr>
      <w:tr>
        <w:trPr>
          <w:trHeight w:val="207"/>
        </w:trPr>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2016</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rPr>
              <w:t>716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714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694</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688</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689</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689</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121,400</w:t>
            </w:r>
          </w:p>
        </w:tc>
        <w:tc>
          <w:tcPr>
            <w:tcW w:w="0" w:type="dxa"/>
            <w:vAlign w:val="bottom"/>
          </w:tcPr>
          <w:p>
            <w:pPr>
              <w:spacing w:after="0"/>
              <w:rPr>
                <w:sz w:val="1"/>
                <w:szCs w:val="1"/>
                <w:color w:val="auto"/>
              </w:rPr>
            </w:pPr>
          </w:p>
        </w:tc>
      </w:tr>
      <w:tr>
        <w:trPr>
          <w:trHeight w:val="198"/>
        </w:trPr>
        <w:tc>
          <w:tcPr>
            <w:tcW w:w="920" w:type="dxa"/>
            <w:vAlign w:val="bottom"/>
          </w:tcPr>
          <w:p>
            <w:pPr>
              <w:jc w:val="center"/>
              <w:spacing w:after="0"/>
              <w:rPr>
                <w:sz w:val="20"/>
                <w:szCs w:val="20"/>
                <w:color w:val="auto"/>
              </w:rPr>
            </w:pPr>
            <w:r>
              <w:rPr>
                <w:rFonts w:ascii="Arial" w:cs="Arial" w:eastAsia="Arial" w:hAnsi="Arial"/>
                <w:sz w:val="14"/>
                <w:szCs w:val="14"/>
                <w:color w:val="auto"/>
              </w:rPr>
              <w:t>2017</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center"/>
              <w:ind w:left="68"/>
              <w:spacing w:after="0"/>
              <w:rPr>
                <w:sz w:val="20"/>
                <w:szCs w:val="20"/>
                <w:color w:val="auto"/>
              </w:rPr>
            </w:pPr>
            <w:r>
              <w:rPr>
                <w:rFonts w:ascii="Arial" w:cs="Arial" w:eastAsia="Arial" w:hAnsi="Arial"/>
                <w:sz w:val="14"/>
                <w:szCs w:val="14"/>
                <w:color w:val="auto"/>
              </w:rPr>
              <w:t>889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ind w:left="260"/>
              <w:spacing w:after="0"/>
              <w:rPr>
                <w:sz w:val="20"/>
                <w:szCs w:val="20"/>
                <w:color w:val="auto"/>
              </w:rPr>
            </w:pPr>
            <w:r>
              <w:rPr>
                <w:rFonts w:ascii="Arial" w:cs="Arial" w:eastAsia="Arial" w:hAnsi="Arial"/>
                <w:sz w:val="14"/>
                <w:szCs w:val="14"/>
                <w:color w:val="auto"/>
              </w:rPr>
              <w:t>847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843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823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gridSpan w:val="3"/>
          </w:tcPr>
          <w:p>
            <w:pPr>
              <w:jc w:val="right"/>
              <w:spacing w:after="0"/>
              <w:rPr>
                <w:sz w:val="20"/>
                <w:szCs w:val="20"/>
                <w:color w:val="auto"/>
              </w:rPr>
            </w:pPr>
            <w:r>
              <w:rPr>
                <w:rFonts w:ascii="Arial" w:cs="Arial" w:eastAsia="Arial" w:hAnsi="Arial"/>
                <w:sz w:val="14"/>
                <w:szCs w:val="14"/>
                <w:color w:val="auto"/>
              </w:rPr>
              <w:t>816</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color w:val="auto"/>
              </w:rPr>
              <w:t>820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gridSpan w:val="3"/>
          </w:tcPr>
          <w:p>
            <w:pPr>
              <w:jc w:val="right"/>
              <w:spacing w:after="0"/>
              <w:rPr>
                <w:sz w:val="20"/>
                <w:szCs w:val="20"/>
                <w:color w:val="auto"/>
              </w:rPr>
            </w:pPr>
            <w:r>
              <w:rPr>
                <w:rFonts w:ascii="Arial" w:cs="Arial" w:eastAsia="Arial" w:hAnsi="Arial"/>
                <w:sz w:val="14"/>
                <w:szCs w:val="14"/>
                <w:color w:val="auto"/>
              </w:rPr>
              <w:t>820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140,998</w:t>
            </w:r>
          </w:p>
        </w:tc>
        <w:tc>
          <w:tcPr>
            <w:tcW w:w="0" w:type="dxa"/>
            <w:vAlign w:val="bottom"/>
          </w:tcPr>
          <w:p>
            <w:pPr>
              <w:spacing w:after="0"/>
              <w:rPr>
                <w:sz w:val="1"/>
                <w:szCs w:val="1"/>
                <w:color w:val="auto"/>
              </w:rPr>
            </w:pPr>
          </w:p>
        </w:tc>
      </w:tr>
      <w:tr>
        <w:trPr>
          <w:trHeight w:val="207"/>
        </w:trPr>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2018</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932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902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886</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876</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882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876</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130,721</w:t>
            </w:r>
          </w:p>
        </w:tc>
        <w:tc>
          <w:tcPr>
            <w:tcW w:w="0" w:type="dxa"/>
            <w:vAlign w:val="bottom"/>
          </w:tcPr>
          <w:p>
            <w:pPr>
              <w:spacing w:after="0"/>
              <w:rPr>
                <w:sz w:val="1"/>
                <w:szCs w:val="1"/>
                <w:color w:val="auto"/>
              </w:rPr>
            </w:pPr>
          </w:p>
        </w:tc>
      </w:tr>
      <w:tr>
        <w:trPr>
          <w:trHeight w:val="198"/>
        </w:trPr>
        <w:tc>
          <w:tcPr>
            <w:tcW w:w="920" w:type="dxa"/>
            <w:vAlign w:val="bottom"/>
          </w:tcPr>
          <w:p>
            <w:pPr>
              <w:jc w:val="center"/>
              <w:spacing w:after="0"/>
              <w:rPr>
                <w:sz w:val="20"/>
                <w:szCs w:val="20"/>
                <w:color w:val="auto"/>
              </w:rPr>
            </w:pPr>
            <w:r>
              <w:rPr>
                <w:rFonts w:ascii="Arial" w:cs="Arial" w:eastAsia="Arial" w:hAnsi="Arial"/>
                <w:sz w:val="14"/>
                <w:szCs w:val="14"/>
                <w:color w:val="auto"/>
              </w:rPr>
              <w:t>2019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1,111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1,058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gridSpan w:val="3"/>
          </w:tcPr>
          <w:p>
            <w:pPr>
              <w:jc w:val="right"/>
              <w:spacing w:after="0"/>
              <w:rPr>
                <w:sz w:val="20"/>
                <w:szCs w:val="20"/>
                <w:color w:val="auto"/>
              </w:rPr>
            </w:pPr>
            <w:r>
              <w:rPr>
                <w:rFonts w:ascii="Arial" w:cs="Arial" w:eastAsia="Arial" w:hAnsi="Arial"/>
                <w:sz w:val="14"/>
                <w:szCs w:val="14"/>
                <w:color w:val="auto"/>
              </w:rPr>
              <w:t>1,051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color w:val="auto"/>
              </w:rPr>
              <w:t>1,055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gridSpan w:val="3"/>
          </w:tcPr>
          <w:p>
            <w:pPr>
              <w:jc w:val="right"/>
              <w:spacing w:after="0"/>
              <w:rPr>
                <w:sz w:val="20"/>
                <w:szCs w:val="20"/>
                <w:color w:val="auto"/>
              </w:rPr>
            </w:pPr>
            <w:r>
              <w:rPr>
                <w:rFonts w:ascii="Arial" w:cs="Arial" w:eastAsia="Arial" w:hAnsi="Arial"/>
                <w:sz w:val="14"/>
                <w:szCs w:val="14"/>
                <w:color w:val="auto"/>
              </w:rPr>
              <w:t>1,057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154,248</w:t>
            </w:r>
          </w:p>
        </w:tc>
        <w:tc>
          <w:tcPr>
            <w:tcW w:w="0" w:type="dxa"/>
            <w:vAlign w:val="bottom"/>
          </w:tcPr>
          <w:p>
            <w:pPr>
              <w:spacing w:after="0"/>
              <w:rPr>
                <w:sz w:val="1"/>
                <w:szCs w:val="1"/>
                <w:color w:val="auto"/>
              </w:rPr>
            </w:pPr>
          </w:p>
        </w:tc>
      </w:tr>
      <w:tr>
        <w:trPr>
          <w:trHeight w:val="207"/>
        </w:trPr>
        <w:tc>
          <w:tcPr>
            <w:tcW w:w="5860" w:type="dxa"/>
            <w:vAlign w:val="bottom"/>
            <w:gridSpan w:val="32"/>
            <w:shd w:val="clear" w:color="auto" w:fill="CCEEFF"/>
          </w:tcPr>
          <w:p>
            <w:pPr>
              <w:jc w:val="center"/>
              <w:ind w:right="4868"/>
              <w:spacing w:after="0"/>
              <w:rPr>
                <w:sz w:val="20"/>
                <w:szCs w:val="20"/>
                <w:color w:val="auto"/>
              </w:rPr>
            </w:pPr>
            <w:r>
              <w:rPr>
                <w:rFonts w:ascii="Arial" w:cs="Arial" w:eastAsia="Arial" w:hAnsi="Arial"/>
                <w:sz w:val="14"/>
                <w:szCs w:val="14"/>
                <w:color w:val="auto"/>
              </w:rPr>
              <w:t>2020</w:t>
            </w:r>
          </w:p>
        </w:tc>
        <w:tc>
          <w:tcPr>
            <w:tcW w:w="720" w:type="dxa"/>
            <w:vAlign w:val="bottom"/>
            <w:gridSpan w:val="7"/>
            <w:shd w:val="clear" w:color="auto" w:fill="CCEEFF"/>
          </w:tcPr>
          <w:p>
            <w:pPr>
              <w:jc w:val="right"/>
              <w:ind w:right="300"/>
              <w:spacing w:after="0"/>
              <w:rPr>
                <w:sz w:val="20"/>
                <w:szCs w:val="20"/>
                <w:color w:val="auto"/>
              </w:rPr>
            </w:pPr>
            <w:r>
              <w:rPr>
                <w:rFonts w:ascii="Arial" w:cs="Arial" w:eastAsia="Arial" w:hAnsi="Arial"/>
                <w:sz w:val="14"/>
                <w:szCs w:val="14"/>
                <w:color w:val="auto"/>
              </w:rPr>
              <w:t>1,043</w:t>
            </w:r>
          </w:p>
        </w:tc>
        <w:tc>
          <w:tcPr>
            <w:tcW w:w="820" w:type="dxa"/>
            <w:vAlign w:val="bottom"/>
            <w:gridSpan w:val="8"/>
            <w:shd w:val="clear" w:color="auto" w:fill="CCEEFF"/>
          </w:tcPr>
          <w:p>
            <w:pPr>
              <w:jc w:val="right"/>
              <w:ind w:right="340"/>
              <w:spacing w:after="0"/>
              <w:rPr>
                <w:sz w:val="20"/>
                <w:szCs w:val="20"/>
                <w:color w:val="auto"/>
              </w:rPr>
            </w:pPr>
            <w:r>
              <w:rPr>
                <w:rFonts w:ascii="Arial" w:cs="Arial" w:eastAsia="Arial" w:hAnsi="Arial"/>
                <w:sz w:val="14"/>
                <w:szCs w:val="14"/>
                <w:color w:val="auto"/>
              </w:rPr>
              <w:t>974</w:t>
            </w:r>
          </w:p>
        </w:tc>
        <w:tc>
          <w:tcPr>
            <w:tcW w:w="860" w:type="dxa"/>
            <w:vAlign w:val="bottom"/>
            <w:gridSpan w:val="6"/>
            <w:shd w:val="clear" w:color="auto" w:fill="CCEEFF"/>
          </w:tcPr>
          <w:p>
            <w:pPr>
              <w:jc w:val="right"/>
              <w:ind w:right="348"/>
              <w:spacing w:after="0"/>
              <w:rPr>
                <w:sz w:val="20"/>
                <w:szCs w:val="20"/>
                <w:color w:val="auto"/>
              </w:rPr>
            </w:pPr>
            <w:r>
              <w:rPr>
                <w:rFonts w:ascii="Arial" w:cs="Arial" w:eastAsia="Arial" w:hAnsi="Arial"/>
                <w:sz w:val="14"/>
                <w:szCs w:val="14"/>
                <w:color w:val="auto"/>
              </w:rPr>
              <w:t>957</w:t>
            </w:r>
          </w:p>
        </w:tc>
        <w:tc>
          <w:tcPr>
            <w:tcW w:w="700" w:type="dxa"/>
            <w:vAlign w:val="bottom"/>
            <w:gridSpan w:val="6"/>
            <w:shd w:val="clear" w:color="auto" w:fill="CCEEFF"/>
          </w:tcPr>
          <w:p>
            <w:pPr>
              <w:jc w:val="right"/>
              <w:ind w:right="300"/>
              <w:spacing w:after="0"/>
              <w:rPr>
                <w:sz w:val="20"/>
                <w:szCs w:val="20"/>
                <w:color w:val="auto"/>
              </w:rPr>
            </w:pPr>
            <w:r>
              <w:rPr>
                <w:rFonts w:ascii="Arial" w:cs="Arial" w:eastAsia="Arial" w:hAnsi="Arial"/>
                <w:sz w:val="14"/>
                <w:szCs w:val="14"/>
                <w:color w:val="auto"/>
              </w:rPr>
              <w:t>949</w:t>
            </w:r>
          </w:p>
        </w:tc>
        <w:tc>
          <w:tcPr>
            <w:tcW w:w="132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39</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122,112</w:t>
            </w:r>
          </w:p>
        </w:tc>
        <w:tc>
          <w:tcPr>
            <w:tcW w:w="0" w:type="dxa"/>
            <w:vAlign w:val="bottom"/>
          </w:tcPr>
          <w:p>
            <w:pPr>
              <w:spacing w:after="0"/>
              <w:rPr>
                <w:sz w:val="1"/>
                <w:szCs w:val="1"/>
                <w:color w:val="auto"/>
              </w:rPr>
            </w:pPr>
          </w:p>
        </w:tc>
      </w:tr>
      <w:tr>
        <w:trPr>
          <w:trHeight w:val="198"/>
        </w:trPr>
        <w:tc>
          <w:tcPr>
            <w:tcW w:w="6580" w:type="dxa"/>
            <w:vAlign w:val="bottom"/>
            <w:gridSpan w:val="39"/>
          </w:tcPr>
          <w:p>
            <w:pPr>
              <w:jc w:val="center"/>
              <w:ind w:right="5660"/>
              <w:spacing w:after="0"/>
              <w:rPr>
                <w:sz w:val="20"/>
                <w:szCs w:val="20"/>
                <w:color w:val="auto"/>
              </w:rPr>
            </w:pPr>
            <w:r>
              <w:rPr>
                <w:rFonts w:ascii="Arial" w:cs="Arial" w:eastAsia="Arial" w:hAnsi="Arial"/>
                <w:sz w:val="14"/>
                <w:szCs w:val="14"/>
                <w:color w:val="auto"/>
              </w:rPr>
              <w:t>2021</w:t>
            </w:r>
          </w:p>
        </w:tc>
        <w:tc>
          <w:tcPr>
            <w:tcW w:w="820" w:type="dxa"/>
            <w:vAlign w:val="bottom"/>
            <w:gridSpan w:val="8"/>
          </w:tcPr>
          <w:p>
            <w:pPr>
              <w:jc w:val="right"/>
              <w:ind w:right="340"/>
              <w:spacing w:after="0"/>
              <w:rPr>
                <w:sz w:val="20"/>
                <w:szCs w:val="20"/>
                <w:color w:val="auto"/>
              </w:rPr>
            </w:pPr>
            <w:r>
              <w:rPr>
                <w:rFonts w:ascii="Arial" w:cs="Arial" w:eastAsia="Arial" w:hAnsi="Arial"/>
                <w:sz w:val="14"/>
                <w:szCs w:val="14"/>
                <w:color w:val="auto"/>
              </w:rPr>
              <w:t>1,119</w:t>
            </w:r>
          </w:p>
        </w:tc>
        <w:tc>
          <w:tcPr>
            <w:tcW w:w="860" w:type="dxa"/>
            <w:vAlign w:val="bottom"/>
            <w:gridSpan w:val="6"/>
          </w:tcPr>
          <w:p>
            <w:pPr>
              <w:jc w:val="right"/>
              <w:ind w:right="348"/>
              <w:spacing w:after="0"/>
              <w:rPr>
                <w:sz w:val="20"/>
                <w:szCs w:val="20"/>
                <w:color w:val="auto"/>
              </w:rPr>
            </w:pPr>
            <w:r>
              <w:rPr>
                <w:rFonts w:ascii="Arial" w:cs="Arial" w:eastAsia="Arial" w:hAnsi="Arial"/>
                <w:sz w:val="14"/>
                <w:szCs w:val="14"/>
                <w:color w:val="auto"/>
              </w:rPr>
              <w:t>1,023</w:t>
            </w:r>
          </w:p>
        </w:tc>
        <w:tc>
          <w:tcPr>
            <w:tcW w:w="700" w:type="dxa"/>
            <w:vAlign w:val="bottom"/>
            <w:gridSpan w:val="6"/>
          </w:tcPr>
          <w:p>
            <w:pPr>
              <w:jc w:val="right"/>
              <w:ind w:right="300"/>
              <w:spacing w:after="0"/>
              <w:rPr>
                <w:sz w:val="20"/>
                <w:szCs w:val="20"/>
                <w:color w:val="auto"/>
              </w:rPr>
            </w:pPr>
            <w:r>
              <w:rPr>
                <w:rFonts w:ascii="Arial" w:cs="Arial" w:eastAsia="Arial" w:hAnsi="Arial"/>
                <w:sz w:val="14"/>
                <w:szCs w:val="14"/>
                <w:color w:val="auto"/>
              </w:rPr>
              <w:t>1,022</w:t>
            </w:r>
          </w:p>
        </w:tc>
        <w:tc>
          <w:tcPr>
            <w:tcW w:w="1320" w:type="dxa"/>
            <w:vAlign w:val="bottom"/>
            <w:gridSpan w:val="4"/>
          </w:tcPr>
          <w:p>
            <w:pPr>
              <w:jc w:val="right"/>
              <w:ind w:right="160"/>
              <w:spacing w:after="0"/>
              <w:rPr>
                <w:sz w:val="20"/>
                <w:szCs w:val="20"/>
                <w:color w:val="auto"/>
              </w:rPr>
            </w:pPr>
            <w:r>
              <w:rPr>
                <w:rFonts w:ascii="Arial" w:cs="Arial" w:eastAsia="Arial" w:hAnsi="Arial"/>
                <w:sz w:val="14"/>
                <w:szCs w:val="14"/>
                <w:color w:val="auto"/>
              </w:rPr>
              <w:t>69</w:t>
            </w:r>
          </w:p>
        </w:tc>
        <w:tc>
          <w:tcPr>
            <w:tcW w:w="960" w:type="dxa"/>
            <w:vAlign w:val="bottom"/>
          </w:tcPr>
          <w:p>
            <w:pPr>
              <w:jc w:val="right"/>
              <w:spacing w:after="0"/>
              <w:rPr>
                <w:sz w:val="20"/>
                <w:szCs w:val="20"/>
                <w:color w:val="auto"/>
              </w:rPr>
            </w:pPr>
            <w:r>
              <w:rPr>
                <w:rFonts w:ascii="Arial" w:cs="Arial" w:eastAsia="Arial" w:hAnsi="Arial"/>
                <w:sz w:val="14"/>
                <w:szCs w:val="14"/>
                <w:color w:val="auto"/>
              </w:rPr>
              <w:t>123,416</w:t>
            </w:r>
          </w:p>
        </w:tc>
        <w:tc>
          <w:tcPr>
            <w:tcW w:w="0" w:type="dxa"/>
            <w:vAlign w:val="bottom"/>
          </w:tcPr>
          <w:p>
            <w:pPr>
              <w:spacing w:after="0"/>
              <w:rPr>
                <w:sz w:val="1"/>
                <w:szCs w:val="1"/>
                <w:color w:val="auto"/>
              </w:rPr>
            </w:pPr>
          </w:p>
        </w:tc>
      </w:tr>
      <w:tr>
        <w:trPr>
          <w:trHeight w:val="207"/>
        </w:trPr>
        <w:tc>
          <w:tcPr>
            <w:tcW w:w="7400" w:type="dxa"/>
            <w:vAlign w:val="bottom"/>
            <w:gridSpan w:val="47"/>
            <w:shd w:val="clear" w:color="auto" w:fill="CCEEFF"/>
          </w:tcPr>
          <w:p>
            <w:pPr>
              <w:jc w:val="center"/>
              <w:ind w:right="6480"/>
              <w:spacing w:after="0"/>
              <w:rPr>
                <w:sz w:val="20"/>
                <w:szCs w:val="20"/>
                <w:color w:val="auto"/>
              </w:rPr>
            </w:pPr>
            <w:r>
              <w:rPr>
                <w:rFonts w:ascii="Arial" w:cs="Arial" w:eastAsia="Arial" w:hAnsi="Arial"/>
                <w:sz w:val="14"/>
                <w:szCs w:val="14"/>
                <w:color w:val="auto"/>
              </w:rPr>
              <w:t>2022</w:t>
            </w:r>
          </w:p>
        </w:tc>
        <w:tc>
          <w:tcPr>
            <w:tcW w:w="860" w:type="dxa"/>
            <w:vAlign w:val="bottom"/>
            <w:gridSpan w:val="6"/>
            <w:shd w:val="clear" w:color="auto" w:fill="CCEEFF"/>
          </w:tcPr>
          <w:p>
            <w:pPr>
              <w:jc w:val="right"/>
              <w:ind w:right="348"/>
              <w:spacing w:after="0"/>
              <w:rPr>
                <w:sz w:val="20"/>
                <w:szCs w:val="20"/>
                <w:color w:val="auto"/>
              </w:rPr>
            </w:pPr>
            <w:r>
              <w:rPr>
                <w:rFonts w:ascii="Arial" w:cs="Arial" w:eastAsia="Arial" w:hAnsi="Arial"/>
                <w:sz w:val="14"/>
                <w:szCs w:val="14"/>
                <w:color w:val="auto"/>
              </w:rPr>
              <w:t>1,393</w:t>
            </w:r>
          </w:p>
        </w:tc>
        <w:tc>
          <w:tcPr>
            <w:tcW w:w="700" w:type="dxa"/>
            <w:vAlign w:val="bottom"/>
            <w:gridSpan w:val="6"/>
            <w:shd w:val="clear" w:color="auto" w:fill="CCEEFF"/>
          </w:tcPr>
          <w:p>
            <w:pPr>
              <w:jc w:val="right"/>
              <w:ind w:right="300"/>
              <w:spacing w:after="0"/>
              <w:rPr>
                <w:sz w:val="20"/>
                <w:szCs w:val="20"/>
                <w:color w:val="auto"/>
              </w:rPr>
            </w:pPr>
            <w:r>
              <w:rPr>
                <w:rFonts w:ascii="Arial" w:cs="Arial" w:eastAsia="Arial" w:hAnsi="Arial"/>
                <w:sz w:val="14"/>
                <w:szCs w:val="14"/>
                <w:color w:val="auto"/>
              </w:rPr>
              <w:t>1,316</w:t>
            </w:r>
          </w:p>
        </w:tc>
        <w:tc>
          <w:tcPr>
            <w:tcW w:w="132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157</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136,540</w:t>
            </w:r>
          </w:p>
        </w:tc>
        <w:tc>
          <w:tcPr>
            <w:tcW w:w="0" w:type="dxa"/>
            <w:vAlign w:val="bottom"/>
          </w:tcPr>
          <w:p>
            <w:pPr>
              <w:spacing w:after="0"/>
              <w:rPr>
                <w:sz w:val="1"/>
                <w:szCs w:val="1"/>
                <w:color w:val="auto"/>
              </w:rPr>
            </w:pPr>
          </w:p>
        </w:tc>
      </w:tr>
      <w:tr>
        <w:trPr>
          <w:trHeight w:val="198"/>
        </w:trPr>
        <w:tc>
          <w:tcPr>
            <w:tcW w:w="8000" w:type="dxa"/>
            <w:vAlign w:val="bottom"/>
            <w:tcBorders>
              <w:bottom w:val="single" w:sz="8" w:color="CCEEFF"/>
            </w:tcBorders>
            <w:gridSpan w:val="52"/>
          </w:tcPr>
          <w:p>
            <w:pPr>
              <w:jc w:val="center"/>
              <w:ind w:right="7008"/>
              <w:spacing w:after="0"/>
              <w:rPr>
                <w:sz w:val="20"/>
                <w:szCs w:val="20"/>
                <w:color w:val="auto"/>
              </w:rPr>
            </w:pPr>
            <w:r>
              <w:rPr>
                <w:rFonts w:ascii="Arial" w:cs="Arial" w:eastAsia="Arial" w:hAnsi="Arial"/>
                <w:sz w:val="14"/>
                <w:szCs w:val="14"/>
                <w:color w:val="auto"/>
              </w:rPr>
              <w:t>2023</w:t>
            </w:r>
          </w:p>
        </w:tc>
        <w:tc>
          <w:tcPr>
            <w:tcW w:w="72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color w:val="auto"/>
              </w:rPr>
              <w:t>1,472</w:t>
            </w:r>
          </w:p>
        </w:tc>
        <w:tc>
          <w:tcPr>
            <w:tcW w:w="1560" w:type="dxa"/>
            <w:vAlign w:val="bottom"/>
            <w:tcBorders>
              <w:bottom w:val="single" w:sz="8" w:color="CCEEFF"/>
            </w:tcBorders>
            <w:gridSpan w:val="7"/>
          </w:tcPr>
          <w:p>
            <w:pPr>
              <w:jc w:val="right"/>
              <w:ind w:right="1560"/>
              <w:spacing w:after="0"/>
              <w:rPr>
                <w:sz w:val="20"/>
                <w:szCs w:val="20"/>
                <w:color w:val="auto"/>
              </w:rPr>
            </w:pPr>
            <w:r>
              <w:rPr>
                <w:rFonts w:ascii="Arial" w:cs="Arial" w:eastAsia="Arial" w:hAnsi="Arial"/>
                <w:sz w:val="14"/>
                <w:szCs w:val="14"/>
                <w:color w:val="auto"/>
              </w:rPr>
              <w:t>432</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127,664</w:t>
            </w:r>
          </w:p>
        </w:tc>
        <w:tc>
          <w:tcPr>
            <w:tcW w:w="0" w:type="dxa"/>
            <w:vAlign w:val="bottom"/>
          </w:tcPr>
          <w:p>
            <w:pPr>
              <w:spacing w:after="0"/>
              <w:rPr>
                <w:sz w:val="1"/>
                <w:szCs w:val="1"/>
                <w:color w:val="auto"/>
              </w:rPr>
            </w:pPr>
          </w:p>
        </w:tc>
      </w:tr>
      <w:tr>
        <w:trPr>
          <w:trHeight w:val="200"/>
        </w:trPr>
        <w:tc>
          <w:tcPr>
            <w:tcW w:w="7900" w:type="dxa"/>
            <w:vAlign w:val="bottom"/>
            <w:gridSpan w:val="50"/>
            <w:shd w:val="clear" w:color="auto" w:fill="CCEEFF"/>
          </w:tcPr>
          <w:p>
            <w:pPr>
              <w:spacing w:after="0"/>
              <w:rPr>
                <w:sz w:val="20"/>
                <w:szCs w:val="20"/>
                <w:color w:val="auto"/>
              </w:rPr>
            </w:pPr>
            <w:r>
              <w:rPr>
                <w:rFonts w:ascii="Arial" w:cs="Arial" w:eastAsia="Arial" w:hAnsi="Arial"/>
                <w:sz w:val="14"/>
                <w:szCs w:val="14"/>
                <w:color w:val="auto"/>
              </w:rPr>
              <w:t>Total</w:t>
            </w:r>
          </w:p>
        </w:tc>
        <w:tc>
          <w:tcPr>
            <w:tcW w:w="360" w:type="dxa"/>
            <w:vAlign w:val="bottom"/>
            <w:gridSpan w:val="3"/>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980" w:type="dxa"/>
            <w:vAlign w:val="bottom"/>
            <w:gridSpan w:val="11"/>
            <w:shd w:val="clear" w:color="auto" w:fill="CCEEFF"/>
          </w:tcPr>
          <w:p>
            <w:pPr>
              <w:jc w:val="right"/>
              <w:ind w:right="2510"/>
              <w:spacing w:after="0"/>
              <w:rPr>
                <w:sz w:val="20"/>
                <w:szCs w:val="20"/>
                <w:color w:val="auto"/>
              </w:rPr>
            </w:pPr>
            <w:r>
              <w:rPr>
                <w:rFonts w:ascii="Arial" w:cs="Arial" w:eastAsia="Arial" w:hAnsi="Arial"/>
                <w:sz w:val="14"/>
                <w:szCs w:val="14"/>
                <w:color w:val="auto"/>
              </w:rPr>
              <w:t>9,770</w:t>
            </w:r>
          </w:p>
        </w:tc>
        <w:tc>
          <w:tcPr>
            <w:tcW w:w="0" w:type="dxa"/>
            <w:vAlign w:val="bottom"/>
          </w:tcPr>
          <w:p>
            <w:pPr>
              <w:spacing w:after="0"/>
              <w:rPr>
                <w:sz w:val="1"/>
                <w:szCs w:val="1"/>
                <w:color w:val="auto"/>
              </w:rPr>
            </w:pPr>
          </w:p>
        </w:tc>
      </w:tr>
      <w:tr>
        <w:trPr>
          <w:trHeight w:val="316"/>
        </w:trPr>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80" w:type="dxa"/>
            <w:vAlign w:val="bottom"/>
            <w:gridSpan w:val="29"/>
          </w:tcPr>
          <w:p>
            <w:pPr>
              <w:jc w:val="center"/>
              <w:spacing w:after="0"/>
              <w:rPr>
                <w:sz w:val="20"/>
                <w:szCs w:val="20"/>
                <w:color w:val="auto"/>
              </w:rPr>
            </w:pPr>
            <w:r>
              <w:rPr>
                <w:rFonts w:ascii="Arial" w:cs="Arial" w:eastAsia="Arial" w:hAnsi="Arial"/>
                <w:sz w:val="14"/>
                <w:szCs w:val="14"/>
                <w:color w:val="auto"/>
              </w:rPr>
              <w:t>Cumulative Paid Claims and Allocated LAE, Net of Reinsurance</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00" w:type="dxa"/>
            <w:vAlign w:val="bottom"/>
            <w:gridSpan w:val="3"/>
          </w:tcPr>
          <w:p>
            <w:pPr>
              <w:jc w:val="center"/>
              <w:ind w:right="80"/>
              <w:spacing w:after="0"/>
              <w:rPr>
                <w:sz w:val="20"/>
                <w:szCs w:val="20"/>
                <w:color w:val="auto"/>
              </w:rPr>
            </w:pPr>
            <w:r>
              <w:rPr>
                <w:rFonts w:ascii="Arial" w:cs="Arial" w:eastAsia="Arial" w:hAnsi="Arial"/>
                <w:sz w:val="14"/>
                <w:szCs w:val="14"/>
                <w:color w:val="auto"/>
              </w:rPr>
              <w:t>Accident</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80" w:type="dxa"/>
            <w:vAlign w:val="bottom"/>
            <w:tcBorders>
              <w:bottom w:val="single" w:sz="8" w:color="auto"/>
            </w:tcBorders>
            <w:gridSpan w:val="39"/>
          </w:tcPr>
          <w:p>
            <w:pPr>
              <w:jc w:val="center"/>
              <w:ind w:left="328"/>
              <w:spacing w:after="0"/>
              <w:rPr>
                <w:sz w:val="20"/>
                <w:szCs w:val="20"/>
                <w:color w:val="auto"/>
              </w:rPr>
            </w:pPr>
            <w:r>
              <w:rPr>
                <w:rFonts w:ascii="Arial" w:cs="Arial" w:eastAsia="Arial" w:hAnsi="Arial"/>
                <w:sz w:val="14"/>
                <w:szCs w:val="14"/>
                <w:color w:val="auto"/>
              </w:rPr>
              <w:t>For the Years Ended (2014–2022 is Supplementary Information and Unaudited)</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Year</w:t>
            </w:r>
          </w:p>
        </w:tc>
        <w:tc>
          <w:tcPr>
            <w:tcW w:w="80" w:type="dxa"/>
            <w:vAlign w:val="bottom"/>
            <w:tcBorders>
              <w:bottom w:val="single" w:sz="8" w:color="CCEEFF"/>
            </w:tcBorders>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2014</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2015</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2017</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color w:val="auto"/>
              </w:rPr>
              <w:t>2018</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color w:val="auto"/>
              </w:rPr>
              <w:t>2019</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color w:val="auto"/>
              </w:rPr>
              <w:t>2020</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color w:val="auto"/>
              </w:rPr>
              <w:t>2021</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gridSpan w:val="2"/>
          </w:tcPr>
          <w:p>
            <w:pPr>
              <w:spacing w:after="0"/>
              <w:rPr>
                <w:sz w:val="17"/>
                <w:szCs w:val="17"/>
                <w:color w:val="auto"/>
              </w:rPr>
            </w:pPr>
          </w:p>
        </w:tc>
        <w:tc>
          <w:tcPr>
            <w:tcW w:w="700" w:type="dxa"/>
            <w:vAlign w:val="bottom"/>
            <w:tcBorders>
              <w:bottom w:val="single" w:sz="8" w:color="auto"/>
            </w:tcBorders>
            <w:gridSpan w:val="5"/>
          </w:tcPr>
          <w:p>
            <w:pPr>
              <w:jc w:val="right"/>
              <w:ind w:right="128"/>
              <w:spacing w:after="0"/>
              <w:rPr>
                <w:sz w:val="20"/>
                <w:szCs w:val="20"/>
                <w:color w:val="auto"/>
              </w:rPr>
            </w:pPr>
            <w:r>
              <w:rPr>
                <w:rFonts w:ascii="Arial" w:cs="Arial" w:eastAsia="Arial" w:hAnsi="Arial"/>
                <w:sz w:val="14"/>
                <w:szCs w:val="14"/>
                <w:color w:val="auto"/>
              </w:rPr>
              <w:t>2022</w:t>
            </w:r>
          </w:p>
        </w:tc>
        <w:tc>
          <w:tcPr>
            <w:tcW w:w="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gridSpan w:val="5"/>
          </w:tcPr>
          <w:p>
            <w:pPr>
              <w:jc w:val="right"/>
              <w:ind w:right="128"/>
              <w:spacing w:after="0"/>
              <w:rPr>
                <w:sz w:val="20"/>
                <w:szCs w:val="20"/>
                <w:color w:val="auto"/>
              </w:rPr>
            </w:pPr>
            <w:r>
              <w:rPr>
                <w:rFonts w:ascii="Arial" w:cs="Arial" w:eastAsia="Arial" w:hAnsi="Arial"/>
                <w:sz w:val="14"/>
                <w:szCs w:val="14"/>
                <w:color w:val="auto"/>
              </w:rPr>
              <w:t>2023</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4"/>
                <w:szCs w:val="14"/>
                <w:color w:val="auto"/>
              </w:rPr>
              <w:t>% (a)</w:t>
            </w:r>
          </w:p>
        </w:tc>
        <w:tc>
          <w:tcPr>
            <w:tcW w:w="2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rPr>
              <w:t>632</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rPr>
              <w:t>744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770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783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789</w:t>
            </w:r>
          </w:p>
        </w:tc>
        <w:tc>
          <w:tcPr>
            <w:tcW w:w="28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791</w:t>
            </w:r>
          </w:p>
        </w:tc>
        <w:tc>
          <w:tcPr>
            <w:tcW w:w="340" w:type="dxa"/>
            <w:vAlign w:val="bottom"/>
            <w:gridSpan w:val="5"/>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5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792</w:t>
            </w:r>
          </w:p>
        </w:tc>
        <w:tc>
          <w:tcPr>
            <w:tcW w:w="360" w:type="dxa"/>
            <w:vAlign w:val="bottom"/>
            <w:gridSpan w:val="3"/>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46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793</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99.1 %</w:t>
            </w: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20" w:type="dxa"/>
            <w:vAlign w:val="bottom"/>
          </w:tcPr>
          <w:p>
            <w:pPr>
              <w:jc w:val="center"/>
              <w:spacing w:after="0"/>
              <w:rPr>
                <w:sz w:val="20"/>
                <w:szCs w:val="20"/>
                <w:color w:val="auto"/>
              </w:rPr>
            </w:pPr>
            <w:r>
              <w:rPr>
                <w:rFonts w:ascii="Arial" w:cs="Arial" w:eastAsia="Arial" w:hAnsi="Arial"/>
                <w:sz w:val="14"/>
                <w:szCs w:val="14"/>
                <w:color w:val="auto"/>
              </w:rPr>
              <w:t>2015</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center"/>
              <w:ind w:left="68"/>
              <w:spacing w:after="0"/>
              <w:rPr>
                <w:sz w:val="20"/>
                <w:szCs w:val="20"/>
                <w:color w:val="auto"/>
              </w:rPr>
            </w:pPr>
            <w:r>
              <w:rPr>
                <w:rFonts w:ascii="Arial" w:cs="Arial" w:eastAsia="Arial" w:hAnsi="Arial"/>
                <w:sz w:val="14"/>
                <w:szCs w:val="14"/>
                <w:color w:val="auto"/>
              </w:rPr>
              <w:t>359</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582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center"/>
              <w:ind w:left="68"/>
              <w:spacing w:after="0"/>
              <w:rPr>
                <w:sz w:val="20"/>
                <w:szCs w:val="20"/>
                <w:color w:val="auto"/>
              </w:rPr>
            </w:pPr>
            <w:r>
              <w:rPr>
                <w:rFonts w:ascii="Arial" w:cs="Arial" w:eastAsia="Arial" w:hAnsi="Arial"/>
                <w:sz w:val="14"/>
                <w:szCs w:val="14"/>
                <w:color w:val="auto"/>
              </w:rPr>
              <w:t>667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ind w:left="260"/>
              <w:spacing w:after="0"/>
              <w:rPr>
                <w:sz w:val="20"/>
                <w:szCs w:val="20"/>
                <w:color w:val="auto"/>
              </w:rPr>
            </w:pPr>
            <w:r>
              <w:rPr>
                <w:rFonts w:ascii="Arial" w:cs="Arial" w:eastAsia="Arial" w:hAnsi="Arial"/>
                <w:sz w:val="14"/>
                <w:szCs w:val="14"/>
                <w:color w:val="auto"/>
              </w:rPr>
              <w:t>707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736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744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gridSpan w:val="3"/>
          </w:tcPr>
          <w:p>
            <w:pPr>
              <w:jc w:val="right"/>
              <w:spacing w:after="0"/>
              <w:rPr>
                <w:sz w:val="20"/>
                <w:szCs w:val="20"/>
                <w:color w:val="auto"/>
              </w:rPr>
            </w:pPr>
            <w:r>
              <w:rPr>
                <w:rFonts w:ascii="Arial" w:cs="Arial" w:eastAsia="Arial" w:hAnsi="Arial"/>
                <w:sz w:val="14"/>
                <w:szCs w:val="14"/>
                <w:color w:val="auto"/>
              </w:rPr>
              <w:t>750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3"/>
          </w:tcPr>
          <w:p>
            <w:pPr>
              <w:ind w:left="180"/>
              <w:spacing w:after="0"/>
              <w:rPr>
                <w:sz w:val="20"/>
                <w:szCs w:val="20"/>
                <w:color w:val="auto"/>
              </w:rPr>
            </w:pPr>
            <w:r>
              <w:rPr>
                <w:rFonts w:ascii="Arial" w:cs="Arial" w:eastAsia="Arial" w:hAnsi="Arial"/>
                <w:sz w:val="14"/>
                <w:szCs w:val="14"/>
                <w:color w:val="auto"/>
              </w:rPr>
              <w:t>755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gridSpan w:val="3"/>
          </w:tcPr>
          <w:p>
            <w:pPr>
              <w:jc w:val="right"/>
              <w:ind w:right="8"/>
              <w:spacing w:after="0"/>
              <w:rPr>
                <w:sz w:val="20"/>
                <w:szCs w:val="20"/>
                <w:color w:val="auto"/>
              </w:rPr>
            </w:pPr>
            <w:r>
              <w:rPr>
                <w:rFonts w:ascii="Arial" w:cs="Arial" w:eastAsia="Arial" w:hAnsi="Arial"/>
                <w:sz w:val="14"/>
                <w:szCs w:val="14"/>
                <w:color w:val="auto"/>
              </w:rPr>
              <w:t>761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4"/>
                <w:szCs w:val="14"/>
                <w:color w:val="auto"/>
              </w:rPr>
              <w:t>99.0 %</w:t>
            </w: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2016</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rPr>
              <w:t>521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577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618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640</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656</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665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672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97.5 %</w:t>
            </w: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20" w:type="dxa"/>
            <w:vAlign w:val="bottom"/>
          </w:tcPr>
          <w:p>
            <w:pPr>
              <w:jc w:val="center"/>
              <w:spacing w:after="0"/>
              <w:rPr>
                <w:sz w:val="20"/>
                <w:szCs w:val="20"/>
                <w:color w:val="auto"/>
              </w:rPr>
            </w:pPr>
            <w:r>
              <w:rPr>
                <w:rFonts w:ascii="Arial" w:cs="Arial" w:eastAsia="Arial" w:hAnsi="Arial"/>
                <w:sz w:val="14"/>
                <w:szCs w:val="14"/>
                <w:color w:val="auto"/>
              </w:rPr>
              <w:t>2017</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center"/>
              <w:ind w:left="68"/>
              <w:spacing w:after="0"/>
              <w:rPr>
                <w:sz w:val="20"/>
                <w:szCs w:val="20"/>
                <w:color w:val="auto"/>
              </w:rPr>
            </w:pPr>
            <w:r>
              <w:rPr>
                <w:rFonts w:ascii="Arial" w:cs="Arial" w:eastAsia="Arial" w:hAnsi="Arial"/>
                <w:sz w:val="14"/>
                <w:szCs w:val="14"/>
                <w:color w:val="auto"/>
              </w:rPr>
              <w:t>379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ind w:left="260"/>
              <w:spacing w:after="0"/>
              <w:rPr>
                <w:sz w:val="20"/>
                <w:szCs w:val="20"/>
                <w:color w:val="auto"/>
              </w:rPr>
            </w:pPr>
            <w:r>
              <w:rPr>
                <w:rFonts w:ascii="Arial" w:cs="Arial" w:eastAsia="Arial" w:hAnsi="Arial"/>
                <w:sz w:val="14"/>
                <w:szCs w:val="14"/>
                <w:color w:val="auto"/>
              </w:rPr>
              <w:t>640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696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735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gridSpan w:val="3"/>
          </w:tcPr>
          <w:p>
            <w:pPr>
              <w:jc w:val="right"/>
              <w:spacing w:after="0"/>
              <w:rPr>
                <w:sz w:val="20"/>
                <w:szCs w:val="20"/>
                <w:color w:val="auto"/>
              </w:rPr>
            </w:pPr>
            <w:r>
              <w:rPr>
                <w:rFonts w:ascii="Arial" w:cs="Arial" w:eastAsia="Arial" w:hAnsi="Arial"/>
                <w:sz w:val="14"/>
                <w:szCs w:val="14"/>
                <w:color w:val="auto"/>
              </w:rPr>
              <w:t>755</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3"/>
          </w:tcPr>
          <w:p>
            <w:pPr>
              <w:ind w:left="180"/>
              <w:spacing w:after="0"/>
              <w:rPr>
                <w:sz w:val="20"/>
                <w:szCs w:val="20"/>
                <w:color w:val="auto"/>
              </w:rPr>
            </w:pPr>
            <w:r>
              <w:rPr>
                <w:rFonts w:ascii="Arial" w:cs="Arial" w:eastAsia="Arial" w:hAnsi="Arial"/>
                <w:sz w:val="14"/>
                <w:szCs w:val="14"/>
                <w:color w:val="auto"/>
              </w:rPr>
              <w:t>783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gridSpan w:val="3"/>
          </w:tcPr>
          <w:p>
            <w:pPr>
              <w:jc w:val="right"/>
              <w:ind w:right="8"/>
              <w:spacing w:after="0"/>
              <w:rPr>
                <w:sz w:val="20"/>
                <w:szCs w:val="20"/>
                <w:color w:val="auto"/>
              </w:rPr>
            </w:pPr>
            <w:r>
              <w:rPr>
                <w:rFonts w:ascii="Arial" w:cs="Arial" w:eastAsia="Arial" w:hAnsi="Arial"/>
                <w:sz w:val="14"/>
                <w:szCs w:val="14"/>
                <w:color w:val="auto"/>
              </w:rPr>
              <w:t>794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4"/>
                <w:szCs w:val="14"/>
                <w:color w:val="auto"/>
              </w:rPr>
              <w:t>96.8 %</w:t>
            </w: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2018</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396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676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738</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781</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824</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838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95.7 %</w:t>
            </w: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20" w:type="dxa"/>
            <w:vAlign w:val="bottom"/>
          </w:tcPr>
          <w:p>
            <w:pPr>
              <w:jc w:val="center"/>
              <w:spacing w:after="0"/>
              <w:rPr>
                <w:sz w:val="20"/>
                <w:szCs w:val="20"/>
                <w:color w:val="auto"/>
              </w:rPr>
            </w:pPr>
            <w:r>
              <w:rPr>
                <w:rFonts w:ascii="Arial" w:cs="Arial" w:eastAsia="Arial" w:hAnsi="Arial"/>
                <w:sz w:val="14"/>
                <w:szCs w:val="14"/>
                <w:color w:val="auto"/>
              </w:rPr>
              <w:t>2019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527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823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gridSpan w:val="3"/>
          </w:tcPr>
          <w:p>
            <w:pPr>
              <w:jc w:val="right"/>
              <w:spacing w:after="0"/>
              <w:rPr>
                <w:sz w:val="20"/>
                <w:szCs w:val="20"/>
                <w:color w:val="auto"/>
              </w:rPr>
            </w:pPr>
            <w:r>
              <w:rPr>
                <w:rFonts w:ascii="Arial" w:cs="Arial" w:eastAsia="Arial" w:hAnsi="Arial"/>
                <w:sz w:val="14"/>
                <w:szCs w:val="14"/>
                <w:color w:val="auto"/>
              </w:rPr>
              <w:t>904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3"/>
          </w:tcPr>
          <w:p>
            <w:pPr>
              <w:ind w:left="180"/>
              <w:spacing w:after="0"/>
              <w:rPr>
                <w:sz w:val="20"/>
                <w:szCs w:val="20"/>
                <w:color w:val="auto"/>
              </w:rPr>
            </w:pPr>
            <w:r>
              <w:rPr>
                <w:rFonts w:ascii="Arial" w:cs="Arial" w:eastAsia="Arial" w:hAnsi="Arial"/>
                <w:sz w:val="14"/>
                <w:szCs w:val="14"/>
                <w:color w:val="auto"/>
              </w:rPr>
              <w:t>959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gridSpan w:val="3"/>
          </w:tcPr>
          <w:p>
            <w:pPr>
              <w:jc w:val="right"/>
              <w:ind w:right="8"/>
              <w:spacing w:after="0"/>
              <w:rPr>
                <w:sz w:val="20"/>
                <w:szCs w:val="20"/>
                <w:color w:val="auto"/>
              </w:rPr>
            </w:pPr>
            <w:r>
              <w:rPr>
                <w:rFonts w:ascii="Arial" w:cs="Arial" w:eastAsia="Arial" w:hAnsi="Arial"/>
                <w:sz w:val="14"/>
                <w:szCs w:val="14"/>
                <w:color w:val="auto"/>
              </w:rPr>
              <w:t>998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4"/>
                <w:szCs w:val="14"/>
                <w:color w:val="auto"/>
              </w:rPr>
              <w:t>94.4 %</w:t>
            </w: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2020</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461</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726</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804</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857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90.3 %</w:t>
            </w: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580" w:type="dxa"/>
            <w:vAlign w:val="bottom"/>
            <w:gridSpan w:val="39"/>
          </w:tcPr>
          <w:p>
            <w:pPr>
              <w:jc w:val="center"/>
              <w:ind w:right="5660"/>
              <w:spacing w:after="0"/>
              <w:rPr>
                <w:sz w:val="20"/>
                <w:szCs w:val="20"/>
                <w:color w:val="auto"/>
              </w:rPr>
            </w:pPr>
            <w:r>
              <w:rPr>
                <w:rFonts w:ascii="Arial" w:cs="Arial" w:eastAsia="Arial" w:hAnsi="Arial"/>
                <w:sz w:val="14"/>
                <w:szCs w:val="14"/>
                <w:color w:val="auto"/>
              </w:rPr>
              <w:t>2021</w:t>
            </w:r>
          </w:p>
        </w:tc>
        <w:tc>
          <w:tcPr>
            <w:tcW w:w="820" w:type="dxa"/>
            <w:vAlign w:val="bottom"/>
            <w:gridSpan w:val="8"/>
          </w:tcPr>
          <w:p>
            <w:pPr>
              <w:jc w:val="right"/>
              <w:ind w:right="360"/>
              <w:spacing w:after="0"/>
              <w:rPr>
                <w:sz w:val="20"/>
                <w:szCs w:val="20"/>
                <w:color w:val="auto"/>
              </w:rPr>
            </w:pPr>
            <w:r>
              <w:rPr>
                <w:rFonts w:ascii="Arial" w:cs="Arial" w:eastAsia="Arial" w:hAnsi="Arial"/>
                <w:sz w:val="14"/>
                <w:szCs w:val="14"/>
                <w:color w:val="auto"/>
              </w:rPr>
              <w:t>449</w:t>
            </w:r>
          </w:p>
        </w:tc>
        <w:tc>
          <w:tcPr>
            <w:tcW w:w="860" w:type="dxa"/>
            <w:vAlign w:val="bottom"/>
            <w:gridSpan w:val="6"/>
          </w:tcPr>
          <w:p>
            <w:pPr>
              <w:ind w:left="180"/>
              <w:spacing w:after="0"/>
              <w:rPr>
                <w:sz w:val="20"/>
                <w:szCs w:val="20"/>
                <w:color w:val="auto"/>
              </w:rPr>
            </w:pPr>
            <w:r>
              <w:rPr>
                <w:rFonts w:ascii="Arial" w:cs="Arial" w:eastAsia="Arial" w:hAnsi="Arial"/>
                <w:sz w:val="14"/>
                <w:szCs w:val="14"/>
                <w:color w:val="auto"/>
              </w:rPr>
              <w:t>767</w:t>
            </w:r>
          </w:p>
        </w:tc>
        <w:tc>
          <w:tcPr>
            <w:tcW w:w="700" w:type="dxa"/>
            <w:vAlign w:val="bottom"/>
            <w:gridSpan w:val="6"/>
          </w:tcPr>
          <w:p>
            <w:pPr>
              <w:jc w:val="right"/>
              <w:ind w:right="320"/>
              <w:spacing w:after="0"/>
              <w:rPr>
                <w:sz w:val="20"/>
                <w:szCs w:val="20"/>
                <w:color w:val="auto"/>
              </w:rPr>
            </w:pPr>
            <w:r>
              <w:rPr>
                <w:rFonts w:ascii="Arial" w:cs="Arial" w:eastAsia="Arial" w:hAnsi="Arial"/>
                <w:sz w:val="14"/>
                <w:szCs w:val="14"/>
                <w:color w:val="auto"/>
              </w:rPr>
              <w:t>867</w:t>
            </w:r>
          </w:p>
        </w:tc>
        <w:tc>
          <w:tcPr>
            <w:tcW w:w="2280" w:type="dxa"/>
            <w:vAlign w:val="bottom"/>
            <w:gridSpan w:val="5"/>
          </w:tcPr>
          <w:p>
            <w:pPr>
              <w:jc w:val="right"/>
              <w:ind w:right="930"/>
              <w:spacing w:after="0"/>
              <w:rPr>
                <w:sz w:val="20"/>
                <w:szCs w:val="20"/>
                <w:color w:val="auto"/>
              </w:rPr>
            </w:pPr>
            <w:r>
              <w:rPr>
                <w:rFonts w:ascii="Arial" w:cs="Arial" w:eastAsia="Arial" w:hAnsi="Arial"/>
                <w:sz w:val="14"/>
                <w:szCs w:val="14"/>
                <w:color w:val="auto"/>
              </w:rPr>
              <w:t>84.8 %</w:t>
            </w:r>
          </w:p>
        </w:tc>
        <w:tc>
          <w:tcPr>
            <w:tcW w:w="0" w:type="dxa"/>
            <w:vAlign w:val="bottom"/>
          </w:tcPr>
          <w:p>
            <w:pPr>
              <w:spacing w:after="0"/>
              <w:rPr>
                <w:sz w:val="1"/>
                <w:szCs w:val="1"/>
                <w:color w:val="auto"/>
              </w:rPr>
            </w:pPr>
          </w:p>
        </w:tc>
      </w:tr>
      <w:tr>
        <w:trPr>
          <w:trHeight w:val="207"/>
        </w:trPr>
        <w:tc>
          <w:tcPr>
            <w:tcW w:w="7400" w:type="dxa"/>
            <w:vAlign w:val="bottom"/>
            <w:gridSpan w:val="47"/>
            <w:shd w:val="clear" w:color="auto" w:fill="CCEEFF"/>
          </w:tcPr>
          <w:p>
            <w:pPr>
              <w:jc w:val="center"/>
              <w:ind w:right="6480"/>
              <w:spacing w:after="0"/>
              <w:rPr>
                <w:sz w:val="20"/>
                <w:szCs w:val="20"/>
                <w:color w:val="auto"/>
              </w:rPr>
            </w:pPr>
            <w:r>
              <w:rPr>
                <w:rFonts w:ascii="Arial" w:cs="Arial" w:eastAsia="Arial" w:hAnsi="Arial"/>
                <w:sz w:val="14"/>
                <w:szCs w:val="14"/>
                <w:color w:val="auto"/>
              </w:rPr>
              <w:t>2022</w:t>
            </w:r>
          </w:p>
        </w:tc>
        <w:tc>
          <w:tcPr>
            <w:tcW w:w="860" w:type="dxa"/>
            <w:vAlign w:val="bottom"/>
            <w:gridSpan w:val="6"/>
            <w:shd w:val="clear" w:color="auto" w:fill="CCEEFF"/>
          </w:tcPr>
          <w:p>
            <w:pPr>
              <w:ind w:left="180"/>
              <w:spacing w:after="0"/>
              <w:rPr>
                <w:sz w:val="20"/>
                <w:szCs w:val="20"/>
                <w:color w:val="auto"/>
              </w:rPr>
            </w:pPr>
            <w:r>
              <w:rPr>
                <w:rFonts w:ascii="Arial" w:cs="Arial" w:eastAsia="Arial" w:hAnsi="Arial"/>
                <w:sz w:val="14"/>
                <w:szCs w:val="14"/>
                <w:color w:val="auto"/>
              </w:rPr>
              <w:t>587</w:t>
            </w:r>
          </w:p>
        </w:tc>
        <w:tc>
          <w:tcPr>
            <w:tcW w:w="700" w:type="dxa"/>
            <w:vAlign w:val="bottom"/>
            <w:gridSpan w:val="6"/>
            <w:shd w:val="clear" w:color="auto" w:fill="CCEEFF"/>
          </w:tcPr>
          <w:p>
            <w:pPr>
              <w:jc w:val="right"/>
              <w:ind w:right="320"/>
              <w:spacing w:after="0"/>
              <w:rPr>
                <w:sz w:val="20"/>
                <w:szCs w:val="20"/>
                <w:color w:val="auto"/>
              </w:rPr>
            </w:pPr>
            <w:r>
              <w:rPr>
                <w:rFonts w:ascii="Arial" w:cs="Arial" w:eastAsia="Arial" w:hAnsi="Arial"/>
                <w:sz w:val="14"/>
                <w:szCs w:val="14"/>
                <w:color w:val="auto"/>
              </w:rPr>
              <w:t>1,018</w:t>
            </w:r>
          </w:p>
        </w:tc>
        <w:tc>
          <w:tcPr>
            <w:tcW w:w="2280" w:type="dxa"/>
            <w:vAlign w:val="bottom"/>
            <w:gridSpan w:val="5"/>
            <w:shd w:val="clear" w:color="auto" w:fill="CCEEFF"/>
          </w:tcPr>
          <w:p>
            <w:pPr>
              <w:jc w:val="right"/>
              <w:ind w:right="930"/>
              <w:spacing w:after="0"/>
              <w:rPr>
                <w:sz w:val="20"/>
                <w:szCs w:val="20"/>
                <w:color w:val="auto"/>
              </w:rPr>
            </w:pPr>
            <w:r>
              <w:rPr>
                <w:rFonts w:ascii="Arial" w:cs="Arial" w:eastAsia="Arial" w:hAnsi="Arial"/>
                <w:sz w:val="14"/>
                <w:szCs w:val="14"/>
                <w:color w:val="auto"/>
              </w:rPr>
              <w:t>77.4 %</w:t>
            </w:r>
          </w:p>
        </w:tc>
        <w:tc>
          <w:tcPr>
            <w:tcW w:w="0" w:type="dxa"/>
            <w:vAlign w:val="bottom"/>
          </w:tcPr>
          <w:p>
            <w:pPr>
              <w:spacing w:after="0"/>
              <w:rPr>
                <w:sz w:val="1"/>
                <w:szCs w:val="1"/>
                <w:color w:val="auto"/>
              </w:rPr>
            </w:pPr>
          </w:p>
        </w:tc>
      </w:tr>
      <w:tr>
        <w:trPr>
          <w:trHeight w:val="198"/>
        </w:trPr>
        <w:tc>
          <w:tcPr>
            <w:tcW w:w="7980" w:type="dxa"/>
            <w:vAlign w:val="bottom"/>
            <w:tcBorders>
              <w:bottom w:val="single" w:sz="8" w:color="CCEEFF"/>
            </w:tcBorders>
            <w:gridSpan w:val="51"/>
          </w:tcPr>
          <w:p>
            <w:pPr>
              <w:jc w:val="center"/>
              <w:ind w:right="6988"/>
              <w:spacing w:after="0"/>
              <w:rPr>
                <w:sz w:val="20"/>
                <w:szCs w:val="20"/>
                <w:color w:val="auto"/>
              </w:rPr>
            </w:pPr>
            <w:r>
              <w:rPr>
                <w:rFonts w:ascii="Arial" w:cs="Arial" w:eastAsia="Arial" w:hAnsi="Arial"/>
                <w:sz w:val="14"/>
                <w:szCs w:val="14"/>
                <w:color w:val="auto"/>
              </w:rPr>
              <w:t>2023</w:t>
            </w:r>
          </w:p>
        </w:tc>
        <w:tc>
          <w:tcPr>
            <w:tcW w:w="740" w:type="dxa"/>
            <w:vAlign w:val="bottom"/>
            <w:tcBorders>
              <w:bottom w:val="single" w:sz="8" w:color="auto"/>
            </w:tcBorders>
            <w:gridSpan w:val="5"/>
          </w:tcPr>
          <w:p>
            <w:pPr>
              <w:jc w:val="right"/>
              <w:ind w:right="668"/>
              <w:spacing w:after="0"/>
              <w:rPr>
                <w:sz w:val="20"/>
                <w:szCs w:val="20"/>
                <w:color w:val="auto"/>
              </w:rPr>
            </w:pPr>
            <w:r>
              <w:rPr>
                <w:rFonts w:ascii="Arial" w:cs="Arial" w:eastAsia="Arial" w:hAnsi="Arial"/>
                <w:sz w:val="14"/>
                <w:szCs w:val="14"/>
                <w:color w:val="auto"/>
              </w:rPr>
              <w:t>562</w:t>
            </w:r>
          </w:p>
        </w:tc>
        <w:tc>
          <w:tcPr>
            <w:tcW w:w="2520" w:type="dxa"/>
            <w:vAlign w:val="bottom"/>
            <w:tcBorders>
              <w:bottom w:val="single" w:sz="8" w:color="CCEEFF"/>
            </w:tcBorders>
            <w:gridSpan w:val="8"/>
          </w:tcPr>
          <w:p>
            <w:pPr>
              <w:jc w:val="right"/>
              <w:ind w:right="2450"/>
              <w:spacing w:after="0"/>
              <w:rPr>
                <w:sz w:val="20"/>
                <w:szCs w:val="20"/>
                <w:color w:val="auto"/>
              </w:rPr>
            </w:pPr>
            <w:r>
              <w:rPr>
                <w:rFonts w:ascii="Arial" w:cs="Arial" w:eastAsia="Arial" w:hAnsi="Arial"/>
                <w:sz w:val="14"/>
                <w:szCs w:val="14"/>
                <w:color w:val="auto"/>
              </w:rPr>
              <w:t>38.2 %</w:t>
            </w:r>
          </w:p>
        </w:tc>
        <w:tc>
          <w:tcPr>
            <w:tcW w:w="0" w:type="dxa"/>
            <w:vAlign w:val="bottom"/>
          </w:tcPr>
          <w:p>
            <w:pPr>
              <w:spacing w:after="0"/>
              <w:rPr>
                <w:sz w:val="1"/>
                <w:szCs w:val="1"/>
                <w:color w:val="auto"/>
              </w:rPr>
            </w:pPr>
          </w:p>
        </w:tc>
      </w:tr>
      <w:tr>
        <w:trPr>
          <w:trHeight w:val="200"/>
        </w:trPr>
        <w:tc>
          <w:tcPr>
            <w:tcW w:w="7900" w:type="dxa"/>
            <w:vAlign w:val="bottom"/>
            <w:gridSpan w:val="50"/>
            <w:shd w:val="clear" w:color="auto" w:fill="CCEEFF"/>
          </w:tcPr>
          <w:p>
            <w:pPr>
              <w:spacing w:after="0"/>
              <w:rPr>
                <w:sz w:val="20"/>
                <w:szCs w:val="20"/>
                <w:color w:val="auto"/>
              </w:rPr>
            </w:pPr>
            <w:r>
              <w:rPr>
                <w:rFonts w:ascii="Arial" w:cs="Arial" w:eastAsia="Arial" w:hAnsi="Arial"/>
                <w:sz w:val="14"/>
                <w:szCs w:val="14"/>
                <w:color w:val="auto"/>
              </w:rPr>
              <w:t>Total</w:t>
            </w:r>
          </w:p>
        </w:tc>
        <w:tc>
          <w:tcPr>
            <w:tcW w:w="360" w:type="dxa"/>
            <w:vAlign w:val="bottom"/>
            <w:gridSpan w:val="3"/>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2980" w:type="dxa"/>
            <w:vAlign w:val="bottom"/>
            <w:gridSpan w:val="11"/>
            <w:shd w:val="clear" w:color="auto" w:fill="CCEEFF"/>
          </w:tcPr>
          <w:p>
            <w:pPr>
              <w:jc w:val="right"/>
              <w:ind w:right="2530"/>
              <w:spacing w:after="0"/>
              <w:rPr>
                <w:sz w:val="20"/>
                <w:szCs w:val="20"/>
                <w:color w:val="auto"/>
              </w:rPr>
            </w:pPr>
            <w:r>
              <w:rPr>
                <w:rFonts w:ascii="Arial" w:cs="Arial" w:eastAsia="Arial" w:hAnsi="Arial"/>
                <w:sz w:val="14"/>
                <w:szCs w:val="14"/>
                <w:color w:val="auto"/>
              </w:rPr>
              <w:t>8,160</w:t>
            </w:r>
          </w:p>
        </w:tc>
        <w:tc>
          <w:tcPr>
            <w:tcW w:w="0" w:type="dxa"/>
            <w:vAlign w:val="bottom"/>
          </w:tcPr>
          <w:p>
            <w:pPr>
              <w:spacing w:after="0"/>
              <w:rPr>
                <w:sz w:val="1"/>
                <w:szCs w:val="1"/>
                <w:color w:val="auto"/>
              </w:rPr>
            </w:pPr>
          </w:p>
        </w:tc>
      </w:tr>
      <w:tr>
        <w:trPr>
          <w:trHeight w:val="192"/>
        </w:trPr>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20" w:type="dxa"/>
            <w:vAlign w:val="bottom"/>
            <w:gridSpan w:val="28"/>
          </w:tcPr>
          <w:p>
            <w:pPr>
              <w:jc w:val="right"/>
              <w:spacing w:after="0"/>
              <w:rPr>
                <w:sz w:val="20"/>
                <w:szCs w:val="20"/>
                <w:color w:val="auto"/>
              </w:rPr>
            </w:pPr>
            <w:r>
              <w:rPr>
                <w:rFonts w:ascii="Arial" w:cs="Arial" w:eastAsia="Arial" w:hAnsi="Arial"/>
                <w:sz w:val="14"/>
                <w:szCs w:val="14"/>
                <w:color w:val="auto"/>
              </w:rPr>
              <w:t>Unpaid losses and LAE — years 2014 through 2023</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gridSpan w:val="3"/>
          </w:tcPr>
          <w:p>
            <w:pPr>
              <w:jc w:val="right"/>
              <w:ind w:right="8"/>
              <w:spacing w:after="0"/>
              <w:rPr>
                <w:sz w:val="20"/>
                <w:szCs w:val="20"/>
                <w:color w:val="auto"/>
              </w:rPr>
            </w:pPr>
            <w:r>
              <w:rPr>
                <w:rFonts w:ascii="Arial" w:cs="Arial" w:eastAsia="Arial" w:hAnsi="Arial"/>
                <w:sz w:val="14"/>
                <w:szCs w:val="14"/>
                <w:color w:val="auto"/>
              </w:rPr>
              <w:t>1,610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20" w:type="dxa"/>
            <w:vAlign w:val="bottom"/>
            <w:gridSpan w:val="37"/>
            <w:shd w:val="clear" w:color="auto" w:fill="CCEEFF"/>
          </w:tcPr>
          <w:p>
            <w:pPr>
              <w:jc w:val="right"/>
              <w:spacing w:after="0"/>
              <w:rPr>
                <w:sz w:val="20"/>
                <w:szCs w:val="20"/>
                <w:color w:val="auto"/>
              </w:rPr>
            </w:pPr>
            <w:r>
              <w:rPr>
                <w:rFonts w:ascii="Arial" w:cs="Arial" w:eastAsia="Arial" w:hAnsi="Arial"/>
                <w:sz w:val="14"/>
                <w:szCs w:val="14"/>
                <w:color w:val="auto"/>
              </w:rPr>
              <w:t>Unpaid losses and LAE — 11th year and prior (excluding unallocated LAE)</w:t>
            </w: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gridSpan w:val="3"/>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80" w:type="dxa"/>
            <w:vAlign w:val="bottom"/>
            <w:gridSpan w:val="35"/>
          </w:tcPr>
          <w:p>
            <w:pPr>
              <w:jc w:val="right"/>
              <w:spacing w:after="0"/>
              <w:rPr>
                <w:sz w:val="20"/>
                <w:szCs w:val="20"/>
                <w:color w:val="auto"/>
              </w:rPr>
            </w:pPr>
            <w:r>
              <w:rPr>
                <w:rFonts w:ascii="Arial" w:cs="Arial" w:eastAsia="Arial" w:hAnsi="Arial"/>
                <w:sz w:val="14"/>
                <w:szCs w:val="14"/>
                <w:color w:val="auto"/>
              </w:rPr>
              <w:t>Unpaid losses and LAE, net of reinsurance (excluding unallocated LAE)</w:t>
            </w:r>
          </w:p>
        </w:tc>
        <w:tc>
          <w:tcPr>
            <w:tcW w:w="360" w:type="dxa"/>
            <w:vAlign w:val="bottom"/>
            <w:gridSpan w:val="3"/>
          </w:tcPr>
          <w:p>
            <w:pPr>
              <w:jc w:val="right"/>
              <w:ind w:right="108"/>
              <w:spacing w:after="0"/>
              <w:rPr>
                <w:sz w:val="20"/>
                <w:szCs w:val="20"/>
                <w:color w:val="auto"/>
              </w:rPr>
            </w:pPr>
            <w:r>
              <w:rPr>
                <w:rFonts w:ascii="Arial" w:cs="Arial" w:eastAsia="Arial" w:hAnsi="Arial"/>
                <w:sz w:val="14"/>
                <w:szCs w:val="14"/>
                <w:color w:val="auto"/>
              </w:rPr>
              <w:t>$</w:t>
            </w:r>
          </w:p>
        </w:tc>
        <w:tc>
          <w:tcPr>
            <w:tcW w:w="460" w:type="dxa"/>
            <w:vAlign w:val="bottom"/>
            <w:gridSpan w:val="3"/>
          </w:tcPr>
          <w:p>
            <w:pPr>
              <w:jc w:val="right"/>
              <w:ind w:right="8"/>
              <w:spacing w:after="0"/>
              <w:rPr>
                <w:sz w:val="20"/>
                <w:szCs w:val="20"/>
                <w:color w:val="auto"/>
              </w:rPr>
            </w:pPr>
            <w:r>
              <w:rPr>
                <w:rFonts w:ascii="Arial" w:cs="Arial" w:eastAsia="Arial" w:hAnsi="Arial"/>
                <w:sz w:val="14"/>
                <w:szCs w:val="14"/>
                <w:color w:val="auto"/>
              </w:rPr>
              <w:t>1,636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40" w:type="dxa"/>
            <w:vAlign w:val="bottom"/>
            <w:gridSpan w:val="41"/>
            <w:vMerge w:val="restart"/>
          </w:tcPr>
          <w:p>
            <w:pPr>
              <w:jc w:val="right"/>
              <w:ind w:right="88"/>
              <w:spacing w:after="0"/>
              <w:rPr>
                <w:sz w:val="20"/>
                <w:szCs w:val="20"/>
                <w:color w:val="auto"/>
              </w:rPr>
            </w:pPr>
            <w:r>
              <w:rPr>
                <w:rFonts w:ascii="Arial" w:cs="Arial" w:eastAsia="Arial" w:hAnsi="Arial"/>
                <w:sz w:val="14"/>
                <w:szCs w:val="14"/>
                <w:color w:val="auto"/>
              </w:rPr>
              <w:t>Average Annual Percentage Payout of Incurred Claims by Age, Net of Reinsurance</w:t>
            </w: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40" w:type="dxa"/>
            <w:vAlign w:val="bottom"/>
            <w:gridSpan w:val="41"/>
            <w:vMerge w:val="continue"/>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21"/>
          </w:tcPr>
          <w:p>
            <w:pPr>
              <w:jc w:val="right"/>
              <w:ind w:right="80"/>
              <w:spacing w:after="0"/>
              <w:rPr>
                <w:sz w:val="20"/>
                <w:szCs w:val="20"/>
                <w:color w:val="auto"/>
              </w:rPr>
            </w:pPr>
            <w:r>
              <w:rPr>
                <w:rFonts w:ascii="Arial" w:cs="Arial" w:eastAsia="Arial" w:hAnsi="Arial"/>
                <w:sz w:val="14"/>
                <w:szCs w:val="14"/>
                <w:color w:val="auto"/>
              </w:rPr>
              <w:t>(Supplementary Information and Unaudited)</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1</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Year 2</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color w:val="auto"/>
              </w:rPr>
              <w:t>Year 3</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gridSpan w:val="2"/>
          </w:tcPr>
          <w:p>
            <w:pPr>
              <w:jc w:val="center"/>
              <w:ind w:left="28"/>
              <w:spacing w:after="0"/>
              <w:rPr>
                <w:sz w:val="20"/>
                <w:szCs w:val="20"/>
                <w:color w:val="auto"/>
              </w:rPr>
            </w:pPr>
            <w:r>
              <w:rPr>
                <w:rFonts w:ascii="Arial" w:cs="Arial" w:eastAsia="Arial" w:hAnsi="Arial"/>
                <w:sz w:val="14"/>
                <w:szCs w:val="14"/>
                <w:color w:val="auto"/>
                <w:w w:val="96"/>
              </w:rPr>
              <w:t>Year 4</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color w:val="auto"/>
                <w:w w:val="92"/>
              </w:rPr>
              <w:t>Year 5</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gridSpan w:val="5"/>
          </w:tcPr>
          <w:p>
            <w:pPr>
              <w:jc w:val="right"/>
              <w:ind w:right="88"/>
              <w:spacing w:after="0"/>
              <w:rPr>
                <w:sz w:val="20"/>
                <w:szCs w:val="20"/>
                <w:color w:val="auto"/>
              </w:rPr>
            </w:pPr>
            <w:r>
              <w:rPr>
                <w:rFonts w:ascii="Arial" w:cs="Arial" w:eastAsia="Arial" w:hAnsi="Arial"/>
                <w:sz w:val="14"/>
                <w:szCs w:val="14"/>
                <w:color w:val="auto"/>
              </w:rPr>
              <w:t>Year 6</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color w:val="auto"/>
              </w:rPr>
              <w:t>Year 7</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color w:val="auto"/>
              </w:rPr>
              <w:t>Year 8</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Year 9</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gridSpan w:val="5"/>
          </w:tcPr>
          <w:p>
            <w:pPr>
              <w:jc w:val="right"/>
              <w:ind w:right="69"/>
              <w:spacing w:after="0"/>
              <w:rPr>
                <w:sz w:val="20"/>
                <w:szCs w:val="20"/>
                <w:color w:val="auto"/>
              </w:rPr>
            </w:pPr>
            <w:r>
              <w:rPr>
                <w:rFonts w:ascii="Arial" w:cs="Arial" w:eastAsia="Arial" w:hAnsi="Arial"/>
                <w:sz w:val="14"/>
                <w:szCs w:val="14"/>
                <w:color w:val="auto"/>
              </w:rPr>
              <w:t>Year 10</w:t>
            </w:r>
          </w:p>
        </w:tc>
        <w:tc>
          <w:tcPr>
            <w:tcW w:w="1040" w:type="dxa"/>
            <w:vAlign w:val="bottom"/>
            <w:tcBorders>
              <w:bottom w:val="single" w:sz="8" w:color="CCEEFF"/>
            </w:tcBorders>
            <w:gridSpan w:val="3"/>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0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Annual</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44.7 %</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31.5 %</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8.3 %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5.4 %</w:t>
            </w: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3.5 %</w:t>
            </w:r>
          </w:p>
        </w:tc>
        <w:tc>
          <w:tcPr>
            <w:tcW w:w="840" w:type="dxa"/>
            <w:vAlign w:val="bottom"/>
            <w:gridSpan w:val="6"/>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gridSpan w:val="6"/>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gridSpan w:val="6"/>
            <w:shd w:val="clear" w:color="auto" w:fill="CCEEFF"/>
          </w:tcPr>
          <w:p>
            <w:pPr>
              <w:jc w:val="right"/>
              <w:spacing w:after="0"/>
              <w:rPr>
                <w:sz w:val="20"/>
                <w:szCs w:val="20"/>
                <w:color w:val="auto"/>
              </w:rPr>
            </w:pPr>
            <w:r>
              <w:rPr>
                <w:rFonts w:ascii="Arial" w:cs="Arial" w:eastAsia="Arial" w:hAnsi="Arial"/>
                <w:sz w:val="14"/>
                <w:szCs w:val="14"/>
                <w:color w:val="auto"/>
              </w:rPr>
              <w:t>0.6 %</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0.5 %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0.1 %</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000" w:type="dxa"/>
            <w:vAlign w:val="bottom"/>
            <w:gridSpan w:val="3"/>
          </w:tcPr>
          <w:p>
            <w:pPr>
              <w:ind w:left="20"/>
              <w:spacing w:after="0"/>
              <w:rPr>
                <w:sz w:val="20"/>
                <w:szCs w:val="20"/>
                <w:color w:val="auto"/>
              </w:rPr>
            </w:pPr>
            <w:r>
              <w:rPr>
                <w:rFonts w:ascii="Arial" w:cs="Arial" w:eastAsia="Arial" w:hAnsi="Arial"/>
                <w:sz w:val="13"/>
                <w:szCs w:val="13"/>
                <w:color w:val="auto"/>
              </w:rPr>
              <w:t>Cumulative</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44.7 %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tcPr>
          <w:p>
            <w:pPr>
              <w:jc w:val="center"/>
              <w:ind w:left="48"/>
              <w:spacing w:after="0"/>
              <w:rPr>
                <w:sz w:val="20"/>
                <w:szCs w:val="20"/>
                <w:color w:val="auto"/>
              </w:rPr>
            </w:pPr>
            <w:r>
              <w:rPr>
                <w:rFonts w:ascii="Arial" w:cs="Arial" w:eastAsia="Arial" w:hAnsi="Arial"/>
                <w:sz w:val="14"/>
                <w:szCs w:val="14"/>
                <w:color w:val="auto"/>
              </w:rPr>
              <w:t>76.2 %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84.5 %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89.9 %</w:t>
            </w:r>
          </w:p>
        </w:tc>
        <w:tc>
          <w:tcPr>
            <w:tcW w:w="820" w:type="dxa"/>
            <w:vAlign w:val="bottom"/>
            <w:gridSpan w:val="5"/>
          </w:tcPr>
          <w:p>
            <w:pPr>
              <w:jc w:val="right"/>
              <w:spacing w:after="0"/>
              <w:rPr>
                <w:sz w:val="20"/>
                <w:szCs w:val="20"/>
                <w:color w:val="auto"/>
              </w:rPr>
            </w:pPr>
            <w:r>
              <w:rPr>
                <w:rFonts w:ascii="Arial" w:cs="Arial" w:eastAsia="Arial" w:hAnsi="Arial"/>
                <w:sz w:val="14"/>
                <w:szCs w:val="14"/>
                <w:color w:val="auto"/>
              </w:rPr>
              <w:t>93.4 %</w:t>
            </w:r>
          </w:p>
        </w:tc>
        <w:tc>
          <w:tcPr>
            <w:tcW w:w="840" w:type="dxa"/>
            <w:vAlign w:val="bottom"/>
            <w:gridSpan w:val="6"/>
          </w:tcPr>
          <w:p>
            <w:pPr>
              <w:jc w:val="right"/>
              <w:spacing w:after="0"/>
              <w:rPr>
                <w:sz w:val="20"/>
                <w:szCs w:val="20"/>
                <w:color w:val="auto"/>
              </w:rPr>
            </w:pPr>
            <w:r>
              <w:rPr>
                <w:rFonts w:ascii="Arial" w:cs="Arial" w:eastAsia="Arial" w:hAnsi="Arial"/>
                <w:sz w:val="14"/>
                <w:szCs w:val="14"/>
                <w:color w:val="auto"/>
              </w:rPr>
              <w:t>95.4 %</w:t>
            </w:r>
          </w:p>
        </w:tc>
        <w:tc>
          <w:tcPr>
            <w:tcW w:w="840" w:type="dxa"/>
            <w:vAlign w:val="bottom"/>
            <w:gridSpan w:val="8"/>
          </w:tcPr>
          <w:p>
            <w:pPr>
              <w:jc w:val="right"/>
              <w:spacing w:after="0"/>
              <w:rPr>
                <w:sz w:val="20"/>
                <w:szCs w:val="20"/>
                <w:color w:val="auto"/>
              </w:rPr>
            </w:pPr>
            <w:r>
              <w:rPr>
                <w:rFonts w:ascii="Arial" w:cs="Arial" w:eastAsia="Arial" w:hAnsi="Arial"/>
                <w:sz w:val="14"/>
                <w:szCs w:val="14"/>
                <w:color w:val="auto"/>
              </w:rPr>
              <w:t>96.4 %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gridSpan w:val="6"/>
          </w:tcPr>
          <w:p>
            <w:pPr>
              <w:jc w:val="right"/>
              <w:spacing w:after="0"/>
              <w:rPr>
                <w:sz w:val="20"/>
                <w:szCs w:val="20"/>
                <w:color w:val="auto"/>
              </w:rPr>
            </w:pPr>
            <w:r>
              <w:rPr>
                <w:rFonts w:ascii="Arial" w:cs="Arial" w:eastAsia="Arial" w:hAnsi="Arial"/>
                <w:sz w:val="14"/>
                <w:szCs w:val="14"/>
                <w:color w:val="auto"/>
              </w:rPr>
              <w:t>97.0 %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gridSpan w:val="4"/>
          </w:tcPr>
          <w:p>
            <w:pPr>
              <w:jc w:val="right"/>
              <w:spacing w:after="0"/>
              <w:rPr>
                <w:sz w:val="20"/>
                <w:szCs w:val="20"/>
                <w:color w:val="auto"/>
              </w:rPr>
            </w:pPr>
            <w:r>
              <w:rPr>
                <w:rFonts w:ascii="Arial" w:cs="Arial" w:eastAsia="Arial" w:hAnsi="Arial"/>
                <w:sz w:val="14"/>
                <w:szCs w:val="14"/>
                <w:color w:val="auto"/>
              </w:rPr>
              <w:t>97.5 %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gridSpan w:val="4"/>
          </w:tcPr>
          <w:p>
            <w:pPr>
              <w:jc w:val="right"/>
              <w:spacing w:after="0"/>
              <w:rPr>
                <w:sz w:val="20"/>
                <w:szCs w:val="20"/>
                <w:color w:val="auto"/>
              </w:rPr>
            </w:pPr>
            <w:r>
              <w:rPr>
                <w:rFonts w:ascii="Arial" w:cs="Arial" w:eastAsia="Arial" w:hAnsi="Arial"/>
                <w:sz w:val="14"/>
                <w:szCs w:val="14"/>
                <w:color w:val="auto"/>
              </w:rPr>
              <w:t>97.6 %</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00" w:hanging="392"/>
        <w:spacing w:after="0"/>
        <w:tabs>
          <w:tab w:leader="none" w:pos="4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Represents the cumulative percentage paid of incurred claims and allocated LAE (net of reinsurance, as estimated at December 31, 2023).</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5440"/>
        <w:spacing w:after="0"/>
        <w:rPr>
          <w:rFonts w:ascii="Arial" w:cs="Arial" w:eastAsia="Arial" w:hAnsi="Arial"/>
          <w:sz w:val="17"/>
          <w:szCs w:val="17"/>
          <w:color w:val="auto"/>
        </w:rPr>
      </w:pPr>
      <w:r>
        <w:rPr>
          <w:rFonts w:ascii="Arial" w:cs="Arial" w:eastAsia="Arial" w:hAnsi="Arial"/>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7" w:name="page128"/>
    <w:bookmarkEnd w:id="12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AMERICAN FINANCIAL GROUP,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NOTES TO CONSOLIDATED FINANCIAL STATEMENTS — CONTINUED</w:t>
      </w: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0274E"/>
        </w:rPr>
        <w:t>Specialty casualty</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(Dollars in Millions)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0" w:type="dxa"/>
            <w:vAlign w:val="bottom"/>
            <w:gridSpan w:val="35"/>
          </w:tcPr>
          <w:p>
            <w:pPr>
              <w:jc w:val="right"/>
              <w:ind w:right="348"/>
              <w:spacing w:after="0"/>
              <w:rPr>
                <w:sz w:val="20"/>
                <w:szCs w:val="20"/>
                <w:color w:val="auto"/>
              </w:rPr>
            </w:pPr>
            <w:r>
              <w:rPr>
                <w:rFonts w:ascii="Arial" w:cs="Arial" w:eastAsia="Arial" w:hAnsi="Arial"/>
                <w:sz w:val="14"/>
                <w:szCs w:val="14"/>
                <w:color w:val="auto"/>
              </w:rPr>
              <w:t>Incurred Claims and Allocated LAE, Net of Reinsurance</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color w:val="auto"/>
              </w:rPr>
              <w:t>As of December 31, 2023</w:t>
            </w: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500" w:type="dxa"/>
            <w:vAlign w:val="bottom"/>
            <w:gridSpan w:val="45"/>
          </w:tcPr>
          <w:p>
            <w:pPr>
              <w:ind w:left="440"/>
              <w:spacing w:after="0"/>
              <w:rPr>
                <w:sz w:val="20"/>
                <w:szCs w:val="20"/>
                <w:color w:val="auto"/>
              </w:rPr>
            </w:pPr>
            <w:r>
              <w:rPr>
                <w:rFonts w:ascii="Arial" w:cs="Arial" w:eastAsia="Arial" w:hAnsi="Arial"/>
                <w:sz w:val="14"/>
                <w:szCs w:val="14"/>
                <w:color w:val="auto"/>
              </w:rPr>
              <w:t>For the Years Ended (2014–2022 is Supplementary Information and Unaudited)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4"/>
          </w:tcPr>
          <w:p>
            <w:pPr>
              <w:jc w:val="center"/>
              <w:ind w:right="220"/>
              <w:spacing w:after="0"/>
              <w:rPr>
                <w:sz w:val="20"/>
                <w:szCs w:val="20"/>
                <w:color w:val="auto"/>
              </w:rPr>
            </w:pPr>
            <w:r>
              <w:rPr>
                <w:rFonts w:ascii="Arial" w:cs="Arial" w:eastAsia="Arial" w:hAnsi="Arial"/>
                <w:sz w:val="13"/>
                <w:szCs w:val="13"/>
                <w:color w:val="auto"/>
              </w:rPr>
              <w:t>Total IBNR Plus</w:t>
            </w:r>
          </w:p>
        </w:tc>
        <w:tc>
          <w:tcPr>
            <w:tcW w:w="940" w:type="dxa"/>
            <w:vAlign w:val="bottom"/>
          </w:tcPr>
          <w:p>
            <w:pPr>
              <w:jc w:val="center"/>
              <w:spacing w:after="0"/>
              <w:rPr>
                <w:sz w:val="20"/>
                <w:szCs w:val="20"/>
                <w:color w:val="auto"/>
              </w:rPr>
            </w:pPr>
            <w:r>
              <w:rPr>
                <w:rFonts w:ascii="Arial" w:cs="Arial" w:eastAsia="Arial" w:hAnsi="Arial"/>
                <w:sz w:val="13"/>
                <w:szCs w:val="13"/>
                <w:color w:val="auto"/>
              </w:rPr>
              <w:t>Cumulative</w:t>
            </w:r>
          </w:p>
        </w:tc>
        <w:tc>
          <w:tcPr>
            <w:tcW w:w="0" w:type="dxa"/>
            <w:vAlign w:val="bottom"/>
          </w:tcPr>
          <w:p>
            <w:pPr>
              <w:spacing w:after="0"/>
              <w:rPr>
                <w:sz w:val="1"/>
                <w:szCs w:val="1"/>
                <w:color w:val="auto"/>
              </w:rPr>
            </w:pPr>
          </w:p>
        </w:tc>
      </w:tr>
      <w:tr>
        <w:trPr>
          <w:trHeight w:val="54"/>
        </w:trPr>
        <w:tc>
          <w:tcPr>
            <w:tcW w:w="980" w:type="dxa"/>
            <w:vAlign w:val="bottom"/>
            <w:gridSpan w:val="4"/>
            <w:vMerge w:val="restart"/>
          </w:tcPr>
          <w:p>
            <w:pPr>
              <w:jc w:val="center"/>
              <w:ind w:right="80"/>
              <w:spacing w:after="0"/>
              <w:rPr>
                <w:sz w:val="20"/>
                <w:szCs w:val="20"/>
                <w:color w:val="auto"/>
              </w:rPr>
            </w:pPr>
            <w:r>
              <w:rPr>
                <w:rFonts w:ascii="Arial" w:cs="Arial" w:eastAsia="Arial" w:hAnsi="Arial"/>
                <w:sz w:val="14"/>
                <w:szCs w:val="14"/>
                <w:color w:val="auto"/>
              </w:rPr>
              <w:t>Accident</w:t>
            </w:r>
          </w:p>
        </w:tc>
        <w:tc>
          <w:tcPr>
            <w:tcW w:w="7800" w:type="dxa"/>
            <w:vAlign w:val="bottom"/>
            <w:tcBorders>
              <w:bottom w:val="single" w:sz="8" w:color="auto"/>
            </w:tcBorders>
            <w:gridSpan w:val="65"/>
          </w:tcPr>
          <w:p>
            <w:pPr>
              <w:spacing w:after="0"/>
              <w:rPr>
                <w:sz w:val="4"/>
                <w:szCs w:val="4"/>
                <w:color w:val="auto"/>
              </w:rPr>
            </w:pPr>
          </w:p>
        </w:tc>
        <w:tc>
          <w:tcPr>
            <w:tcW w:w="220" w:type="dxa"/>
            <w:vAlign w:val="bottom"/>
            <w:gridSpan w:val="3"/>
          </w:tcPr>
          <w:p>
            <w:pPr>
              <w:spacing w:after="0"/>
              <w:rPr>
                <w:sz w:val="4"/>
                <w:szCs w:val="4"/>
                <w:color w:val="auto"/>
              </w:rPr>
            </w:pPr>
          </w:p>
        </w:tc>
        <w:tc>
          <w:tcPr>
            <w:tcW w:w="240" w:type="dxa"/>
            <w:vAlign w:val="bottom"/>
            <w:vMerge w:val="restart"/>
          </w:tcPr>
          <w:p>
            <w:pPr>
              <w:spacing w:after="0"/>
              <w:rPr>
                <w:sz w:val="4"/>
                <w:szCs w:val="4"/>
                <w:color w:val="auto"/>
              </w:rPr>
            </w:pPr>
          </w:p>
        </w:tc>
        <w:tc>
          <w:tcPr>
            <w:tcW w:w="1060" w:type="dxa"/>
            <w:vAlign w:val="bottom"/>
            <w:gridSpan w:val="3"/>
            <w:vMerge w:val="restart"/>
          </w:tcPr>
          <w:p>
            <w:pPr>
              <w:jc w:val="center"/>
              <w:ind w:right="460"/>
              <w:spacing w:after="0" w:line="109" w:lineRule="exact"/>
              <w:rPr>
                <w:sz w:val="20"/>
                <w:szCs w:val="20"/>
                <w:color w:val="auto"/>
              </w:rPr>
            </w:pPr>
            <w:r>
              <w:rPr>
                <w:rFonts w:ascii="Arial" w:cs="Arial" w:eastAsia="Arial" w:hAnsi="Arial"/>
                <w:sz w:val="12"/>
                <w:szCs w:val="12"/>
                <w:color w:val="auto"/>
              </w:rPr>
              <w:t>Expected</w:t>
            </w:r>
          </w:p>
        </w:tc>
        <w:tc>
          <w:tcPr>
            <w:tcW w:w="940" w:type="dxa"/>
            <w:vAlign w:val="bottom"/>
            <w:vMerge w:val="restart"/>
          </w:tcPr>
          <w:p>
            <w:pPr>
              <w:jc w:val="center"/>
              <w:spacing w:after="0" w:line="109" w:lineRule="exact"/>
              <w:rPr>
                <w:sz w:val="20"/>
                <w:szCs w:val="20"/>
                <w:color w:val="auto"/>
              </w:rPr>
            </w:pPr>
            <w:r>
              <w:rPr>
                <w:rFonts w:ascii="Arial" w:cs="Arial" w:eastAsia="Arial" w:hAnsi="Arial"/>
                <w:sz w:val="12"/>
                <w:szCs w:val="12"/>
                <w:color w:val="auto"/>
              </w:rPr>
              <w:t>Number of</w:t>
            </w:r>
          </w:p>
        </w:tc>
        <w:tc>
          <w:tcPr>
            <w:tcW w:w="0" w:type="dxa"/>
            <w:vAlign w:val="bottom"/>
          </w:tcPr>
          <w:p>
            <w:pPr>
              <w:spacing w:after="0"/>
              <w:rPr>
                <w:sz w:val="1"/>
                <w:szCs w:val="1"/>
                <w:color w:val="auto"/>
              </w:rPr>
            </w:pPr>
          </w:p>
        </w:tc>
      </w:tr>
      <w:tr>
        <w:trPr>
          <w:trHeight w:val="35"/>
        </w:trPr>
        <w:tc>
          <w:tcPr>
            <w:tcW w:w="980" w:type="dxa"/>
            <w:vAlign w:val="bottom"/>
            <w:gridSpan w:val="4"/>
            <w:vMerge w:val="continue"/>
          </w:tcPr>
          <w:p>
            <w:pPr>
              <w:spacing w:after="0"/>
              <w:rPr>
                <w:sz w:val="3"/>
                <w:szCs w:val="3"/>
                <w:color w:val="auto"/>
              </w:rPr>
            </w:pPr>
          </w:p>
        </w:tc>
        <w:tc>
          <w:tcPr>
            <w:tcW w:w="8020" w:type="dxa"/>
            <w:vAlign w:val="bottom"/>
            <w:gridSpan w:val="68"/>
          </w:tcPr>
          <w:p>
            <w:pPr>
              <w:spacing w:after="0"/>
              <w:rPr>
                <w:sz w:val="3"/>
                <w:szCs w:val="3"/>
                <w:color w:val="auto"/>
              </w:rPr>
            </w:pPr>
          </w:p>
        </w:tc>
        <w:tc>
          <w:tcPr>
            <w:tcW w:w="240" w:type="dxa"/>
            <w:vAlign w:val="bottom"/>
            <w:vMerge w:val="continue"/>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980" w:type="dxa"/>
            <w:vAlign w:val="bottom"/>
            <w:gridSpan w:val="4"/>
            <w:vMerge w:val="continue"/>
          </w:tcPr>
          <w:p>
            <w:pPr>
              <w:spacing w:after="0"/>
              <w:rPr>
                <w:sz w:val="11"/>
                <w:szCs w:val="11"/>
                <w:color w:val="auto"/>
              </w:rPr>
            </w:pPr>
          </w:p>
        </w:tc>
        <w:tc>
          <w:tcPr>
            <w:tcW w:w="140" w:type="dxa"/>
            <w:vAlign w:val="bottom"/>
            <w:gridSpan w:val="2"/>
          </w:tcPr>
          <w:p>
            <w:pPr>
              <w:spacing w:after="0"/>
              <w:rPr>
                <w:sz w:val="11"/>
                <w:szCs w:val="11"/>
                <w:color w:val="auto"/>
              </w:rPr>
            </w:pPr>
          </w:p>
        </w:tc>
        <w:tc>
          <w:tcPr>
            <w:tcW w:w="540" w:type="dxa"/>
            <w:vAlign w:val="bottom"/>
            <w:vMerge w:val="restart"/>
          </w:tcPr>
          <w:p>
            <w:pPr>
              <w:jc w:val="right"/>
              <w:ind w:right="108"/>
              <w:spacing w:after="0"/>
              <w:rPr>
                <w:sz w:val="20"/>
                <w:szCs w:val="20"/>
                <w:color w:val="auto"/>
              </w:rPr>
            </w:pPr>
            <w:r>
              <w:rPr>
                <w:rFonts w:ascii="Arial" w:cs="Arial" w:eastAsia="Arial" w:hAnsi="Arial"/>
                <w:sz w:val="14"/>
                <w:szCs w:val="14"/>
                <w:color w:val="auto"/>
              </w:rPr>
              <w:t>2014</w:t>
            </w:r>
          </w:p>
        </w:tc>
        <w:tc>
          <w:tcPr>
            <w:tcW w:w="260" w:type="dxa"/>
            <w:vAlign w:val="bottom"/>
            <w:gridSpan w:val="5"/>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4"/>
                <w:szCs w:val="14"/>
                <w:color w:val="auto"/>
              </w:rPr>
              <w:t>2015</w:t>
            </w:r>
          </w:p>
        </w:tc>
        <w:tc>
          <w:tcPr>
            <w:tcW w:w="220" w:type="dxa"/>
            <w:vAlign w:val="bottom"/>
            <w:gridSpan w:val="4"/>
          </w:tcPr>
          <w:p>
            <w:pPr>
              <w:spacing w:after="0"/>
              <w:rPr>
                <w:sz w:val="11"/>
                <w:szCs w:val="11"/>
                <w:color w:val="auto"/>
              </w:rPr>
            </w:pPr>
          </w:p>
        </w:tc>
        <w:tc>
          <w:tcPr>
            <w:tcW w:w="540" w:type="dxa"/>
            <w:vAlign w:val="bottom"/>
            <w:vMerge w:val="restart"/>
          </w:tcPr>
          <w:p>
            <w:pPr>
              <w:jc w:val="right"/>
              <w:ind w:right="88"/>
              <w:spacing w:after="0"/>
              <w:rPr>
                <w:sz w:val="20"/>
                <w:szCs w:val="20"/>
                <w:color w:val="auto"/>
              </w:rPr>
            </w:pPr>
            <w:r>
              <w:rPr>
                <w:rFonts w:ascii="Arial" w:cs="Arial" w:eastAsia="Arial" w:hAnsi="Arial"/>
                <w:sz w:val="14"/>
                <w:szCs w:val="14"/>
                <w:color w:val="auto"/>
              </w:rPr>
              <w:t>2016</w:t>
            </w:r>
          </w:p>
        </w:tc>
        <w:tc>
          <w:tcPr>
            <w:tcW w:w="240" w:type="dxa"/>
            <w:vAlign w:val="bottom"/>
            <w:gridSpan w:val="5"/>
          </w:tcPr>
          <w:p>
            <w:pPr>
              <w:spacing w:after="0"/>
              <w:rPr>
                <w:sz w:val="11"/>
                <w:szCs w:val="11"/>
                <w:color w:val="auto"/>
              </w:rPr>
            </w:pPr>
          </w:p>
        </w:tc>
        <w:tc>
          <w:tcPr>
            <w:tcW w:w="540" w:type="dxa"/>
            <w:vAlign w:val="bottom"/>
            <w:vMerge w:val="restart"/>
          </w:tcPr>
          <w:p>
            <w:pPr>
              <w:jc w:val="right"/>
              <w:ind w:right="88"/>
              <w:spacing w:after="0"/>
              <w:rPr>
                <w:sz w:val="20"/>
                <w:szCs w:val="20"/>
                <w:color w:val="auto"/>
              </w:rPr>
            </w:pPr>
            <w:r>
              <w:rPr>
                <w:rFonts w:ascii="Arial" w:cs="Arial" w:eastAsia="Arial" w:hAnsi="Arial"/>
                <w:sz w:val="14"/>
                <w:szCs w:val="14"/>
                <w:color w:val="auto"/>
              </w:rPr>
              <w:t>2017</w:t>
            </w:r>
          </w:p>
        </w:tc>
        <w:tc>
          <w:tcPr>
            <w:tcW w:w="240" w:type="dxa"/>
            <w:vAlign w:val="bottom"/>
            <w:gridSpan w:val="5"/>
          </w:tcPr>
          <w:p>
            <w:pPr>
              <w:spacing w:after="0"/>
              <w:rPr>
                <w:sz w:val="11"/>
                <w:szCs w:val="11"/>
                <w:color w:val="auto"/>
              </w:rPr>
            </w:pPr>
          </w:p>
        </w:tc>
        <w:tc>
          <w:tcPr>
            <w:tcW w:w="520" w:type="dxa"/>
            <w:vAlign w:val="bottom"/>
            <w:gridSpan w:val="2"/>
            <w:vMerge w:val="restart"/>
          </w:tcPr>
          <w:p>
            <w:pPr>
              <w:jc w:val="right"/>
              <w:ind w:right="88"/>
              <w:spacing w:after="0"/>
              <w:rPr>
                <w:sz w:val="20"/>
                <w:szCs w:val="20"/>
                <w:color w:val="auto"/>
              </w:rPr>
            </w:pPr>
            <w:r>
              <w:rPr>
                <w:rFonts w:ascii="Arial" w:cs="Arial" w:eastAsia="Arial" w:hAnsi="Arial"/>
                <w:sz w:val="14"/>
                <w:szCs w:val="14"/>
                <w:color w:val="auto"/>
              </w:rPr>
              <w:t>2018</w:t>
            </w:r>
          </w:p>
        </w:tc>
        <w:tc>
          <w:tcPr>
            <w:tcW w:w="260" w:type="dxa"/>
            <w:vAlign w:val="bottom"/>
            <w:gridSpan w:val="4"/>
          </w:tcPr>
          <w:p>
            <w:pPr>
              <w:spacing w:after="0"/>
              <w:rPr>
                <w:sz w:val="11"/>
                <w:szCs w:val="11"/>
                <w:color w:val="auto"/>
              </w:rPr>
            </w:pPr>
          </w:p>
        </w:tc>
        <w:tc>
          <w:tcPr>
            <w:tcW w:w="520" w:type="dxa"/>
            <w:vAlign w:val="bottom"/>
            <w:gridSpan w:val="2"/>
            <w:vMerge w:val="restart"/>
          </w:tcPr>
          <w:p>
            <w:pPr>
              <w:jc w:val="right"/>
              <w:ind w:right="88"/>
              <w:spacing w:after="0"/>
              <w:rPr>
                <w:sz w:val="20"/>
                <w:szCs w:val="20"/>
                <w:color w:val="auto"/>
              </w:rPr>
            </w:pPr>
            <w:r>
              <w:rPr>
                <w:rFonts w:ascii="Arial" w:cs="Arial" w:eastAsia="Arial" w:hAnsi="Arial"/>
                <w:sz w:val="14"/>
                <w:szCs w:val="14"/>
                <w:color w:val="auto"/>
              </w:rPr>
              <w:t>2019</w:t>
            </w:r>
          </w:p>
        </w:tc>
        <w:tc>
          <w:tcPr>
            <w:tcW w:w="300" w:type="dxa"/>
            <w:vAlign w:val="bottom"/>
            <w:gridSpan w:val="4"/>
          </w:tcPr>
          <w:p>
            <w:pPr>
              <w:spacing w:after="0"/>
              <w:rPr>
                <w:sz w:val="11"/>
                <w:szCs w:val="11"/>
                <w:color w:val="auto"/>
              </w:rPr>
            </w:pPr>
          </w:p>
        </w:tc>
        <w:tc>
          <w:tcPr>
            <w:tcW w:w="460" w:type="dxa"/>
            <w:vAlign w:val="bottom"/>
            <w:gridSpan w:val="3"/>
            <w:vMerge w:val="restart"/>
          </w:tcPr>
          <w:p>
            <w:pPr>
              <w:jc w:val="right"/>
              <w:ind w:right="68"/>
              <w:spacing w:after="0"/>
              <w:rPr>
                <w:sz w:val="20"/>
                <w:szCs w:val="20"/>
                <w:color w:val="auto"/>
              </w:rPr>
            </w:pPr>
            <w:r>
              <w:rPr>
                <w:rFonts w:ascii="Arial" w:cs="Arial" w:eastAsia="Arial" w:hAnsi="Arial"/>
                <w:sz w:val="14"/>
                <w:szCs w:val="14"/>
                <w:color w:val="auto"/>
                <w:w w:val="96"/>
              </w:rPr>
              <w:t>2020</w:t>
            </w:r>
          </w:p>
        </w:tc>
        <w:tc>
          <w:tcPr>
            <w:tcW w:w="280" w:type="dxa"/>
            <w:vAlign w:val="bottom"/>
            <w:gridSpan w:val="5"/>
          </w:tcPr>
          <w:p>
            <w:pPr>
              <w:spacing w:after="0"/>
              <w:rPr>
                <w:sz w:val="11"/>
                <w:szCs w:val="11"/>
                <w:color w:val="auto"/>
              </w:rPr>
            </w:pPr>
          </w:p>
        </w:tc>
        <w:tc>
          <w:tcPr>
            <w:tcW w:w="500" w:type="dxa"/>
            <w:vAlign w:val="bottom"/>
            <w:gridSpan w:val="3"/>
            <w:vMerge w:val="restart"/>
          </w:tcPr>
          <w:p>
            <w:pPr>
              <w:jc w:val="right"/>
              <w:ind w:right="48"/>
              <w:spacing w:after="0"/>
              <w:rPr>
                <w:sz w:val="20"/>
                <w:szCs w:val="20"/>
                <w:color w:val="auto"/>
              </w:rPr>
            </w:pPr>
            <w:r>
              <w:rPr>
                <w:rFonts w:ascii="Arial" w:cs="Arial" w:eastAsia="Arial" w:hAnsi="Arial"/>
                <w:sz w:val="14"/>
                <w:szCs w:val="14"/>
                <w:color w:val="auto"/>
              </w:rPr>
              <w:t>2021</w:t>
            </w:r>
          </w:p>
        </w:tc>
        <w:tc>
          <w:tcPr>
            <w:tcW w:w="340" w:type="dxa"/>
            <w:vAlign w:val="bottom"/>
            <w:gridSpan w:val="5"/>
          </w:tcPr>
          <w:p>
            <w:pPr>
              <w:spacing w:after="0"/>
              <w:rPr>
                <w:sz w:val="11"/>
                <w:szCs w:val="11"/>
                <w:color w:val="auto"/>
              </w:rPr>
            </w:pPr>
          </w:p>
        </w:tc>
        <w:tc>
          <w:tcPr>
            <w:tcW w:w="480" w:type="dxa"/>
            <w:vAlign w:val="bottom"/>
            <w:gridSpan w:val="3"/>
            <w:vMerge w:val="restart"/>
          </w:tcPr>
          <w:p>
            <w:pPr>
              <w:jc w:val="right"/>
              <w:ind w:right="88"/>
              <w:spacing w:after="0"/>
              <w:rPr>
                <w:sz w:val="20"/>
                <w:szCs w:val="20"/>
                <w:color w:val="auto"/>
              </w:rPr>
            </w:pPr>
            <w:r>
              <w:rPr>
                <w:rFonts w:ascii="Arial" w:cs="Arial" w:eastAsia="Arial" w:hAnsi="Arial"/>
                <w:sz w:val="14"/>
                <w:szCs w:val="14"/>
                <w:color w:val="auto"/>
                <w:w w:val="96"/>
              </w:rPr>
              <w:t>2022</w:t>
            </w:r>
          </w:p>
        </w:tc>
        <w:tc>
          <w:tcPr>
            <w:tcW w:w="320" w:type="dxa"/>
            <w:vAlign w:val="bottom"/>
            <w:gridSpan w:val="4"/>
          </w:tcPr>
          <w:p>
            <w:pPr>
              <w:spacing w:after="0"/>
              <w:rPr>
                <w:sz w:val="11"/>
                <w:szCs w:val="11"/>
                <w:color w:val="auto"/>
              </w:rPr>
            </w:pPr>
          </w:p>
        </w:tc>
        <w:tc>
          <w:tcPr>
            <w:tcW w:w="500" w:type="dxa"/>
            <w:vAlign w:val="bottom"/>
            <w:gridSpan w:val="3"/>
            <w:vMerge w:val="restart"/>
          </w:tcPr>
          <w:p>
            <w:pPr>
              <w:jc w:val="right"/>
              <w:ind w:right="88"/>
              <w:spacing w:after="0"/>
              <w:rPr>
                <w:sz w:val="20"/>
                <w:szCs w:val="20"/>
                <w:color w:val="auto"/>
              </w:rPr>
            </w:pPr>
            <w:r>
              <w:rPr>
                <w:rFonts w:ascii="Arial" w:cs="Arial" w:eastAsia="Arial" w:hAnsi="Arial"/>
                <w:sz w:val="14"/>
                <w:szCs w:val="14"/>
                <w:color w:val="auto"/>
              </w:rPr>
              <w:t>2023</w:t>
            </w:r>
          </w:p>
        </w:tc>
        <w:tc>
          <w:tcPr>
            <w:tcW w:w="1580" w:type="dxa"/>
            <w:vAlign w:val="bottom"/>
            <w:gridSpan w:val="9"/>
          </w:tcPr>
          <w:p>
            <w:pPr>
              <w:spacing w:after="0"/>
              <w:rPr>
                <w:sz w:val="20"/>
                <w:szCs w:val="20"/>
                <w:color w:val="auto"/>
              </w:rPr>
            </w:pPr>
            <w:r>
              <w:rPr>
                <w:rFonts w:ascii="Arial" w:cs="Arial" w:eastAsia="Arial" w:hAnsi="Arial"/>
                <w:sz w:val="13"/>
                <w:szCs w:val="13"/>
                <w:color w:val="auto"/>
              </w:rPr>
              <w:t>Development on</w:t>
            </w:r>
          </w:p>
        </w:tc>
        <w:tc>
          <w:tcPr>
            <w:tcW w:w="940" w:type="dxa"/>
            <w:vAlign w:val="bottom"/>
          </w:tcPr>
          <w:p>
            <w:pPr>
              <w:jc w:val="center"/>
              <w:spacing w:after="0" w:line="135" w:lineRule="exact"/>
              <w:rPr>
                <w:sz w:val="20"/>
                <w:szCs w:val="20"/>
                <w:color w:val="auto"/>
              </w:rPr>
            </w:pPr>
            <w:r>
              <w:rPr>
                <w:rFonts w:ascii="Arial" w:cs="Arial" w:eastAsia="Arial" w:hAnsi="Arial"/>
                <w:sz w:val="13"/>
                <w:szCs w:val="13"/>
                <w:color w:val="auto"/>
              </w:rPr>
              <w:t>Reported</w:t>
            </w:r>
          </w:p>
        </w:tc>
        <w:tc>
          <w:tcPr>
            <w:tcW w:w="0" w:type="dxa"/>
            <w:vAlign w:val="bottom"/>
          </w:tcPr>
          <w:p>
            <w:pPr>
              <w:spacing w:after="0"/>
              <w:rPr>
                <w:sz w:val="1"/>
                <w:szCs w:val="1"/>
                <w:color w:val="auto"/>
              </w:rPr>
            </w:pPr>
          </w:p>
        </w:tc>
      </w:tr>
      <w:tr>
        <w:trPr>
          <w:trHeight w:val="188"/>
        </w:trPr>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Year</w:t>
            </w:r>
          </w:p>
        </w:tc>
        <w:tc>
          <w:tcPr>
            <w:tcW w:w="100" w:type="dxa"/>
            <w:vAlign w:val="bottom"/>
            <w:tcBorders>
              <w:bottom w:val="single" w:sz="8" w:color="CCEEFF"/>
            </w:tcBorders>
            <w:gridSpan w:val="3"/>
          </w:tcPr>
          <w:p>
            <w:pPr>
              <w:spacing w:after="0"/>
              <w:rPr>
                <w:sz w:val="16"/>
                <w:szCs w:val="16"/>
                <w:color w:val="auto"/>
              </w:rPr>
            </w:pPr>
          </w:p>
        </w:tc>
        <w:tc>
          <w:tcPr>
            <w:tcW w:w="140" w:type="dxa"/>
            <w:vAlign w:val="bottom"/>
            <w:tcBorders>
              <w:bottom w:val="single" w:sz="8" w:color="auto"/>
            </w:tcBorders>
            <w:gridSpan w:val="2"/>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3"/>
          </w:tcPr>
          <w:p>
            <w:pPr>
              <w:spacing w:after="0"/>
              <w:rPr>
                <w:sz w:val="16"/>
                <w:szCs w:val="16"/>
                <w:color w:val="auto"/>
              </w:rPr>
            </w:pPr>
          </w:p>
        </w:tc>
        <w:tc>
          <w:tcPr>
            <w:tcW w:w="160" w:type="dxa"/>
            <w:vAlign w:val="bottom"/>
            <w:tcBorders>
              <w:bottom w:val="single" w:sz="8" w:color="auto"/>
            </w:tcBorders>
            <w:gridSpan w:val="2"/>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gridSpan w:val="2"/>
          </w:tcPr>
          <w:p>
            <w:pPr>
              <w:spacing w:after="0"/>
              <w:rPr>
                <w:sz w:val="16"/>
                <w:szCs w:val="16"/>
                <w:color w:val="auto"/>
              </w:rPr>
            </w:pPr>
          </w:p>
        </w:tc>
        <w:tc>
          <w:tcPr>
            <w:tcW w:w="140" w:type="dxa"/>
            <w:vAlign w:val="bottom"/>
            <w:tcBorders>
              <w:bottom w:val="single" w:sz="8" w:color="auto"/>
            </w:tcBorders>
            <w:gridSpan w:val="2"/>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gridSpan w:val="3"/>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gridSpan w:val="2"/>
          </w:tcPr>
          <w:p>
            <w:pPr>
              <w:spacing w:after="0"/>
              <w:rPr>
                <w:sz w:val="16"/>
                <w:szCs w:val="16"/>
                <w:color w:val="auto"/>
              </w:rPr>
            </w:pPr>
          </w:p>
        </w:tc>
        <w:tc>
          <w:tcPr>
            <w:tcW w:w="120" w:type="dxa"/>
            <w:vAlign w:val="bottom"/>
            <w:tcBorders>
              <w:bottom w:val="single" w:sz="8" w:color="auto"/>
            </w:tcBorders>
            <w:gridSpan w:val="2"/>
          </w:tcPr>
          <w:p>
            <w:pPr>
              <w:spacing w:after="0"/>
              <w:rPr>
                <w:sz w:val="16"/>
                <w:szCs w:val="16"/>
                <w:color w:val="auto"/>
              </w:rPr>
            </w:pPr>
          </w:p>
        </w:tc>
        <w:tc>
          <w:tcPr>
            <w:tcW w:w="52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gridSpan w:val="2"/>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vMerge w:val="continue"/>
          </w:tcPr>
          <w:p>
            <w:pPr>
              <w:spacing w:after="0"/>
              <w:rPr>
                <w:sz w:val="16"/>
                <w:szCs w:val="16"/>
                <w:color w:val="auto"/>
              </w:rPr>
            </w:pPr>
          </w:p>
        </w:tc>
        <w:tc>
          <w:tcPr>
            <w:tcW w:w="60" w:type="dxa"/>
            <w:vAlign w:val="bottom"/>
            <w:tcBorders>
              <w:bottom w:val="single" w:sz="8" w:color="auto"/>
            </w:tcBorders>
            <w:gridSpan w:val="2"/>
          </w:tcPr>
          <w:p>
            <w:pPr>
              <w:spacing w:after="0"/>
              <w:rPr>
                <w:sz w:val="16"/>
                <w:szCs w:val="16"/>
                <w:color w:val="auto"/>
              </w:rPr>
            </w:pPr>
          </w:p>
        </w:tc>
        <w:tc>
          <w:tcPr>
            <w:tcW w:w="80" w:type="dxa"/>
            <w:vAlign w:val="bottom"/>
            <w:tcBorders>
              <w:bottom w:val="single" w:sz="8" w:color="CCEEFF"/>
            </w:tcBorders>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vMerge w:val="continue"/>
          </w:tcPr>
          <w:p>
            <w:pPr>
              <w:spacing w:after="0"/>
              <w:rPr>
                <w:sz w:val="16"/>
                <w:szCs w:val="16"/>
                <w:color w:val="auto"/>
              </w:rPr>
            </w:pPr>
          </w:p>
        </w:tc>
        <w:tc>
          <w:tcPr>
            <w:tcW w:w="60" w:type="dxa"/>
            <w:vAlign w:val="bottom"/>
            <w:tcBorders>
              <w:bottom w:val="single" w:sz="8" w:color="auto"/>
            </w:tcBorders>
            <w:gridSpan w:val="2"/>
          </w:tcPr>
          <w:p>
            <w:pPr>
              <w:spacing w:after="0"/>
              <w:rPr>
                <w:sz w:val="16"/>
                <w:szCs w:val="16"/>
                <w:color w:val="auto"/>
              </w:rPr>
            </w:pPr>
          </w:p>
        </w:tc>
        <w:tc>
          <w:tcPr>
            <w:tcW w:w="100" w:type="dxa"/>
            <w:vAlign w:val="bottom"/>
            <w:tcBorders>
              <w:bottom w:val="single" w:sz="8" w:color="CCEEFF"/>
            </w:tcBorders>
            <w:gridSpan w:val="2"/>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gridSpan w:val="2"/>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vMerge w:val="continue"/>
          </w:tcPr>
          <w:p>
            <w:pPr>
              <w:spacing w:after="0"/>
              <w:rPr>
                <w:sz w:val="16"/>
                <w:szCs w:val="16"/>
                <w:color w:val="auto"/>
              </w:rPr>
            </w:pPr>
          </w:p>
        </w:tc>
        <w:tc>
          <w:tcPr>
            <w:tcW w:w="60" w:type="dxa"/>
            <w:vAlign w:val="bottom"/>
            <w:tcBorders>
              <w:bottom w:val="single" w:sz="8" w:color="auto"/>
            </w:tcBorders>
            <w:gridSpan w:val="2"/>
          </w:tcPr>
          <w:p>
            <w:pPr>
              <w:spacing w:after="0"/>
              <w:rPr>
                <w:sz w:val="16"/>
                <w:szCs w:val="16"/>
                <w:color w:val="auto"/>
              </w:rPr>
            </w:pPr>
          </w:p>
        </w:tc>
        <w:tc>
          <w:tcPr>
            <w:tcW w:w="100" w:type="dxa"/>
            <w:vAlign w:val="bottom"/>
            <w:tcBorders>
              <w:bottom w:val="single" w:sz="8" w:color="CCEEFF"/>
            </w:tcBorders>
            <w:gridSpan w:val="2"/>
          </w:tcPr>
          <w:p>
            <w:pPr>
              <w:spacing w:after="0"/>
              <w:rPr>
                <w:sz w:val="16"/>
                <w:szCs w:val="16"/>
                <w:color w:val="auto"/>
              </w:rPr>
            </w:pPr>
          </w:p>
        </w:tc>
        <w:tc>
          <w:tcPr>
            <w:tcW w:w="1320" w:type="dxa"/>
            <w:vAlign w:val="bottom"/>
            <w:tcBorders>
              <w:bottom w:val="single" w:sz="8" w:color="auto"/>
            </w:tcBorders>
            <w:gridSpan w:val="3"/>
          </w:tcPr>
          <w:p>
            <w:pPr>
              <w:spacing w:after="0"/>
              <w:rPr>
                <w:sz w:val="20"/>
                <w:szCs w:val="20"/>
                <w:color w:val="auto"/>
              </w:rPr>
            </w:pPr>
            <w:r>
              <w:rPr>
                <w:rFonts w:ascii="Arial" w:cs="Arial" w:eastAsia="Arial" w:hAnsi="Arial"/>
                <w:sz w:val="13"/>
                <w:szCs w:val="13"/>
                <w:color w:val="auto"/>
              </w:rPr>
              <w:t>Reported Claims</w:t>
            </w:r>
          </w:p>
        </w:tc>
        <w:tc>
          <w:tcPr>
            <w:tcW w:w="100" w:type="dxa"/>
            <w:vAlign w:val="bottom"/>
            <w:tcBorders>
              <w:bottom w:val="single" w:sz="8" w:color="CCEEFF"/>
            </w:tcBorders>
            <w:gridSpan w:val="2"/>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Claims</w:t>
            </w:r>
          </w:p>
        </w:tc>
        <w:tc>
          <w:tcPr>
            <w:tcW w:w="0" w:type="dxa"/>
            <w:vAlign w:val="bottom"/>
          </w:tcPr>
          <w:p>
            <w:pPr>
              <w:spacing w:after="0"/>
              <w:rPr>
                <w:sz w:val="1"/>
                <w:szCs w:val="1"/>
                <w:color w:val="auto"/>
              </w:rPr>
            </w:pPr>
          </w:p>
        </w:tc>
      </w:tr>
      <w:tr>
        <w:trPr>
          <w:trHeight w:val="196"/>
        </w:trPr>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1,008</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1,006</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982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967</w:t>
            </w:r>
          </w:p>
        </w:tc>
        <w:tc>
          <w:tcPr>
            <w:tcW w:w="20" w:type="dxa"/>
            <w:vAlign w:val="bottom"/>
            <w:shd w:val="clear" w:color="auto" w:fill="CCEEFF"/>
          </w:tcPr>
          <w:p>
            <w:pPr>
              <w:spacing w:after="0"/>
              <w:rPr>
                <w:sz w:val="17"/>
                <w:szCs w:val="17"/>
                <w:color w:val="auto"/>
              </w:rPr>
            </w:pPr>
          </w:p>
        </w:tc>
        <w:tc>
          <w:tcPr>
            <w:tcW w:w="2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952</w:t>
            </w:r>
          </w:p>
        </w:tc>
        <w:tc>
          <w:tcPr>
            <w:tcW w:w="280" w:type="dxa"/>
            <w:vAlign w:val="bottom"/>
            <w:gridSpan w:val="5"/>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950</w:t>
            </w:r>
          </w:p>
        </w:tc>
        <w:tc>
          <w:tcPr>
            <w:tcW w:w="340" w:type="dxa"/>
            <w:vAlign w:val="bottom"/>
            <w:gridSpan w:val="5"/>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955</w:t>
            </w:r>
          </w:p>
        </w:tc>
        <w:tc>
          <w:tcPr>
            <w:tcW w:w="320" w:type="dxa"/>
            <w:vAlign w:val="bottom"/>
            <w:gridSpan w:val="4"/>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951</w:t>
            </w:r>
          </w:p>
        </w:tc>
        <w:tc>
          <w:tcPr>
            <w:tcW w:w="2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57,373</w:t>
            </w:r>
          </w:p>
        </w:tc>
        <w:tc>
          <w:tcPr>
            <w:tcW w:w="0" w:type="dxa"/>
            <w:vAlign w:val="bottom"/>
          </w:tcPr>
          <w:p>
            <w:pPr>
              <w:spacing w:after="0"/>
              <w:rPr>
                <w:sz w:val="1"/>
                <w:szCs w:val="1"/>
                <w:color w:val="auto"/>
              </w:rPr>
            </w:pPr>
          </w:p>
        </w:tc>
      </w:tr>
      <w:tr>
        <w:trPr>
          <w:trHeight w:val="198"/>
        </w:trPr>
        <w:tc>
          <w:tcPr>
            <w:tcW w:w="1920" w:type="dxa"/>
            <w:vAlign w:val="bottom"/>
            <w:gridSpan w:val="12"/>
          </w:tcPr>
          <w:p>
            <w:pPr>
              <w:jc w:val="center"/>
              <w:ind w:right="968"/>
              <w:spacing w:after="0"/>
              <w:rPr>
                <w:sz w:val="20"/>
                <w:szCs w:val="20"/>
                <w:color w:val="auto"/>
              </w:rPr>
            </w:pPr>
            <w:r>
              <w:rPr>
                <w:rFonts w:ascii="Arial" w:cs="Arial" w:eastAsia="Arial" w:hAnsi="Arial"/>
                <w:sz w:val="14"/>
                <w:szCs w:val="14"/>
                <w:color w:val="auto"/>
              </w:rPr>
              <w:t>2015</w:t>
            </w:r>
          </w:p>
        </w:tc>
        <w:tc>
          <w:tcPr>
            <w:tcW w:w="760" w:type="dxa"/>
            <w:vAlign w:val="bottom"/>
            <w:gridSpan w:val="5"/>
          </w:tcPr>
          <w:p>
            <w:pPr>
              <w:jc w:val="right"/>
              <w:ind w:right="300"/>
              <w:spacing w:after="0"/>
              <w:rPr>
                <w:sz w:val="20"/>
                <w:szCs w:val="20"/>
                <w:color w:val="auto"/>
              </w:rPr>
            </w:pPr>
            <w:r>
              <w:rPr>
                <w:rFonts w:ascii="Arial" w:cs="Arial" w:eastAsia="Arial" w:hAnsi="Arial"/>
                <w:sz w:val="14"/>
                <w:szCs w:val="14"/>
                <w:color w:val="auto"/>
              </w:rPr>
              <w:t>1,081</w:t>
            </w:r>
          </w:p>
        </w:tc>
        <w:tc>
          <w:tcPr>
            <w:tcW w:w="780" w:type="dxa"/>
            <w:vAlign w:val="bottom"/>
            <w:gridSpan w:val="6"/>
          </w:tcPr>
          <w:p>
            <w:pPr>
              <w:jc w:val="right"/>
              <w:ind w:right="300"/>
              <w:spacing w:after="0"/>
              <w:rPr>
                <w:sz w:val="20"/>
                <w:szCs w:val="20"/>
                <w:color w:val="auto"/>
              </w:rPr>
            </w:pPr>
            <w:r>
              <w:rPr>
                <w:rFonts w:ascii="Arial" w:cs="Arial" w:eastAsia="Arial" w:hAnsi="Arial"/>
                <w:sz w:val="14"/>
                <w:szCs w:val="14"/>
                <w:color w:val="auto"/>
              </w:rPr>
              <w:t>1,043</w:t>
            </w:r>
          </w:p>
        </w:tc>
        <w:tc>
          <w:tcPr>
            <w:tcW w:w="780" w:type="dxa"/>
            <w:vAlign w:val="bottom"/>
            <w:gridSpan w:val="6"/>
          </w:tcPr>
          <w:p>
            <w:pPr>
              <w:jc w:val="right"/>
              <w:ind w:right="280"/>
              <w:spacing w:after="0"/>
              <w:rPr>
                <w:sz w:val="20"/>
                <w:szCs w:val="20"/>
                <w:color w:val="auto"/>
              </w:rPr>
            </w:pPr>
            <w:r>
              <w:rPr>
                <w:rFonts w:ascii="Arial" w:cs="Arial" w:eastAsia="Arial" w:hAnsi="Arial"/>
                <w:sz w:val="14"/>
                <w:szCs w:val="14"/>
                <w:color w:val="auto"/>
              </w:rPr>
              <w:t>1,041</w:t>
            </w:r>
          </w:p>
        </w:tc>
        <w:tc>
          <w:tcPr>
            <w:tcW w:w="780" w:type="dxa"/>
            <w:vAlign w:val="bottom"/>
            <w:gridSpan w:val="6"/>
          </w:tcPr>
          <w:p>
            <w:pPr>
              <w:jc w:val="right"/>
              <w:ind w:right="300"/>
              <w:spacing w:after="0"/>
              <w:rPr>
                <w:sz w:val="20"/>
                <w:szCs w:val="20"/>
                <w:color w:val="auto"/>
              </w:rPr>
            </w:pPr>
            <w:r>
              <w:rPr>
                <w:rFonts w:ascii="Arial" w:cs="Arial" w:eastAsia="Arial" w:hAnsi="Arial"/>
                <w:sz w:val="14"/>
                <w:szCs w:val="14"/>
                <w:color w:val="auto"/>
              </w:rPr>
              <w:t>1,042</w:t>
            </w:r>
          </w:p>
        </w:tc>
        <w:tc>
          <w:tcPr>
            <w:tcW w:w="820" w:type="dxa"/>
            <w:vAlign w:val="bottom"/>
            <w:gridSpan w:val="6"/>
          </w:tcPr>
          <w:p>
            <w:pPr>
              <w:jc w:val="right"/>
              <w:ind w:right="340"/>
              <w:spacing w:after="0"/>
              <w:rPr>
                <w:sz w:val="20"/>
                <w:szCs w:val="20"/>
                <w:color w:val="auto"/>
              </w:rPr>
            </w:pPr>
            <w:r>
              <w:rPr>
                <w:rFonts w:ascii="Arial" w:cs="Arial" w:eastAsia="Arial" w:hAnsi="Arial"/>
                <w:sz w:val="14"/>
                <w:szCs w:val="14"/>
                <w:color w:val="auto"/>
              </w:rPr>
              <w:t>1,024</w:t>
            </w:r>
          </w:p>
        </w:tc>
        <w:tc>
          <w:tcPr>
            <w:tcW w:w="740" w:type="dxa"/>
            <w:vAlign w:val="bottom"/>
            <w:gridSpan w:val="8"/>
          </w:tcPr>
          <w:p>
            <w:pPr>
              <w:jc w:val="right"/>
              <w:ind w:right="300"/>
              <w:spacing w:after="0"/>
              <w:rPr>
                <w:sz w:val="20"/>
                <w:szCs w:val="20"/>
                <w:color w:val="auto"/>
              </w:rPr>
            </w:pPr>
            <w:r>
              <w:rPr>
                <w:rFonts w:ascii="Arial" w:cs="Arial" w:eastAsia="Arial" w:hAnsi="Arial"/>
                <w:sz w:val="14"/>
                <w:szCs w:val="14"/>
                <w:color w:val="auto"/>
              </w:rPr>
              <w:t>1,021</w:t>
            </w:r>
          </w:p>
        </w:tc>
        <w:tc>
          <w:tcPr>
            <w:tcW w:w="840" w:type="dxa"/>
            <w:vAlign w:val="bottom"/>
            <w:gridSpan w:val="8"/>
          </w:tcPr>
          <w:p>
            <w:pPr>
              <w:jc w:val="right"/>
              <w:ind w:right="360"/>
              <w:spacing w:after="0"/>
              <w:rPr>
                <w:sz w:val="20"/>
                <w:szCs w:val="20"/>
                <w:color w:val="auto"/>
              </w:rPr>
            </w:pPr>
            <w:r>
              <w:rPr>
                <w:rFonts w:ascii="Arial" w:cs="Arial" w:eastAsia="Arial" w:hAnsi="Arial"/>
                <w:sz w:val="14"/>
                <w:szCs w:val="14"/>
                <w:color w:val="auto"/>
              </w:rPr>
              <w:t>1,015</w:t>
            </w:r>
          </w:p>
        </w:tc>
        <w:tc>
          <w:tcPr>
            <w:tcW w:w="800" w:type="dxa"/>
            <w:vAlign w:val="bottom"/>
            <w:gridSpan w:val="7"/>
          </w:tcPr>
          <w:p>
            <w:pPr>
              <w:jc w:val="right"/>
              <w:ind w:right="288"/>
              <w:spacing w:after="0"/>
              <w:rPr>
                <w:sz w:val="20"/>
                <w:szCs w:val="20"/>
                <w:color w:val="auto"/>
              </w:rPr>
            </w:pPr>
            <w:r>
              <w:rPr>
                <w:rFonts w:ascii="Arial" w:cs="Arial" w:eastAsia="Arial" w:hAnsi="Arial"/>
                <w:sz w:val="14"/>
                <w:szCs w:val="14"/>
                <w:color w:val="auto"/>
              </w:rPr>
              <w:t>1,007</w:t>
            </w:r>
          </w:p>
        </w:tc>
        <w:tc>
          <w:tcPr>
            <w:tcW w:w="780" w:type="dxa"/>
            <w:vAlign w:val="bottom"/>
            <w:gridSpan w:val="8"/>
          </w:tcPr>
          <w:p>
            <w:pPr>
              <w:jc w:val="right"/>
              <w:ind w:right="213"/>
              <w:spacing w:after="0"/>
              <w:rPr>
                <w:sz w:val="20"/>
                <w:szCs w:val="20"/>
                <w:color w:val="auto"/>
              </w:rPr>
            </w:pPr>
            <w:r>
              <w:rPr>
                <w:rFonts w:ascii="Arial" w:cs="Arial" w:eastAsia="Arial" w:hAnsi="Arial"/>
                <w:sz w:val="14"/>
                <w:szCs w:val="14"/>
                <w:color w:val="auto"/>
              </w:rPr>
              <w:t>1,002</w:t>
            </w:r>
          </w:p>
        </w:tc>
        <w:tc>
          <w:tcPr>
            <w:tcW w:w="1300" w:type="dxa"/>
            <w:vAlign w:val="bottom"/>
            <w:gridSpan w:val="4"/>
          </w:tcPr>
          <w:p>
            <w:pPr>
              <w:jc w:val="right"/>
              <w:ind w:right="160"/>
              <w:spacing w:after="0"/>
              <w:rPr>
                <w:sz w:val="20"/>
                <w:szCs w:val="20"/>
                <w:color w:val="auto"/>
              </w:rPr>
            </w:pPr>
            <w:r>
              <w:rPr>
                <w:rFonts w:ascii="Arial" w:cs="Arial" w:eastAsia="Arial" w:hAnsi="Arial"/>
                <w:sz w:val="14"/>
                <w:szCs w:val="14"/>
                <w:color w:val="auto"/>
              </w:rPr>
              <w:t>36</w:t>
            </w:r>
          </w:p>
        </w:tc>
        <w:tc>
          <w:tcPr>
            <w:tcW w:w="940" w:type="dxa"/>
            <w:vAlign w:val="bottom"/>
          </w:tcPr>
          <w:p>
            <w:pPr>
              <w:jc w:val="right"/>
              <w:spacing w:after="0"/>
              <w:rPr>
                <w:sz w:val="20"/>
                <w:szCs w:val="20"/>
                <w:color w:val="auto"/>
              </w:rPr>
            </w:pPr>
            <w:r>
              <w:rPr>
                <w:rFonts w:ascii="Arial" w:cs="Arial" w:eastAsia="Arial" w:hAnsi="Arial"/>
                <w:sz w:val="14"/>
                <w:szCs w:val="14"/>
                <w:color w:val="auto"/>
              </w:rPr>
              <w:t>58,456</w:t>
            </w:r>
          </w:p>
        </w:tc>
        <w:tc>
          <w:tcPr>
            <w:tcW w:w="0" w:type="dxa"/>
            <w:vAlign w:val="bottom"/>
          </w:tcPr>
          <w:p>
            <w:pPr>
              <w:spacing w:after="0"/>
              <w:rPr>
                <w:sz w:val="1"/>
                <w:szCs w:val="1"/>
                <w:color w:val="auto"/>
              </w:rPr>
            </w:pPr>
          </w:p>
        </w:tc>
      </w:tr>
      <w:tr>
        <w:trPr>
          <w:trHeight w:val="207"/>
        </w:trPr>
        <w:tc>
          <w:tcPr>
            <w:tcW w:w="2680" w:type="dxa"/>
            <w:vAlign w:val="bottom"/>
            <w:gridSpan w:val="17"/>
            <w:shd w:val="clear" w:color="auto" w:fill="CCEEFF"/>
          </w:tcPr>
          <w:p>
            <w:pPr>
              <w:jc w:val="center"/>
              <w:ind w:right="1800"/>
              <w:spacing w:after="0"/>
              <w:rPr>
                <w:sz w:val="20"/>
                <w:szCs w:val="20"/>
                <w:color w:val="auto"/>
              </w:rPr>
            </w:pPr>
            <w:r>
              <w:rPr>
                <w:rFonts w:ascii="Arial" w:cs="Arial" w:eastAsia="Arial" w:hAnsi="Arial"/>
                <w:sz w:val="14"/>
                <w:szCs w:val="14"/>
                <w:color w:val="auto"/>
              </w:rPr>
              <w:t>2016</w:t>
            </w:r>
          </w:p>
        </w:tc>
        <w:tc>
          <w:tcPr>
            <w:tcW w:w="780" w:type="dxa"/>
            <w:vAlign w:val="bottom"/>
            <w:gridSpan w:val="6"/>
            <w:shd w:val="clear" w:color="auto" w:fill="CCEEFF"/>
          </w:tcPr>
          <w:p>
            <w:pPr>
              <w:jc w:val="right"/>
              <w:ind w:right="300"/>
              <w:spacing w:after="0"/>
              <w:rPr>
                <w:sz w:val="20"/>
                <w:szCs w:val="20"/>
                <w:color w:val="auto"/>
              </w:rPr>
            </w:pPr>
            <w:r>
              <w:rPr>
                <w:rFonts w:ascii="Arial" w:cs="Arial" w:eastAsia="Arial" w:hAnsi="Arial"/>
                <w:sz w:val="14"/>
                <w:szCs w:val="14"/>
                <w:color w:val="auto"/>
              </w:rPr>
              <w:t>1,131</w:t>
            </w:r>
          </w:p>
        </w:tc>
        <w:tc>
          <w:tcPr>
            <w:tcW w:w="780" w:type="dxa"/>
            <w:vAlign w:val="bottom"/>
            <w:gridSpan w:val="6"/>
            <w:shd w:val="clear" w:color="auto" w:fill="CCEEFF"/>
          </w:tcPr>
          <w:p>
            <w:pPr>
              <w:jc w:val="right"/>
              <w:ind w:right="280"/>
              <w:spacing w:after="0"/>
              <w:rPr>
                <w:sz w:val="20"/>
                <w:szCs w:val="20"/>
                <w:color w:val="auto"/>
              </w:rPr>
            </w:pPr>
            <w:r>
              <w:rPr>
                <w:rFonts w:ascii="Arial" w:cs="Arial" w:eastAsia="Arial" w:hAnsi="Arial"/>
                <w:sz w:val="14"/>
                <w:szCs w:val="14"/>
                <w:color w:val="auto"/>
              </w:rPr>
              <w:t>1,122</w:t>
            </w:r>
          </w:p>
        </w:tc>
        <w:tc>
          <w:tcPr>
            <w:tcW w:w="780" w:type="dxa"/>
            <w:vAlign w:val="bottom"/>
            <w:gridSpan w:val="6"/>
            <w:shd w:val="clear" w:color="auto" w:fill="CCEEFF"/>
          </w:tcPr>
          <w:p>
            <w:pPr>
              <w:jc w:val="right"/>
              <w:ind w:right="300"/>
              <w:spacing w:after="0"/>
              <w:rPr>
                <w:sz w:val="20"/>
                <w:szCs w:val="20"/>
                <w:color w:val="auto"/>
              </w:rPr>
            </w:pPr>
            <w:r>
              <w:rPr>
                <w:rFonts w:ascii="Arial" w:cs="Arial" w:eastAsia="Arial" w:hAnsi="Arial"/>
                <w:sz w:val="14"/>
                <w:szCs w:val="14"/>
                <w:color w:val="auto"/>
              </w:rPr>
              <w:t>1,116</w:t>
            </w:r>
          </w:p>
        </w:tc>
        <w:tc>
          <w:tcPr>
            <w:tcW w:w="820" w:type="dxa"/>
            <w:vAlign w:val="bottom"/>
            <w:gridSpan w:val="6"/>
            <w:shd w:val="clear" w:color="auto" w:fill="CCEEFF"/>
          </w:tcPr>
          <w:p>
            <w:pPr>
              <w:jc w:val="right"/>
              <w:ind w:right="340"/>
              <w:spacing w:after="0"/>
              <w:rPr>
                <w:sz w:val="20"/>
                <w:szCs w:val="20"/>
                <w:color w:val="auto"/>
              </w:rPr>
            </w:pPr>
            <w:r>
              <w:rPr>
                <w:rFonts w:ascii="Arial" w:cs="Arial" w:eastAsia="Arial" w:hAnsi="Arial"/>
                <w:sz w:val="14"/>
                <w:szCs w:val="14"/>
                <w:color w:val="auto"/>
              </w:rPr>
              <w:t>1,101</w:t>
            </w:r>
          </w:p>
        </w:tc>
        <w:tc>
          <w:tcPr>
            <w:tcW w:w="740" w:type="dxa"/>
            <w:vAlign w:val="bottom"/>
            <w:gridSpan w:val="8"/>
            <w:shd w:val="clear" w:color="auto" w:fill="CCEEFF"/>
          </w:tcPr>
          <w:p>
            <w:pPr>
              <w:jc w:val="right"/>
              <w:ind w:right="300"/>
              <w:spacing w:after="0"/>
              <w:rPr>
                <w:sz w:val="20"/>
                <w:szCs w:val="20"/>
                <w:color w:val="auto"/>
              </w:rPr>
            </w:pPr>
            <w:r>
              <w:rPr>
                <w:rFonts w:ascii="Arial" w:cs="Arial" w:eastAsia="Arial" w:hAnsi="Arial"/>
                <w:sz w:val="14"/>
                <w:szCs w:val="14"/>
                <w:color w:val="auto"/>
              </w:rPr>
              <w:t>1,090</w:t>
            </w:r>
          </w:p>
        </w:tc>
        <w:tc>
          <w:tcPr>
            <w:tcW w:w="840" w:type="dxa"/>
            <w:vAlign w:val="bottom"/>
            <w:gridSpan w:val="8"/>
            <w:shd w:val="clear" w:color="auto" w:fill="CCEEFF"/>
          </w:tcPr>
          <w:p>
            <w:pPr>
              <w:jc w:val="right"/>
              <w:ind w:right="360"/>
              <w:spacing w:after="0"/>
              <w:rPr>
                <w:sz w:val="20"/>
                <w:szCs w:val="20"/>
                <w:color w:val="auto"/>
              </w:rPr>
            </w:pPr>
            <w:r>
              <w:rPr>
                <w:rFonts w:ascii="Arial" w:cs="Arial" w:eastAsia="Arial" w:hAnsi="Arial"/>
                <w:sz w:val="14"/>
                <w:szCs w:val="14"/>
                <w:color w:val="auto"/>
              </w:rPr>
              <w:t>1,069</w:t>
            </w:r>
          </w:p>
        </w:tc>
        <w:tc>
          <w:tcPr>
            <w:tcW w:w="800" w:type="dxa"/>
            <w:vAlign w:val="bottom"/>
            <w:gridSpan w:val="7"/>
            <w:shd w:val="clear" w:color="auto" w:fill="CCEEFF"/>
          </w:tcPr>
          <w:p>
            <w:pPr>
              <w:jc w:val="right"/>
              <w:ind w:right="288"/>
              <w:spacing w:after="0"/>
              <w:rPr>
                <w:sz w:val="20"/>
                <w:szCs w:val="20"/>
                <w:color w:val="auto"/>
              </w:rPr>
            </w:pPr>
            <w:r>
              <w:rPr>
                <w:rFonts w:ascii="Arial" w:cs="Arial" w:eastAsia="Arial" w:hAnsi="Arial"/>
                <w:sz w:val="14"/>
                <w:szCs w:val="14"/>
                <w:color w:val="auto"/>
              </w:rPr>
              <w:t>1,046</w:t>
            </w:r>
          </w:p>
        </w:tc>
        <w:tc>
          <w:tcPr>
            <w:tcW w:w="780" w:type="dxa"/>
            <w:vAlign w:val="bottom"/>
            <w:gridSpan w:val="8"/>
            <w:shd w:val="clear" w:color="auto" w:fill="CCEEFF"/>
          </w:tcPr>
          <w:p>
            <w:pPr>
              <w:jc w:val="right"/>
              <w:ind w:right="213"/>
              <w:spacing w:after="0"/>
              <w:rPr>
                <w:sz w:val="20"/>
                <w:szCs w:val="20"/>
                <w:color w:val="auto"/>
              </w:rPr>
            </w:pPr>
            <w:r>
              <w:rPr>
                <w:rFonts w:ascii="Arial" w:cs="Arial" w:eastAsia="Arial" w:hAnsi="Arial"/>
                <w:sz w:val="14"/>
                <w:szCs w:val="14"/>
                <w:color w:val="auto"/>
              </w:rPr>
              <w:t>1,036</w:t>
            </w: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63</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56,695</w:t>
            </w:r>
          </w:p>
        </w:tc>
        <w:tc>
          <w:tcPr>
            <w:tcW w:w="0" w:type="dxa"/>
            <w:vAlign w:val="bottom"/>
          </w:tcPr>
          <w:p>
            <w:pPr>
              <w:spacing w:after="0"/>
              <w:rPr>
                <w:sz w:val="1"/>
                <w:szCs w:val="1"/>
                <w:color w:val="auto"/>
              </w:rPr>
            </w:pPr>
          </w:p>
        </w:tc>
      </w:tr>
      <w:tr>
        <w:trPr>
          <w:trHeight w:val="198"/>
        </w:trPr>
        <w:tc>
          <w:tcPr>
            <w:tcW w:w="3460" w:type="dxa"/>
            <w:vAlign w:val="bottom"/>
            <w:gridSpan w:val="23"/>
          </w:tcPr>
          <w:p>
            <w:pPr>
              <w:jc w:val="center"/>
              <w:ind w:right="2580"/>
              <w:spacing w:after="0"/>
              <w:rPr>
                <w:sz w:val="20"/>
                <w:szCs w:val="20"/>
                <w:color w:val="auto"/>
              </w:rPr>
            </w:pPr>
            <w:r>
              <w:rPr>
                <w:rFonts w:ascii="Arial" w:cs="Arial" w:eastAsia="Arial" w:hAnsi="Arial"/>
                <w:sz w:val="14"/>
                <w:szCs w:val="14"/>
                <w:color w:val="auto"/>
              </w:rPr>
              <w:t>2017</w:t>
            </w:r>
          </w:p>
        </w:tc>
        <w:tc>
          <w:tcPr>
            <w:tcW w:w="780" w:type="dxa"/>
            <w:vAlign w:val="bottom"/>
            <w:gridSpan w:val="6"/>
          </w:tcPr>
          <w:p>
            <w:pPr>
              <w:jc w:val="right"/>
              <w:ind w:right="280"/>
              <w:spacing w:after="0"/>
              <w:rPr>
                <w:sz w:val="20"/>
                <w:szCs w:val="20"/>
                <w:color w:val="auto"/>
              </w:rPr>
            </w:pPr>
            <w:r>
              <w:rPr>
                <w:rFonts w:ascii="Arial" w:cs="Arial" w:eastAsia="Arial" w:hAnsi="Arial"/>
                <w:sz w:val="14"/>
                <w:szCs w:val="14"/>
                <w:color w:val="auto"/>
              </w:rPr>
              <w:t>1,211</w:t>
            </w:r>
          </w:p>
        </w:tc>
        <w:tc>
          <w:tcPr>
            <w:tcW w:w="780" w:type="dxa"/>
            <w:vAlign w:val="bottom"/>
            <w:gridSpan w:val="6"/>
          </w:tcPr>
          <w:p>
            <w:pPr>
              <w:jc w:val="right"/>
              <w:ind w:right="300"/>
              <w:spacing w:after="0"/>
              <w:rPr>
                <w:sz w:val="20"/>
                <w:szCs w:val="20"/>
                <w:color w:val="auto"/>
              </w:rPr>
            </w:pPr>
            <w:r>
              <w:rPr>
                <w:rFonts w:ascii="Arial" w:cs="Arial" w:eastAsia="Arial" w:hAnsi="Arial"/>
                <w:sz w:val="14"/>
                <w:szCs w:val="14"/>
                <w:color w:val="auto"/>
              </w:rPr>
              <w:t>1,221</w:t>
            </w:r>
          </w:p>
        </w:tc>
        <w:tc>
          <w:tcPr>
            <w:tcW w:w="820" w:type="dxa"/>
            <w:vAlign w:val="bottom"/>
            <w:gridSpan w:val="6"/>
          </w:tcPr>
          <w:p>
            <w:pPr>
              <w:jc w:val="right"/>
              <w:ind w:right="340"/>
              <w:spacing w:after="0"/>
              <w:rPr>
                <w:sz w:val="20"/>
                <w:szCs w:val="20"/>
                <w:color w:val="auto"/>
              </w:rPr>
            </w:pPr>
            <w:r>
              <w:rPr>
                <w:rFonts w:ascii="Arial" w:cs="Arial" w:eastAsia="Arial" w:hAnsi="Arial"/>
                <w:sz w:val="14"/>
                <w:szCs w:val="14"/>
                <w:color w:val="auto"/>
              </w:rPr>
              <w:t>1,204</w:t>
            </w:r>
          </w:p>
        </w:tc>
        <w:tc>
          <w:tcPr>
            <w:tcW w:w="740" w:type="dxa"/>
            <w:vAlign w:val="bottom"/>
            <w:gridSpan w:val="8"/>
          </w:tcPr>
          <w:p>
            <w:pPr>
              <w:jc w:val="right"/>
              <w:ind w:right="300"/>
              <w:spacing w:after="0"/>
              <w:rPr>
                <w:sz w:val="20"/>
                <w:szCs w:val="20"/>
                <w:color w:val="auto"/>
              </w:rPr>
            </w:pPr>
            <w:r>
              <w:rPr>
                <w:rFonts w:ascii="Arial" w:cs="Arial" w:eastAsia="Arial" w:hAnsi="Arial"/>
                <w:sz w:val="14"/>
                <w:szCs w:val="14"/>
                <w:color w:val="auto"/>
              </w:rPr>
              <w:t>1,189</w:t>
            </w:r>
          </w:p>
        </w:tc>
        <w:tc>
          <w:tcPr>
            <w:tcW w:w="840" w:type="dxa"/>
            <w:vAlign w:val="bottom"/>
            <w:gridSpan w:val="8"/>
          </w:tcPr>
          <w:p>
            <w:pPr>
              <w:jc w:val="right"/>
              <w:ind w:right="360"/>
              <w:spacing w:after="0"/>
              <w:rPr>
                <w:sz w:val="20"/>
                <w:szCs w:val="20"/>
                <w:color w:val="auto"/>
              </w:rPr>
            </w:pPr>
            <w:r>
              <w:rPr>
                <w:rFonts w:ascii="Arial" w:cs="Arial" w:eastAsia="Arial" w:hAnsi="Arial"/>
                <w:sz w:val="14"/>
                <w:szCs w:val="14"/>
                <w:color w:val="auto"/>
              </w:rPr>
              <w:t>1,162</w:t>
            </w:r>
          </w:p>
        </w:tc>
        <w:tc>
          <w:tcPr>
            <w:tcW w:w="800" w:type="dxa"/>
            <w:vAlign w:val="bottom"/>
            <w:gridSpan w:val="7"/>
          </w:tcPr>
          <w:p>
            <w:pPr>
              <w:jc w:val="right"/>
              <w:ind w:right="288"/>
              <w:spacing w:after="0"/>
              <w:rPr>
                <w:sz w:val="20"/>
                <w:szCs w:val="20"/>
                <w:color w:val="auto"/>
              </w:rPr>
            </w:pPr>
            <w:r>
              <w:rPr>
                <w:rFonts w:ascii="Arial" w:cs="Arial" w:eastAsia="Arial" w:hAnsi="Arial"/>
                <w:sz w:val="14"/>
                <w:szCs w:val="14"/>
                <w:color w:val="auto"/>
              </w:rPr>
              <w:t>1,139</w:t>
            </w:r>
          </w:p>
        </w:tc>
        <w:tc>
          <w:tcPr>
            <w:tcW w:w="780" w:type="dxa"/>
            <w:vAlign w:val="bottom"/>
            <w:gridSpan w:val="8"/>
          </w:tcPr>
          <w:p>
            <w:pPr>
              <w:jc w:val="right"/>
              <w:ind w:right="213"/>
              <w:spacing w:after="0"/>
              <w:rPr>
                <w:sz w:val="20"/>
                <w:szCs w:val="20"/>
                <w:color w:val="auto"/>
              </w:rPr>
            </w:pPr>
            <w:r>
              <w:rPr>
                <w:rFonts w:ascii="Arial" w:cs="Arial" w:eastAsia="Arial" w:hAnsi="Arial"/>
                <w:sz w:val="14"/>
                <w:szCs w:val="14"/>
                <w:color w:val="auto"/>
              </w:rPr>
              <w:t>1,139</w:t>
            </w:r>
          </w:p>
        </w:tc>
        <w:tc>
          <w:tcPr>
            <w:tcW w:w="1300" w:type="dxa"/>
            <w:vAlign w:val="bottom"/>
            <w:gridSpan w:val="4"/>
          </w:tcPr>
          <w:p>
            <w:pPr>
              <w:jc w:val="center"/>
              <w:ind w:left="668"/>
              <w:spacing w:after="0"/>
              <w:rPr>
                <w:sz w:val="20"/>
                <w:szCs w:val="20"/>
                <w:color w:val="auto"/>
              </w:rPr>
            </w:pPr>
            <w:r>
              <w:rPr>
                <w:rFonts w:ascii="Arial" w:cs="Arial" w:eastAsia="Arial" w:hAnsi="Arial"/>
                <w:sz w:val="14"/>
                <w:szCs w:val="14"/>
                <w:color w:val="auto"/>
              </w:rPr>
              <w:t>110</w:t>
            </w:r>
          </w:p>
        </w:tc>
        <w:tc>
          <w:tcPr>
            <w:tcW w:w="940" w:type="dxa"/>
            <w:vAlign w:val="bottom"/>
          </w:tcPr>
          <w:p>
            <w:pPr>
              <w:jc w:val="right"/>
              <w:spacing w:after="0"/>
              <w:rPr>
                <w:sz w:val="20"/>
                <w:szCs w:val="20"/>
                <w:color w:val="auto"/>
              </w:rPr>
            </w:pPr>
            <w:r>
              <w:rPr>
                <w:rFonts w:ascii="Arial" w:cs="Arial" w:eastAsia="Arial" w:hAnsi="Arial"/>
                <w:sz w:val="14"/>
                <w:szCs w:val="14"/>
                <w:color w:val="auto"/>
              </w:rPr>
              <w:t>57,386</w:t>
            </w:r>
          </w:p>
        </w:tc>
        <w:tc>
          <w:tcPr>
            <w:tcW w:w="0" w:type="dxa"/>
            <w:vAlign w:val="bottom"/>
          </w:tcPr>
          <w:p>
            <w:pPr>
              <w:spacing w:after="0"/>
              <w:rPr>
                <w:sz w:val="1"/>
                <w:szCs w:val="1"/>
                <w:color w:val="auto"/>
              </w:rPr>
            </w:pPr>
          </w:p>
        </w:tc>
      </w:tr>
      <w:tr>
        <w:trPr>
          <w:trHeight w:val="207"/>
        </w:trPr>
        <w:tc>
          <w:tcPr>
            <w:tcW w:w="4240" w:type="dxa"/>
            <w:vAlign w:val="bottom"/>
            <w:gridSpan w:val="29"/>
            <w:shd w:val="clear" w:color="auto" w:fill="CCEEFF"/>
          </w:tcPr>
          <w:p>
            <w:pPr>
              <w:jc w:val="center"/>
              <w:ind w:right="3360"/>
              <w:spacing w:after="0"/>
              <w:rPr>
                <w:sz w:val="20"/>
                <w:szCs w:val="20"/>
                <w:color w:val="auto"/>
              </w:rPr>
            </w:pPr>
            <w:r>
              <w:rPr>
                <w:rFonts w:ascii="Arial" w:cs="Arial" w:eastAsia="Arial" w:hAnsi="Arial"/>
                <w:sz w:val="14"/>
                <w:szCs w:val="14"/>
                <w:color w:val="auto"/>
              </w:rPr>
              <w:t>2018</w:t>
            </w:r>
          </w:p>
        </w:tc>
        <w:tc>
          <w:tcPr>
            <w:tcW w:w="780" w:type="dxa"/>
            <w:vAlign w:val="bottom"/>
            <w:gridSpan w:val="6"/>
            <w:shd w:val="clear" w:color="auto" w:fill="CCEEFF"/>
          </w:tcPr>
          <w:p>
            <w:pPr>
              <w:jc w:val="right"/>
              <w:ind w:right="300"/>
              <w:spacing w:after="0"/>
              <w:rPr>
                <w:sz w:val="20"/>
                <w:szCs w:val="20"/>
                <w:color w:val="auto"/>
              </w:rPr>
            </w:pPr>
            <w:r>
              <w:rPr>
                <w:rFonts w:ascii="Arial" w:cs="Arial" w:eastAsia="Arial" w:hAnsi="Arial"/>
                <w:sz w:val="14"/>
                <w:szCs w:val="14"/>
                <w:color w:val="auto"/>
              </w:rPr>
              <w:t>1,277</w:t>
            </w:r>
          </w:p>
        </w:tc>
        <w:tc>
          <w:tcPr>
            <w:tcW w:w="820" w:type="dxa"/>
            <w:vAlign w:val="bottom"/>
            <w:gridSpan w:val="6"/>
            <w:shd w:val="clear" w:color="auto" w:fill="CCEEFF"/>
          </w:tcPr>
          <w:p>
            <w:pPr>
              <w:jc w:val="right"/>
              <w:ind w:right="340"/>
              <w:spacing w:after="0"/>
              <w:rPr>
                <w:sz w:val="20"/>
                <w:szCs w:val="20"/>
                <w:color w:val="auto"/>
              </w:rPr>
            </w:pPr>
            <w:r>
              <w:rPr>
                <w:rFonts w:ascii="Arial" w:cs="Arial" w:eastAsia="Arial" w:hAnsi="Arial"/>
                <w:sz w:val="14"/>
                <w:szCs w:val="14"/>
                <w:color w:val="auto"/>
              </w:rPr>
              <w:t>1,307</w:t>
            </w:r>
          </w:p>
        </w:tc>
        <w:tc>
          <w:tcPr>
            <w:tcW w:w="740" w:type="dxa"/>
            <w:vAlign w:val="bottom"/>
            <w:gridSpan w:val="8"/>
            <w:shd w:val="clear" w:color="auto" w:fill="CCEEFF"/>
          </w:tcPr>
          <w:p>
            <w:pPr>
              <w:jc w:val="right"/>
              <w:ind w:right="300"/>
              <w:spacing w:after="0"/>
              <w:rPr>
                <w:sz w:val="20"/>
                <w:szCs w:val="20"/>
                <w:color w:val="auto"/>
              </w:rPr>
            </w:pPr>
            <w:r>
              <w:rPr>
                <w:rFonts w:ascii="Arial" w:cs="Arial" w:eastAsia="Arial" w:hAnsi="Arial"/>
                <w:sz w:val="14"/>
                <w:szCs w:val="14"/>
                <w:color w:val="auto"/>
              </w:rPr>
              <w:t>1,302</w:t>
            </w:r>
          </w:p>
        </w:tc>
        <w:tc>
          <w:tcPr>
            <w:tcW w:w="840" w:type="dxa"/>
            <w:vAlign w:val="bottom"/>
            <w:gridSpan w:val="8"/>
            <w:shd w:val="clear" w:color="auto" w:fill="CCEEFF"/>
          </w:tcPr>
          <w:p>
            <w:pPr>
              <w:jc w:val="right"/>
              <w:ind w:right="360"/>
              <w:spacing w:after="0"/>
              <w:rPr>
                <w:sz w:val="20"/>
                <w:szCs w:val="20"/>
                <w:color w:val="auto"/>
              </w:rPr>
            </w:pPr>
            <w:r>
              <w:rPr>
                <w:rFonts w:ascii="Arial" w:cs="Arial" w:eastAsia="Arial" w:hAnsi="Arial"/>
                <w:sz w:val="14"/>
                <w:szCs w:val="14"/>
                <w:color w:val="auto"/>
              </w:rPr>
              <w:t>1,262</w:t>
            </w:r>
          </w:p>
        </w:tc>
        <w:tc>
          <w:tcPr>
            <w:tcW w:w="800" w:type="dxa"/>
            <w:vAlign w:val="bottom"/>
            <w:gridSpan w:val="7"/>
            <w:shd w:val="clear" w:color="auto" w:fill="CCEEFF"/>
          </w:tcPr>
          <w:p>
            <w:pPr>
              <w:jc w:val="right"/>
              <w:ind w:right="288"/>
              <w:spacing w:after="0"/>
              <w:rPr>
                <w:sz w:val="20"/>
                <w:szCs w:val="20"/>
                <w:color w:val="auto"/>
              </w:rPr>
            </w:pPr>
            <w:r>
              <w:rPr>
                <w:rFonts w:ascii="Arial" w:cs="Arial" w:eastAsia="Arial" w:hAnsi="Arial"/>
                <w:sz w:val="14"/>
                <w:szCs w:val="14"/>
                <w:color w:val="auto"/>
              </w:rPr>
              <w:t>1,269</w:t>
            </w:r>
          </w:p>
        </w:tc>
        <w:tc>
          <w:tcPr>
            <w:tcW w:w="780" w:type="dxa"/>
            <w:vAlign w:val="bottom"/>
            <w:gridSpan w:val="8"/>
            <w:shd w:val="clear" w:color="auto" w:fill="CCEEFF"/>
          </w:tcPr>
          <w:p>
            <w:pPr>
              <w:jc w:val="right"/>
              <w:ind w:right="213"/>
              <w:spacing w:after="0"/>
              <w:rPr>
                <w:sz w:val="20"/>
                <w:szCs w:val="20"/>
                <w:color w:val="auto"/>
              </w:rPr>
            </w:pPr>
            <w:r>
              <w:rPr>
                <w:rFonts w:ascii="Arial" w:cs="Arial" w:eastAsia="Arial" w:hAnsi="Arial"/>
                <w:sz w:val="14"/>
                <w:szCs w:val="14"/>
                <w:color w:val="auto"/>
              </w:rPr>
              <w:t>1,264</w:t>
            </w:r>
          </w:p>
        </w:tc>
        <w:tc>
          <w:tcPr>
            <w:tcW w:w="1300" w:type="dxa"/>
            <w:vAlign w:val="bottom"/>
            <w:gridSpan w:val="4"/>
            <w:shd w:val="clear" w:color="auto" w:fill="CCEEFF"/>
          </w:tcPr>
          <w:p>
            <w:pPr>
              <w:jc w:val="center"/>
              <w:ind w:left="668"/>
              <w:spacing w:after="0"/>
              <w:rPr>
                <w:sz w:val="20"/>
                <w:szCs w:val="20"/>
                <w:color w:val="auto"/>
              </w:rPr>
            </w:pPr>
            <w:r>
              <w:rPr>
                <w:rFonts w:ascii="Arial" w:cs="Arial" w:eastAsia="Arial" w:hAnsi="Arial"/>
                <w:sz w:val="14"/>
                <w:szCs w:val="14"/>
                <w:color w:val="auto"/>
              </w:rPr>
              <w:t>169</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59,456</w:t>
            </w:r>
          </w:p>
        </w:tc>
        <w:tc>
          <w:tcPr>
            <w:tcW w:w="0" w:type="dxa"/>
            <w:vAlign w:val="bottom"/>
          </w:tcPr>
          <w:p>
            <w:pPr>
              <w:spacing w:after="0"/>
              <w:rPr>
                <w:sz w:val="1"/>
                <w:szCs w:val="1"/>
                <w:color w:val="auto"/>
              </w:rPr>
            </w:pPr>
          </w:p>
        </w:tc>
      </w:tr>
      <w:tr>
        <w:trPr>
          <w:trHeight w:val="198"/>
        </w:trPr>
        <w:tc>
          <w:tcPr>
            <w:tcW w:w="5020" w:type="dxa"/>
            <w:vAlign w:val="bottom"/>
            <w:gridSpan w:val="35"/>
          </w:tcPr>
          <w:p>
            <w:pPr>
              <w:jc w:val="center"/>
              <w:ind w:right="4140"/>
              <w:spacing w:after="0"/>
              <w:rPr>
                <w:sz w:val="20"/>
                <w:szCs w:val="20"/>
                <w:color w:val="auto"/>
              </w:rPr>
            </w:pPr>
            <w:r>
              <w:rPr>
                <w:rFonts w:ascii="Arial" w:cs="Arial" w:eastAsia="Arial" w:hAnsi="Arial"/>
                <w:sz w:val="14"/>
                <w:szCs w:val="14"/>
                <w:color w:val="auto"/>
              </w:rPr>
              <w:t>2019</w:t>
            </w:r>
          </w:p>
        </w:tc>
        <w:tc>
          <w:tcPr>
            <w:tcW w:w="820" w:type="dxa"/>
            <w:vAlign w:val="bottom"/>
            <w:gridSpan w:val="6"/>
          </w:tcPr>
          <w:p>
            <w:pPr>
              <w:jc w:val="right"/>
              <w:ind w:right="340"/>
              <w:spacing w:after="0"/>
              <w:rPr>
                <w:sz w:val="20"/>
                <w:szCs w:val="20"/>
                <w:color w:val="auto"/>
              </w:rPr>
            </w:pPr>
            <w:r>
              <w:rPr>
                <w:rFonts w:ascii="Arial" w:cs="Arial" w:eastAsia="Arial" w:hAnsi="Arial"/>
                <w:sz w:val="14"/>
                <w:szCs w:val="14"/>
                <w:color w:val="auto"/>
              </w:rPr>
              <w:t>1,308</w:t>
            </w:r>
          </w:p>
        </w:tc>
        <w:tc>
          <w:tcPr>
            <w:tcW w:w="740" w:type="dxa"/>
            <w:vAlign w:val="bottom"/>
            <w:gridSpan w:val="8"/>
          </w:tcPr>
          <w:p>
            <w:pPr>
              <w:jc w:val="right"/>
              <w:ind w:right="300"/>
              <w:spacing w:after="0"/>
              <w:rPr>
                <w:sz w:val="20"/>
                <w:szCs w:val="20"/>
                <w:color w:val="auto"/>
              </w:rPr>
            </w:pPr>
            <w:r>
              <w:rPr>
                <w:rFonts w:ascii="Arial" w:cs="Arial" w:eastAsia="Arial" w:hAnsi="Arial"/>
                <w:sz w:val="14"/>
                <w:szCs w:val="14"/>
                <w:color w:val="auto"/>
              </w:rPr>
              <w:t>1,311</w:t>
            </w:r>
          </w:p>
        </w:tc>
        <w:tc>
          <w:tcPr>
            <w:tcW w:w="840" w:type="dxa"/>
            <w:vAlign w:val="bottom"/>
            <w:gridSpan w:val="8"/>
          </w:tcPr>
          <w:p>
            <w:pPr>
              <w:jc w:val="right"/>
              <w:ind w:right="360"/>
              <w:spacing w:after="0"/>
              <w:rPr>
                <w:sz w:val="20"/>
                <w:szCs w:val="20"/>
                <w:color w:val="auto"/>
              </w:rPr>
            </w:pPr>
            <w:r>
              <w:rPr>
                <w:rFonts w:ascii="Arial" w:cs="Arial" w:eastAsia="Arial" w:hAnsi="Arial"/>
                <w:sz w:val="14"/>
                <w:szCs w:val="14"/>
                <w:color w:val="auto"/>
              </w:rPr>
              <w:t>1,322</w:t>
            </w:r>
          </w:p>
        </w:tc>
        <w:tc>
          <w:tcPr>
            <w:tcW w:w="800" w:type="dxa"/>
            <w:vAlign w:val="bottom"/>
            <w:gridSpan w:val="7"/>
          </w:tcPr>
          <w:p>
            <w:pPr>
              <w:jc w:val="right"/>
              <w:ind w:right="288"/>
              <w:spacing w:after="0"/>
              <w:rPr>
                <w:sz w:val="20"/>
                <w:szCs w:val="20"/>
                <w:color w:val="auto"/>
              </w:rPr>
            </w:pPr>
            <w:r>
              <w:rPr>
                <w:rFonts w:ascii="Arial" w:cs="Arial" w:eastAsia="Arial" w:hAnsi="Arial"/>
                <w:sz w:val="14"/>
                <w:szCs w:val="14"/>
                <w:color w:val="auto"/>
              </w:rPr>
              <w:t>1,280</w:t>
            </w:r>
          </w:p>
        </w:tc>
        <w:tc>
          <w:tcPr>
            <w:tcW w:w="780" w:type="dxa"/>
            <w:vAlign w:val="bottom"/>
            <w:gridSpan w:val="8"/>
          </w:tcPr>
          <w:p>
            <w:pPr>
              <w:jc w:val="right"/>
              <w:ind w:right="213"/>
              <w:spacing w:after="0"/>
              <w:rPr>
                <w:sz w:val="20"/>
                <w:szCs w:val="20"/>
                <w:color w:val="auto"/>
              </w:rPr>
            </w:pPr>
            <w:r>
              <w:rPr>
                <w:rFonts w:ascii="Arial" w:cs="Arial" w:eastAsia="Arial" w:hAnsi="Arial"/>
                <w:sz w:val="14"/>
                <w:szCs w:val="14"/>
                <w:color w:val="auto"/>
              </w:rPr>
              <w:t>1,284</w:t>
            </w:r>
          </w:p>
        </w:tc>
        <w:tc>
          <w:tcPr>
            <w:tcW w:w="1300" w:type="dxa"/>
            <w:vAlign w:val="bottom"/>
            <w:gridSpan w:val="4"/>
          </w:tcPr>
          <w:p>
            <w:pPr>
              <w:jc w:val="center"/>
              <w:ind w:left="668"/>
              <w:spacing w:after="0"/>
              <w:rPr>
                <w:sz w:val="20"/>
                <w:szCs w:val="20"/>
                <w:color w:val="auto"/>
              </w:rPr>
            </w:pPr>
            <w:r>
              <w:rPr>
                <w:rFonts w:ascii="Arial" w:cs="Arial" w:eastAsia="Arial" w:hAnsi="Arial"/>
                <w:sz w:val="14"/>
                <w:szCs w:val="14"/>
                <w:color w:val="auto"/>
              </w:rPr>
              <w:t>230</w:t>
            </w:r>
          </w:p>
        </w:tc>
        <w:tc>
          <w:tcPr>
            <w:tcW w:w="940" w:type="dxa"/>
            <w:vAlign w:val="bottom"/>
          </w:tcPr>
          <w:p>
            <w:pPr>
              <w:jc w:val="right"/>
              <w:spacing w:after="0"/>
              <w:rPr>
                <w:sz w:val="20"/>
                <w:szCs w:val="20"/>
                <w:color w:val="auto"/>
              </w:rPr>
            </w:pPr>
            <w:r>
              <w:rPr>
                <w:rFonts w:ascii="Arial" w:cs="Arial" w:eastAsia="Arial" w:hAnsi="Arial"/>
                <w:sz w:val="14"/>
                <w:szCs w:val="14"/>
                <w:color w:val="auto"/>
              </w:rPr>
              <w:t>59,684</w:t>
            </w:r>
          </w:p>
        </w:tc>
        <w:tc>
          <w:tcPr>
            <w:tcW w:w="0" w:type="dxa"/>
            <w:vAlign w:val="bottom"/>
          </w:tcPr>
          <w:p>
            <w:pPr>
              <w:spacing w:after="0"/>
              <w:rPr>
                <w:sz w:val="1"/>
                <w:szCs w:val="1"/>
                <w:color w:val="auto"/>
              </w:rPr>
            </w:pPr>
          </w:p>
        </w:tc>
      </w:tr>
      <w:tr>
        <w:trPr>
          <w:trHeight w:val="207"/>
        </w:trPr>
        <w:tc>
          <w:tcPr>
            <w:tcW w:w="5840" w:type="dxa"/>
            <w:vAlign w:val="bottom"/>
            <w:gridSpan w:val="41"/>
            <w:shd w:val="clear" w:color="auto" w:fill="CCEEFF"/>
          </w:tcPr>
          <w:p>
            <w:pPr>
              <w:jc w:val="center"/>
              <w:ind w:right="4960"/>
              <w:spacing w:after="0"/>
              <w:rPr>
                <w:sz w:val="20"/>
                <w:szCs w:val="20"/>
                <w:color w:val="auto"/>
              </w:rPr>
            </w:pPr>
            <w:r>
              <w:rPr>
                <w:rFonts w:ascii="Arial" w:cs="Arial" w:eastAsia="Arial" w:hAnsi="Arial"/>
                <w:sz w:val="14"/>
                <w:szCs w:val="14"/>
                <w:color w:val="auto"/>
              </w:rPr>
              <w:t>2020</w:t>
            </w:r>
          </w:p>
        </w:tc>
        <w:tc>
          <w:tcPr>
            <w:tcW w:w="740" w:type="dxa"/>
            <w:vAlign w:val="bottom"/>
            <w:gridSpan w:val="8"/>
            <w:shd w:val="clear" w:color="auto" w:fill="CCEEFF"/>
          </w:tcPr>
          <w:p>
            <w:pPr>
              <w:jc w:val="right"/>
              <w:ind w:right="300"/>
              <w:spacing w:after="0"/>
              <w:rPr>
                <w:sz w:val="20"/>
                <w:szCs w:val="20"/>
                <w:color w:val="auto"/>
              </w:rPr>
            </w:pPr>
            <w:r>
              <w:rPr>
                <w:rFonts w:ascii="Arial" w:cs="Arial" w:eastAsia="Arial" w:hAnsi="Arial"/>
                <w:sz w:val="14"/>
                <w:szCs w:val="14"/>
                <w:color w:val="auto"/>
              </w:rPr>
              <w:t>1,352</w:t>
            </w:r>
          </w:p>
        </w:tc>
        <w:tc>
          <w:tcPr>
            <w:tcW w:w="840" w:type="dxa"/>
            <w:vAlign w:val="bottom"/>
            <w:gridSpan w:val="8"/>
            <w:shd w:val="clear" w:color="auto" w:fill="CCEEFF"/>
          </w:tcPr>
          <w:p>
            <w:pPr>
              <w:jc w:val="right"/>
              <w:ind w:right="360"/>
              <w:spacing w:after="0"/>
              <w:rPr>
                <w:sz w:val="20"/>
                <w:szCs w:val="20"/>
                <w:color w:val="auto"/>
              </w:rPr>
            </w:pPr>
            <w:r>
              <w:rPr>
                <w:rFonts w:ascii="Arial" w:cs="Arial" w:eastAsia="Arial" w:hAnsi="Arial"/>
                <w:sz w:val="14"/>
                <w:szCs w:val="14"/>
                <w:color w:val="auto"/>
              </w:rPr>
              <w:t>1,329</w:t>
            </w:r>
          </w:p>
        </w:tc>
        <w:tc>
          <w:tcPr>
            <w:tcW w:w="800" w:type="dxa"/>
            <w:vAlign w:val="bottom"/>
            <w:gridSpan w:val="7"/>
            <w:shd w:val="clear" w:color="auto" w:fill="CCEEFF"/>
          </w:tcPr>
          <w:p>
            <w:pPr>
              <w:jc w:val="right"/>
              <w:ind w:right="288"/>
              <w:spacing w:after="0"/>
              <w:rPr>
                <w:sz w:val="20"/>
                <w:szCs w:val="20"/>
                <w:color w:val="auto"/>
              </w:rPr>
            </w:pPr>
            <w:r>
              <w:rPr>
                <w:rFonts w:ascii="Arial" w:cs="Arial" w:eastAsia="Arial" w:hAnsi="Arial"/>
                <w:sz w:val="14"/>
                <w:szCs w:val="14"/>
                <w:color w:val="auto"/>
              </w:rPr>
              <w:t>1,258</w:t>
            </w:r>
          </w:p>
        </w:tc>
        <w:tc>
          <w:tcPr>
            <w:tcW w:w="780" w:type="dxa"/>
            <w:vAlign w:val="bottom"/>
            <w:gridSpan w:val="8"/>
            <w:shd w:val="clear" w:color="auto" w:fill="CCEEFF"/>
          </w:tcPr>
          <w:p>
            <w:pPr>
              <w:jc w:val="right"/>
              <w:ind w:right="213"/>
              <w:spacing w:after="0"/>
              <w:rPr>
                <w:sz w:val="20"/>
                <w:szCs w:val="20"/>
                <w:color w:val="auto"/>
              </w:rPr>
            </w:pPr>
            <w:r>
              <w:rPr>
                <w:rFonts w:ascii="Arial" w:cs="Arial" w:eastAsia="Arial" w:hAnsi="Arial"/>
                <w:sz w:val="14"/>
                <w:szCs w:val="14"/>
                <w:color w:val="auto"/>
              </w:rPr>
              <w:t>1,232</w:t>
            </w:r>
          </w:p>
        </w:tc>
        <w:tc>
          <w:tcPr>
            <w:tcW w:w="1300" w:type="dxa"/>
            <w:vAlign w:val="bottom"/>
            <w:gridSpan w:val="4"/>
            <w:shd w:val="clear" w:color="auto" w:fill="CCEEFF"/>
          </w:tcPr>
          <w:p>
            <w:pPr>
              <w:jc w:val="center"/>
              <w:ind w:left="668"/>
              <w:spacing w:after="0"/>
              <w:rPr>
                <w:sz w:val="20"/>
                <w:szCs w:val="20"/>
                <w:color w:val="auto"/>
              </w:rPr>
            </w:pPr>
            <w:r>
              <w:rPr>
                <w:rFonts w:ascii="Arial" w:cs="Arial" w:eastAsia="Arial" w:hAnsi="Arial"/>
                <w:sz w:val="14"/>
                <w:szCs w:val="14"/>
                <w:color w:val="auto"/>
              </w:rPr>
              <w:t>313</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54,129</w:t>
            </w:r>
          </w:p>
        </w:tc>
        <w:tc>
          <w:tcPr>
            <w:tcW w:w="0" w:type="dxa"/>
            <w:vAlign w:val="bottom"/>
          </w:tcPr>
          <w:p>
            <w:pPr>
              <w:spacing w:after="0"/>
              <w:rPr>
                <w:sz w:val="1"/>
                <w:szCs w:val="1"/>
                <w:color w:val="auto"/>
              </w:rPr>
            </w:pPr>
          </w:p>
        </w:tc>
      </w:tr>
      <w:tr>
        <w:trPr>
          <w:trHeight w:val="198"/>
        </w:trPr>
        <w:tc>
          <w:tcPr>
            <w:tcW w:w="6580" w:type="dxa"/>
            <w:vAlign w:val="bottom"/>
            <w:gridSpan w:val="49"/>
          </w:tcPr>
          <w:p>
            <w:pPr>
              <w:jc w:val="center"/>
              <w:ind w:right="5700"/>
              <w:spacing w:after="0"/>
              <w:rPr>
                <w:sz w:val="20"/>
                <w:szCs w:val="20"/>
                <w:color w:val="auto"/>
              </w:rPr>
            </w:pPr>
            <w:r>
              <w:rPr>
                <w:rFonts w:ascii="Arial" w:cs="Arial" w:eastAsia="Arial" w:hAnsi="Arial"/>
                <w:sz w:val="14"/>
                <w:szCs w:val="14"/>
                <w:color w:val="auto"/>
              </w:rPr>
              <w:t>2021</w:t>
            </w:r>
          </w:p>
        </w:tc>
        <w:tc>
          <w:tcPr>
            <w:tcW w:w="840" w:type="dxa"/>
            <w:vAlign w:val="bottom"/>
            <w:gridSpan w:val="8"/>
          </w:tcPr>
          <w:p>
            <w:pPr>
              <w:jc w:val="right"/>
              <w:ind w:right="360"/>
              <w:spacing w:after="0"/>
              <w:rPr>
                <w:sz w:val="20"/>
                <w:szCs w:val="20"/>
                <w:color w:val="auto"/>
              </w:rPr>
            </w:pPr>
            <w:r>
              <w:rPr>
                <w:rFonts w:ascii="Arial" w:cs="Arial" w:eastAsia="Arial" w:hAnsi="Arial"/>
                <w:sz w:val="14"/>
                <w:szCs w:val="14"/>
                <w:color w:val="auto"/>
              </w:rPr>
              <w:t>1,384</w:t>
            </w:r>
          </w:p>
        </w:tc>
        <w:tc>
          <w:tcPr>
            <w:tcW w:w="800" w:type="dxa"/>
            <w:vAlign w:val="bottom"/>
            <w:gridSpan w:val="7"/>
          </w:tcPr>
          <w:p>
            <w:pPr>
              <w:jc w:val="right"/>
              <w:ind w:right="288"/>
              <w:spacing w:after="0"/>
              <w:rPr>
                <w:sz w:val="20"/>
                <w:szCs w:val="20"/>
                <w:color w:val="auto"/>
              </w:rPr>
            </w:pPr>
            <w:r>
              <w:rPr>
                <w:rFonts w:ascii="Arial" w:cs="Arial" w:eastAsia="Arial" w:hAnsi="Arial"/>
                <w:sz w:val="14"/>
                <w:szCs w:val="14"/>
                <w:color w:val="auto"/>
              </w:rPr>
              <w:t>1,389</w:t>
            </w:r>
          </w:p>
        </w:tc>
        <w:tc>
          <w:tcPr>
            <w:tcW w:w="780" w:type="dxa"/>
            <w:vAlign w:val="bottom"/>
            <w:gridSpan w:val="8"/>
          </w:tcPr>
          <w:p>
            <w:pPr>
              <w:jc w:val="right"/>
              <w:ind w:right="213"/>
              <w:spacing w:after="0"/>
              <w:rPr>
                <w:sz w:val="20"/>
                <w:szCs w:val="20"/>
                <w:color w:val="auto"/>
              </w:rPr>
            </w:pPr>
            <w:r>
              <w:rPr>
                <w:rFonts w:ascii="Arial" w:cs="Arial" w:eastAsia="Arial" w:hAnsi="Arial"/>
                <w:sz w:val="14"/>
                <w:szCs w:val="14"/>
                <w:color w:val="auto"/>
              </w:rPr>
              <w:t>1,342</w:t>
            </w:r>
          </w:p>
        </w:tc>
        <w:tc>
          <w:tcPr>
            <w:tcW w:w="1300" w:type="dxa"/>
            <w:vAlign w:val="bottom"/>
            <w:gridSpan w:val="4"/>
          </w:tcPr>
          <w:p>
            <w:pPr>
              <w:jc w:val="center"/>
              <w:ind w:left="668"/>
              <w:spacing w:after="0"/>
              <w:rPr>
                <w:sz w:val="20"/>
                <w:szCs w:val="20"/>
                <w:color w:val="auto"/>
              </w:rPr>
            </w:pPr>
            <w:r>
              <w:rPr>
                <w:rFonts w:ascii="Arial" w:cs="Arial" w:eastAsia="Arial" w:hAnsi="Arial"/>
                <w:sz w:val="14"/>
                <w:szCs w:val="14"/>
                <w:color w:val="auto"/>
              </w:rPr>
              <w:t>497</w:t>
            </w:r>
          </w:p>
        </w:tc>
        <w:tc>
          <w:tcPr>
            <w:tcW w:w="940" w:type="dxa"/>
            <w:vAlign w:val="bottom"/>
          </w:tcPr>
          <w:p>
            <w:pPr>
              <w:jc w:val="right"/>
              <w:spacing w:after="0"/>
              <w:rPr>
                <w:sz w:val="20"/>
                <w:szCs w:val="20"/>
                <w:color w:val="auto"/>
              </w:rPr>
            </w:pPr>
            <w:r>
              <w:rPr>
                <w:rFonts w:ascii="Arial" w:cs="Arial" w:eastAsia="Arial" w:hAnsi="Arial"/>
                <w:sz w:val="14"/>
                <w:szCs w:val="14"/>
                <w:color w:val="auto"/>
              </w:rPr>
              <w:t>55,962</w:t>
            </w:r>
          </w:p>
        </w:tc>
        <w:tc>
          <w:tcPr>
            <w:tcW w:w="0" w:type="dxa"/>
            <w:vAlign w:val="bottom"/>
          </w:tcPr>
          <w:p>
            <w:pPr>
              <w:spacing w:after="0"/>
              <w:rPr>
                <w:sz w:val="1"/>
                <w:szCs w:val="1"/>
                <w:color w:val="auto"/>
              </w:rPr>
            </w:pPr>
          </w:p>
        </w:tc>
      </w:tr>
      <w:tr>
        <w:trPr>
          <w:trHeight w:val="207"/>
        </w:trPr>
        <w:tc>
          <w:tcPr>
            <w:tcW w:w="7420" w:type="dxa"/>
            <w:vAlign w:val="bottom"/>
            <w:gridSpan w:val="57"/>
            <w:shd w:val="clear" w:color="auto" w:fill="CCEEFF"/>
          </w:tcPr>
          <w:p>
            <w:pPr>
              <w:jc w:val="center"/>
              <w:ind w:right="6540"/>
              <w:spacing w:after="0"/>
              <w:rPr>
                <w:sz w:val="20"/>
                <w:szCs w:val="20"/>
                <w:color w:val="auto"/>
              </w:rPr>
            </w:pPr>
            <w:r>
              <w:rPr>
                <w:rFonts w:ascii="Arial" w:cs="Arial" w:eastAsia="Arial" w:hAnsi="Arial"/>
                <w:sz w:val="14"/>
                <w:szCs w:val="14"/>
                <w:color w:val="auto"/>
              </w:rPr>
              <w:t>2022</w:t>
            </w:r>
          </w:p>
        </w:tc>
        <w:tc>
          <w:tcPr>
            <w:tcW w:w="800" w:type="dxa"/>
            <w:vAlign w:val="bottom"/>
            <w:gridSpan w:val="7"/>
            <w:shd w:val="clear" w:color="auto" w:fill="CCEEFF"/>
          </w:tcPr>
          <w:p>
            <w:pPr>
              <w:jc w:val="right"/>
              <w:ind w:right="288"/>
              <w:spacing w:after="0"/>
              <w:rPr>
                <w:sz w:val="20"/>
                <w:szCs w:val="20"/>
                <w:color w:val="auto"/>
              </w:rPr>
            </w:pPr>
            <w:r>
              <w:rPr>
                <w:rFonts w:ascii="Arial" w:cs="Arial" w:eastAsia="Arial" w:hAnsi="Arial"/>
                <w:sz w:val="14"/>
                <w:szCs w:val="14"/>
                <w:color w:val="auto"/>
              </w:rPr>
              <w:t>1,475</w:t>
            </w:r>
          </w:p>
        </w:tc>
        <w:tc>
          <w:tcPr>
            <w:tcW w:w="780" w:type="dxa"/>
            <w:vAlign w:val="bottom"/>
            <w:gridSpan w:val="8"/>
            <w:shd w:val="clear" w:color="auto" w:fill="CCEEFF"/>
          </w:tcPr>
          <w:p>
            <w:pPr>
              <w:jc w:val="right"/>
              <w:ind w:right="213"/>
              <w:spacing w:after="0"/>
              <w:rPr>
                <w:sz w:val="20"/>
                <w:szCs w:val="20"/>
                <w:color w:val="auto"/>
              </w:rPr>
            </w:pPr>
            <w:r>
              <w:rPr>
                <w:rFonts w:ascii="Arial" w:cs="Arial" w:eastAsia="Arial" w:hAnsi="Arial"/>
                <w:sz w:val="14"/>
                <w:szCs w:val="14"/>
                <w:color w:val="auto"/>
              </w:rPr>
              <w:t>1,503</w:t>
            </w:r>
          </w:p>
        </w:tc>
        <w:tc>
          <w:tcPr>
            <w:tcW w:w="1300" w:type="dxa"/>
            <w:vAlign w:val="bottom"/>
            <w:gridSpan w:val="4"/>
            <w:shd w:val="clear" w:color="auto" w:fill="CCEEFF"/>
          </w:tcPr>
          <w:p>
            <w:pPr>
              <w:jc w:val="center"/>
              <w:ind w:left="668"/>
              <w:spacing w:after="0"/>
              <w:rPr>
                <w:sz w:val="20"/>
                <w:szCs w:val="20"/>
                <w:color w:val="auto"/>
              </w:rPr>
            </w:pPr>
            <w:r>
              <w:rPr>
                <w:rFonts w:ascii="Arial" w:cs="Arial" w:eastAsia="Arial" w:hAnsi="Arial"/>
                <w:sz w:val="14"/>
                <w:szCs w:val="14"/>
                <w:color w:val="auto"/>
              </w:rPr>
              <w:t>697</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56,742</w:t>
            </w:r>
          </w:p>
        </w:tc>
        <w:tc>
          <w:tcPr>
            <w:tcW w:w="0" w:type="dxa"/>
            <w:vAlign w:val="bottom"/>
          </w:tcPr>
          <w:p>
            <w:pPr>
              <w:spacing w:after="0"/>
              <w:rPr>
                <w:sz w:val="1"/>
                <w:szCs w:val="1"/>
                <w:color w:val="auto"/>
              </w:rPr>
            </w:pPr>
          </w:p>
        </w:tc>
      </w:tr>
      <w:tr>
        <w:trPr>
          <w:trHeight w:val="198"/>
        </w:trPr>
        <w:tc>
          <w:tcPr>
            <w:tcW w:w="8020" w:type="dxa"/>
            <w:vAlign w:val="bottom"/>
            <w:tcBorders>
              <w:bottom w:val="single" w:sz="8" w:color="CCEEFF"/>
            </w:tcBorders>
            <w:gridSpan w:val="63"/>
          </w:tcPr>
          <w:p>
            <w:pPr>
              <w:jc w:val="center"/>
              <w:ind w:right="7068"/>
              <w:spacing w:after="0"/>
              <w:rPr>
                <w:sz w:val="20"/>
                <w:szCs w:val="20"/>
                <w:color w:val="auto"/>
              </w:rPr>
            </w:pPr>
            <w:r>
              <w:rPr>
                <w:rFonts w:ascii="Arial" w:cs="Arial" w:eastAsia="Arial" w:hAnsi="Arial"/>
                <w:sz w:val="14"/>
                <w:szCs w:val="14"/>
                <w:color w:val="auto"/>
              </w:rPr>
              <w:t>2023</w:t>
            </w:r>
          </w:p>
        </w:tc>
        <w:tc>
          <w:tcPr>
            <w:tcW w:w="760" w:type="dxa"/>
            <w:vAlign w:val="bottom"/>
            <w:tcBorders>
              <w:bottom w:val="single" w:sz="8" w:color="auto"/>
            </w:tcBorders>
            <w:gridSpan w:val="6"/>
          </w:tcPr>
          <w:p>
            <w:pPr>
              <w:jc w:val="right"/>
              <w:ind w:right="688"/>
              <w:spacing w:after="0"/>
              <w:rPr>
                <w:sz w:val="20"/>
                <w:szCs w:val="20"/>
                <w:color w:val="auto"/>
              </w:rPr>
            </w:pPr>
            <w:r>
              <w:rPr>
                <w:rFonts w:ascii="Arial" w:cs="Arial" w:eastAsia="Arial" w:hAnsi="Arial"/>
                <w:sz w:val="14"/>
                <w:szCs w:val="14"/>
                <w:color w:val="auto"/>
              </w:rPr>
              <w:t>1,648</w:t>
            </w:r>
          </w:p>
        </w:tc>
        <w:tc>
          <w:tcPr>
            <w:tcW w:w="1520" w:type="dxa"/>
            <w:vAlign w:val="bottom"/>
            <w:tcBorders>
              <w:bottom w:val="single" w:sz="8" w:color="CCEEFF"/>
            </w:tcBorders>
            <w:gridSpan w:val="7"/>
          </w:tcPr>
          <w:p>
            <w:pPr>
              <w:jc w:val="right"/>
              <w:ind w:right="1520"/>
              <w:spacing w:after="0"/>
              <w:rPr>
                <w:sz w:val="20"/>
                <w:szCs w:val="20"/>
                <w:color w:val="auto"/>
              </w:rPr>
            </w:pPr>
            <w:r>
              <w:rPr>
                <w:rFonts w:ascii="Arial" w:cs="Arial" w:eastAsia="Arial" w:hAnsi="Arial"/>
                <w:sz w:val="14"/>
                <w:szCs w:val="14"/>
                <w:color w:val="auto"/>
              </w:rPr>
              <w:t>1,035</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53,352</w:t>
            </w:r>
          </w:p>
        </w:tc>
        <w:tc>
          <w:tcPr>
            <w:tcW w:w="0" w:type="dxa"/>
            <w:vAlign w:val="bottom"/>
          </w:tcPr>
          <w:p>
            <w:pPr>
              <w:spacing w:after="0"/>
              <w:rPr>
                <w:sz w:val="1"/>
                <w:szCs w:val="1"/>
                <w:color w:val="auto"/>
              </w:rPr>
            </w:pPr>
          </w:p>
        </w:tc>
      </w:tr>
      <w:tr>
        <w:trPr>
          <w:trHeight w:val="200"/>
        </w:trPr>
        <w:tc>
          <w:tcPr>
            <w:tcW w:w="7900" w:type="dxa"/>
            <w:vAlign w:val="bottom"/>
            <w:gridSpan w:val="60"/>
            <w:shd w:val="clear" w:color="auto" w:fill="CCEEFF"/>
          </w:tcPr>
          <w:p>
            <w:pPr>
              <w:spacing w:after="0"/>
              <w:rPr>
                <w:sz w:val="20"/>
                <w:szCs w:val="20"/>
                <w:color w:val="auto"/>
              </w:rPr>
            </w:pPr>
            <w:r>
              <w:rPr>
                <w:rFonts w:ascii="Arial" w:cs="Arial" w:eastAsia="Arial" w:hAnsi="Arial"/>
                <w:sz w:val="14"/>
                <w:szCs w:val="14"/>
                <w:color w:val="auto"/>
              </w:rPr>
              <w:t>Total</w:t>
            </w:r>
          </w:p>
        </w:tc>
        <w:tc>
          <w:tcPr>
            <w:tcW w:w="320" w:type="dxa"/>
            <w:vAlign w:val="bottom"/>
            <w:gridSpan w:val="4"/>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20" w:type="dxa"/>
            <w:vAlign w:val="bottom"/>
            <w:gridSpan w:val="13"/>
            <w:shd w:val="clear" w:color="auto" w:fill="CCEEFF"/>
          </w:tcPr>
          <w:p>
            <w:pPr>
              <w:jc w:val="right"/>
              <w:ind w:right="2450"/>
              <w:spacing w:after="0"/>
              <w:rPr>
                <w:sz w:val="20"/>
                <w:szCs w:val="20"/>
                <w:color w:val="auto"/>
              </w:rPr>
            </w:pPr>
            <w:r>
              <w:rPr>
                <w:rFonts w:ascii="Arial" w:cs="Arial" w:eastAsia="Arial" w:hAnsi="Arial"/>
                <w:sz w:val="14"/>
                <w:szCs w:val="14"/>
                <w:color w:val="auto"/>
              </w:rPr>
              <w:t>12,401</w:t>
            </w:r>
          </w:p>
        </w:tc>
        <w:tc>
          <w:tcPr>
            <w:tcW w:w="0" w:type="dxa"/>
            <w:vAlign w:val="bottom"/>
          </w:tcPr>
          <w:p>
            <w:pPr>
              <w:spacing w:after="0"/>
              <w:rPr>
                <w:sz w:val="1"/>
                <w:szCs w:val="1"/>
                <w:color w:val="auto"/>
              </w:rPr>
            </w:pPr>
          </w:p>
        </w:tc>
      </w:tr>
      <w:tr>
        <w:trPr>
          <w:trHeight w:val="316"/>
        </w:trPr>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0" w:type="dxa"/>
            <w:vAlign w:val="bottom"/>
            <w:gridSpan w:val="35"/>
          </w:tcPr>
          <w:p>
            <w:pPr>
              <w:jc w:val="right"/>
              <w:ind w:right="108"/>
              <w:spacing w:after="0"/>
              <w:rPr>
                <w:sz w:val="20"/>
                <w:szCs w:val="20"/>
                <w:color w:val="auto"/>
              </w:rPr>
            </w:pPr>
            <w:r>
              <w:rPr>
                <w:rFonts w:ascii="Arial" w:cs="Arial" w:eastAsia="Arial" w:hAnsi="Arial"/>
                <w:sz w:val="14"/>
                <w:szCs w:val="14"/>
                <w:color w:val="auto"/>
              </w:rPr>
              <w:t>Cumulative Paid Claims and Allocated LAE, Net of Reinsurance</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980" w:type="dxa"/>
            <w:vAlign w:val="bottom"/>
            <w:gridSpan w:val="4"/>
          </w:tcPr>
          <w:p>
            <w:pPr>
              <w:jc w:val="center"/>
              <w:ind w:right="60"/>
              <w:spacing w:after="0"/>
              <w:rPr>
                <w:sz w:val="20"/>
                <w:szCs w:val="20"/>
                <w:color w:val="auto"/>
              </w:rPr>
            </w:pPr>
            <w:r>
              <w:rPr>
                <w:rFonts w:ascii="Arial" w:cs="Arial" w:eastAsia="Arial" w:hAnsi="Arial"/>
                <w:sz w:val="14"/>
                <w:szCs w:val="14"/>
                <w:color w:val="auto"/>
              </w:rPr>
              <w:t>Accident</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500" w:type="dxa"/>
            <w:vAlign w:val="bottom"/>
            <w:tcBorders>
              <w:bottom w:val="single" w:sz="8" w:color="auto"/>
            </w:tcBorders>
            <w:gridSpan w:val="45"/>
          </w:tcPr>
          <w:p>
            <w:pPr>
              <w:ind w:left="420"/>
              <w:spacing w:after="0"/>
              <w:rPr>
                <w:sz w:val="20"/>
                <w:szCs w:val="20"/>
                <w:color w:val="auto"/>
              </w:rPr>
            </w:pPr>
            <w:r>
              <w:rPr>
                <w:rFonts w:ascii="Arial" w:cs="Arial" w:eastAsia="Arial" w:hAnsi="Arial"/>
                <w:sz w:val="14"/>
                <w:szCs w:val="14"/>
                <w:color w:val="auto"/>
              </w:rPr>
              <w:t>For the Years Ended (2014–2022 is Supplementary Information and Unaudited)</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4"/>
              </w:rPr>
              <w:t>Year</w:t>
            </w:r>
          </w:p>
        </w:tc>
        <w:tc>
          <w:tcPr>
            <w:tcW w:w="80" w:type="dxa"/>
            <w:vAlign w:val="bottom"/>
            <w:tcBorders>
              <w:bottom w:val="single" w:sz="8" w:color="CCEEFF"/>
            </w:tcBorders>
            <w:gridSpan w:val="3"/>
          </w:tcPr>
          <w:p>
            <w:pPr>
              <w:spacing w:after="0"/>
              <w:rPr>
                <w:sz w:val="17"/>
                <w:szCs w:val="17"/>
                <w:color w:val="auto"/>
              </w:rPr>
            </w:pPr>
          </w:p>
        </w:tc>
        <w:tc>
          <w:tcPr>
            <w:tcW w:w="68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gridSpan w:val="3"/>
          </w:tcPr>
          <w:p>
            <w:pPr>
              <w:spacing w:after="0"/>
              <w:rPr>
                <w:sz w:val="17"/>
                <w:szCs w:val="17"/>
                <w:color w:val="auto"/>
              </w:rPr>
            </w:pPr>
          </w:p>
        </w:tc>
        <w:tc>
          <w:tcPr>
            <w:tcW w:w="680" w:type="dxa"/>
            <w:vAlign w:val="bottom"/>
            <w:tcBorders>
              <w:bottom w:val="single" w:sz="8" w:color="auto"/>
            </w:tcBorders>
            <w:gridSpan w:val="2"/>
          </w:tcPr>
          <w:p>
            <w:pPr>
              <w:jc w:val="right"/>
              <w:ind w:right="608"/>
              <w:spacing w:after="0"/>
              <w:rPr>
                <w:sz w:val="20"/>
                <w:szCs w:val="20"/>
                <w:color w:val="auto"/>
              </w:rPr>
            </w:pPr>
            <w:r>
              <w:rPr>
                <w:rFonts w:ascii="Arial" w:cs="Arial" w:eastAsia="Arial" w:hAnsi="Arial"/>
                <w:sz w:val="14"/>
                <w:szCs w:val="14"/>
                <w:color w:val="auto"/>
              </w:rPr>
              <w:t>2015</w:t>
            </w:r>
          </w:p>
        </w:tc>
        <w:tc>
          <w:tcPr>
            <w:tcW w:w="80" w:type="dxa"/>
            <w:vAlign w:val="bottom"/>
            <w:tcBorders>
              <w:bottom w:val="single" w:sz="8" w:color="CCEEFF"/>
            </w:tcBorders>
            <w:gridSpan w:val="2"/>
          </w:tcPr>
          <w:p>
            <w:pPr>
              <w:spacing w:after="0"/>
              <w:rPr>
                <w:sz w:val="17"/>
                <w:szCs w:val="17"/>
                <w:color w:val="auto"/>
              </w:rPr>
            </w:pPr>
          </w:p>
        </w:tc>
        <w:tc>
          <w:tcPr>
            <w:tcW w:w="680" w:type="dxa"/>
            <w:vAlign w:val="bottom"/>
            <w:tcBorders>
              <w:bottom w:val="single" w:sz="8" w:color="auto"/>
            </w:tcBorders>
            <w:gridSpan w:val="3"/>
          </w:tcPr>
          <w:p>
            <w:pPr>
              <w:jc w:val="right"/>
              <w:ind w:right="608"/>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gridSpan w:val="2"/>
          </w:tcPr>
          <w:p>
            <w:pPr>
              <w:spacing w:after="0"/>
              <w:rPr>
                <w:sz w:val="17"/>
                <w:szCs w:val="17"/>
                <w:color w:val="auto"/>
              </w:rPr>
            </w:pPr>
          </w:p>
        </w:tc>
        <w:tc>
          <w:tcPr>
            <w:tcW w:w="68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color w:val="auto"/>
              </w:rPr>
              <w:t>2017</w:t>
            </w:r>
          </w:p>
        </w:tc>
        <w:tc>
          <w:tcPr>
            <w:tcW w:w="80" w:type="dxa"/>
            <w:vAlign w:val="bottom"/>
            <w:tcBorders>
              <w:bottom w:val="single" w:sz="8" w:color="CCEEFF"/>
            </w:tcBorders>
            <w:gridSpan w:val="2"/>
          </w:tcPr>
          <w:p>
            <w:pPr>
              <w:spacing w:after="0"/>
              <w:rPr>
                <w:sz w:val="17"/>
                <w:szCs w:val="17"/>
                <w:color w:val="auto"/>
              </w:rPr>
            </w:pPr>
          </w:p>
        </w:tc>
        <w:tc>
          <w:tcPr>
            <w:tcW w:w="680" w:type="dxa"/>
            <w:vAlign w:val="bottom"/>
            <w:tcBorders>
              <w:bottom w:val="single" w:sz="8" w:color="auto"/>
            </w:tcBorders>
            <w:gridSpan w:val="5"/>
          </w:tcPr>
          <w:p>
            <w:pPr>
              <w:jc w:val="right"/>
              <w:ind w:right="608"/>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gridSpan w:val="2"/>
          </w:tcPr>
          <w:p>
            <w:pPr>
              <w:spacing w:after="0"/>
              <w:rPr>
                <w:sz w:val="17"/>
                <w:szCs w:val="17"/>
                <w:color w:val="auto"/>
              </w:rPr>
            </w:pPr>
          </w:p>
        </w:tc>
        <w:tc>
          <w:tcPr>
            <w:tcW w:w="68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gridSpan w:val="2"/>
          </w:tcPr>
          <w:p>
            <w:pPr>
              <w:spacing w:after="0"/>
              <w:rPr>
                <w:sz w:val="17"/>
                <w:szCs w:val="17"/>
                <w:color w:val="auto"/>
              </w:rPr>
            </w:pPr>
          </w:p>
        </w:tc>
        <w:tc>
          <w:tcPr>
            <w:tcW w:w="680" w:type="dxa"/>
            <w:vAlign w:val="bottom"/>
            <w:tcBorders>
              <w:bottom w:val="single" w:sz="8" w:color="auto"/>
            </w:tcBorders>
            <w:gridSpan w:val="6"/>
          </w:tcPr>
          <w:p>
            <w:pPr>
              <w:jc w:val="right"/>
              <w:ind w:right="108"/>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gridSpan w:val="2"/>
          </w:tcPr>
          <w:p>
            <w:pPr>
              <w:spacing w:after="0"/>
              <w:rPr>
                <w:sz w:val="17"/>
                <w:szCs w:val="17"/>
                <w:color w:val="auto"/>
              </w:rPr>
            </w:pPr>
          </w:p>
        </w:tc>
        <w:tc>
          <w:tcPr>
            <w:tcW w:w="680" w:type="dxa"/>
            <w:vAlign w:val="bottom"/>
            <w:tcBorders>
              <w:bottom w:val="single" w:sz="8" w:color="auto"/>
            </w:tcBorders>
            <w:gridSpan w:val="6"/>
          </w:tcPr>
          <w:p>
            <w:pPr>
              <w:jc w:val="right"/>
              <w:ind w:right="608"/>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gridSpan w:val="2"/>
          </w:tcPr>
          <w:p>
            <w:pPr>
              <w:spacing w:after="0"/>
              <w:rPr>
                <w:sz w:val="17"/>
                <w:szCs w:val="17"/>
                <w:color w:val="auto"/>
              </w:rPr>
            </w:pPr>
          </w:p>
        </w:tc>
        <w:tc>
          <w:tcPr>
            <w:tcW w:w="700" w:type="dxa"/>
            <w:vAlign w:val="bottom"/>
            <w:tcBorders>
              <w:bottom w:val="single" w:sz="8" w:color="auto"/>
            </w:tcBorders>
            <w:gridSpan w:val="5"/>
          </w:tcPr>
          <w:p>
            <w:pPr>
              <w:jc w:val="right"/>
              <w:ind w:right="128"/>
              <w:spacing w:after="0"/>
              <w:rPr>
                <w:sz w:val="20"/>
                <w:szCs w:val="20"/>
                <w:color w:val="auto"/>
              </w:rPr>
            </w:pPr>
            <w:r>
              <w:rPr>
                <w:rFonts w:ascii="Arial" w:cs="Arial" w:eastAsia="Arial" w:hAnsi="Arial"/>
                <w:sz w:val="14"/>
                <w:szCs w:val="14"/>
                <w:color w:val="auto"/>
              </w:rPr>
              <w:t>2022</w:t>
            </w:r>
          </w:p>
        </w:tc>
        <w:tc>
          <w:tcPr>
            <w:tcW w:w="80" w:type="dxa"/>
            <w:vAlign w:val="bottom"/>
            <w:tcBorders>
              <w:bottom w:val="single" w:sz="8" w:color="CCEEFF"/>
            </w:tcBorders>
            <w:gridSpan w:val="2"/>
          </w:tcPr>
          <w:p>
            <w:pPr>
              <w:spacing w:after="0"/>
              <w:rPr>
                <w:sz w:val="17"/>
                <w:szCs w:val="17"/>
                <w:color w:val="auto"/>
              </w:rPr>
            </w:pPr>
          </w:p>
        </w:tc>
        <w:tc>
          <w:tcPr>
            <w:tcW w:w="740" w:type="dxa"/>
            <w:vAlign w:val="bottom"/>
            <w:tcBorders>
              <w:bottom w:val="single" w:sz="8" w:color="auto"/>
            </w:tcBorders>
            <w:gridSpan w:val="5"/>
          </w:tcPr>
          <w:p>
            <w:pPr>
              <w:jc w:val="right"/>
              <w:ind w:right="128"/>
              <w:spacing w:after="0"/>
              <w:rPr>
                <w:sz w:val="20"/>
                <w:szCs w:val="20"/>
                <w:color w:val="auto"/>
              </w:rPr>
            </w:pPr>
            <w:r>
              <w:rPr>
                <w:rFonts w:ascii="Arial" w:cs="Arial" w:eastAsia="Arial" w:hAnsi="Arial"/>
                <w:sz w:val="14"/>
                <w:szCs w:val="14"/>
                <w:color w:val="auto"/>
              </w:rPr>
              <w:t>2023</w:t>
            </w:r>
          </w:p>
        </w:tc>
        <w:tc>
          <w:tcPr>
            <w:tcW w:w="80" w:type="dxa"/>
            <w:vAlign w:val="bottom"/>
            <w:tcBorders>
              <w:bottom w:val="single" w:sz="8" w:color="CCEEFF"/>
            </w:tcBorders>
            <w:gridSpan w:val="3"/>
          </w:tcPr>
          <w:p>
            <w:pPr>
              <w:spacing w:after="0"/>
              <w:rPr>
                <w:sz w:val="17"/>
                <w:szCs w:val="17"/>
                <w:color w:val="auto"/>
              </w:rPr>
            </w:pPr>
          </w:p>
        </w:tc>
        <w:tc>
          <w:tcPr>
            <w:tcW w:w="1460" w:type="dxa"/>
            <w:vAlign w:val="bottom"/>
            <w:tcBorders>
              <w:bottom w:val="single" w:sz="8" w:color="auto"/>
            </w:tcBorders>
            <w:gridSpan w:val="5"/>
          </w:tcPr>
          <w:p>
            <w:pPr>
              <w:spacing w:after="0"/>
              <w:rPr>
                <w:sz w:val="20"/>
                <w:szCs w:val="20"/>
                <w:color w:val="auto"/>
              </w:rPr>
            </w:pPr>
            <w:r>
              <w:rPr>
                <w:rFonts w:ascii="Arial" w:cs="Arial" w:eastAsia="Arial" w:hAnsi="Arial"/>
                <w:sz w:val="14"/>
                <w:szCs w:val="14"/>
                <w:color w:val="auto"/>
              </w:rPr>
              <w:t>% (a)</w:t>
            </w:r>
          </w:p>
        </w:tc>
        <w:tc>
          <w:tcPr>
            <w:tcW w:w="980" w:type="dxa"/>
            <w:vAlign w:val="bottom"/>
            <w:tcBorders>
              <w:bottom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412</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680</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755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801</w:t>
            </w:r>
          </w:p>
        </w:tc>
        <w:tc>
          <w:tcPr>
            <w:tcW w:w="20" w:type="dxa"/>
            <w:vAlign w:val="bottom"/>
            <w:shd w:val="clear" w:color="auto" w:fill="CCEEFF"/>
          </w:tcPr>
          <w:p>
            <w:pPr>
              <w:spacing w:after="0"/>
              <w:rPr>
                <w:sz w:val="17"/>
                <w:szCs w:val="17"/>
                <w:color w:val="auto"/>
              </w:rPr>
            </w:pPr>
          </w:p>
        </w:tc>
        <w:tc>
          <w:tcPr>
            <w:tcW w:w="2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829</w:t>
            </w:r>
          </w:p>
        </w:tc>
        <w:tc>
          <w:tcPr>
            <w:tcW w:w="28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862</w:t>
            </w:r>
          </w:p>
        </w:tc>
        <w:tc>
          <w:tcPr>
            <w:tcW w:w="340" w:type="dxa"/>
            <w:vAlign w:val="bottom"/>
            <w:gridSpan w:val="5"/>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8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881</w:t>
            </w:r>
          </w:p>
        </w:tc>
        <w:tc>
          <w:tcPr>
            <w:tcW w:w="320" w:type="dxa"/>
            <w:vAlign w:val="bottom"/>
            <w:gridSpan w:val="4"/>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0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899</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center"/>
              <w:ind w:left="688"/>
              <w:spacing w:after="0"/>
              <w:rPr>
                <w:sz w:val="20"/>
                <w:szCs w:val="20"/>
                <w:color w:val="auto"/>
              </w:rPr>
            </w:pPr>
            <w:r>
              <w:rPr>
                <w:rFonts w:ascii="Arial" w:cs="Arial" w:eastAsia="Arial" w:hAnsi="Arial"/>
                <w:sz w:val="14"/>
                <w:szCs w:val="14"/>
                <w:color w:val="auto"/>
              </w:rPr>
              <w:t>94.5 %</w:t>
            </w: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920" w:type="dxa"/>
            <w:vAlign w:val="bottom"/>
            <w:gridSpan w:val="12"/>
          </w:tcPr>
          <w:p>
            <w:pPr>
              <w:jc w:val="center"/>
              <w:ind w:right="928"/>
              <w:spacing w:after="0"/>
              <w:rPr>
                <w:sz w:val="20"/>
                <w:szCs w:val="20"/>
                <w:color w:val="auto"/>
              </w:rPr>
            </w:pPr>
            <w:r>
              <w:rPr>
                <w:rFonts w:ascii="Arial" w:cs="Arial" w:eastAsia="Arial" w:hAnsi="Arial"/>
                <w:sz w:val="14"/>
                <w:szCs w:val="14"/>
                <w:color w:val="auto"/>
              </w:rPr>
              <w:t>2015</w:t>
            </w:r>
          </w:p>
        </w:tc>
        <w:tc>
          <w:tcPr>
            <w:tcW w:w="760" w:type="dxa"/>
            <w:vAlign w:val="bottom"/>
            <w:gridSpan w:val="5"/>
          </w:tcPr>
          <w:p>
            <w:pPr>
              <w:jc w:val="right"/>
              <w:ind w:right="300"/>
              <w:spacing w:after="0"/>
              <w:rPr>
                <w:sz w:val="20"/>
                <w:szCs w:val="20"/>
                <w:color w:val="auto"/>
              </w:rPr>
            </w:pPr>
            <w:r>
              <w:rPr>
                <w:rFonts w:ascii="Arial" w:cs="Arial" w:eastAsia="Arial" w:hAnsi="Arial"/>
                <w:sz w:val="14"/>
                <w:szCs w:val="14"/>
                <w:color w:val="auto"/>
              </w:rPr>
              <w:t>178</w:t>
            </w:r>
          </w:p>
        </w:tc>
        <w:tc>
          <w:tcPr>
            <w:tcW w:w="780" w:type="dxa"/>
            <w:vAlign w:val="bottom"/>
            <w:gridSpan w:val="6"/>
          </w:tcPr>
          <w:p>
            <w:pPr>
              <w:jc w:val="right"/>
              <w:ind w:right="300"/>
              <w:spacing w:after="0"/>
              <w:rPr>
                <w:sz w:val="20"/>
                <w:szCs w:val="20"/>
                <w:color w:val="auto"/>
              </w:rPr>
            </w:pPr>
            <w:r>
              <w:rPr>
                <w:rFonts w:ascii="Arial" w:cs="Arial" w:eastAsia="Arial" w:hAnsi="Arial"/>
                <w:sz w:val="14"/>
                <w:szCs w:val="14"/>
                <w:color w:val="auto"/>
              </w:rPr>
              <w:t>411</w:t>
            </w:r>
          </w:p>
        </w:tc>
        <w:tc>
          <w:tcPr>
            <w:tcW w:w="780" w:type="dxa"/>
            <w:vAlign w:val="bottom"/>
            <w:gridSpan w:val="6"/>
          </w:tcPr>
          <w:p>
            <w:pPr>
              <w:jc w:val="right"/>
              <w:ind w:right="320"/>
              <w:spacing w:after="0"/>
              <w:rPr>
                <w:sz w:val="20"/>
                <w:szCs w:val="20"/>
                <w:color w:val="auto"/>
              </w:rPr>
            </w:pPr>
            <w:r>
              <w:rPr>
                <w:rFonts w:ascii="Arial" w:cs="Arial" w:eastAsia="Arial" w:hAnsi="Arial"/>
                <w:sz w:val="14"/>
                <w:szCs w:val="14"/>
                <w:color w:val="auto"/>
              </w:rPr>
              <w:t>577</w:t>
            </w:r>
          </w:p>
        </w:tc>
        <w:tc>
          <w:tcPr>
            <w:tcW w:w="780" w:type="dxa"/>
            <w:vAlign w:val="bottom"/>
            <w:gridSpan w:val="6"/>
          </w:tcPr>
          <w:p>
            <w:pPr>
              <w:ind w:left="220"/>
              <w:spacing w:after="0"/>
              <w:rPr>
                <w:sz w:val="20"/>
                <w:szCs w:val="20"/>
                <w:color w:val="auto"/>
              </w:rPr>
            </w:pPr>
            <w:r>
              <w:rPr>
                <w:rFonts w:ascii="Arial" w:cs="Arial" w:eastAsia="Arial" w:hAnsi="Arial"/>
                <w:sz w:val="14"/>
                <w:szCs w:val="14"/>
                <w:color w:val="auto"/>
              </w:rPr>
              <w:t>702</w:t>
            </w:r>
          </w:p>
        </w:tc>
        <w:tc>
          <w:tcPr>
            <w:tcW w:w="820" w:type="dxa"/>
            <w:vAlign w:val="bottom"/>
            <w:gridSpan w:val="6"/>
          </w:tcPr>
          <w:p>
            <w:pPr>
              <w:jc w:val="right"/>
              <w:ind w:right="360"/>
              <w:spacing w:after="0"/>
              <w:rPr>
                <w:sz w:val="20"/>
                <w:szCs w:val="20"/>
                <w:color w:val="auto"/>
              </w:rPr>
            </w:pPr>
            <w:r>
              <w:rPr>
                <w:rFonts w:ascii="Arial" w:cs="Arial" w:eastAsia="Arial" w:hAnsi="Arial"/>
                <w:sz w:val="14"/>
                <w:szCs w:val="14"/>
                <w:color w:val="auto"/>
              </w:rPr>
              <w:t>792</w:t>
            </w:r>
          </w:p>
        </w:tc>
        <w:tc>
          <w:tcPr>
            <w:tcW w:w="740" w:type="dxa"/>
            <w:vAlign w:val="bottom"/>
            <w:gridSpan w:val="8"/>
          </w:tcPr>
          <w:p>
            <w:pPr>
              <w:jc w:val="right"/>
              <w:ind w:right="320"/>
              <w:spacing w:after="0"/>
              <w:rPr>
                <w:sz w:val="20"/>
                <w:szCs w:val="20"/>
                <w:color w:val="auto"/>
              </w:rPr>
            </w:pPr>
            <w:r>
              <w:rPr>
                <w:rFonts w:ascii="Arial" w:cs="Arial" w:eastAsia="Arial" w:hAnsi="Arial"/>
                <w:sz w:val="14"/>
                <w:szCs w:val="14"/>
                <w:color w:val="auto"/>
              </w:rPr>
              <w:t>844</w:t>
            </w:r>
          </w:p>
        </w:tc>
        <w:tc>
          <w:tcPr>
            <w:tcW w:w="840" w:type="dxa"/>
            <w:vAlign w:val="bottom"/>
            <w:gridSpan w:val="8"/>
          </w:tcPr>
          <w:p>
            <w:pPr>
              <w:jc w:val="right"/>
              <w:ind w:right="380"/>
              <w:spacing w:after="0"/>
              <w:rPr>
                <w:sz w:val="20"/>
                <w:szCs w:val="20"/>
                <w:color w:val="auto"/>
              </w:rPr>
            </w:pPr>
            <w:r>
              <w:rPr>
                <w:rFonts w:ascii="Arial" w:cs="Arial" w:eastAsia="Arial" w:hAnsi="Arial"/>
                <w:sz w:val="14"/>
                <w:szCs w:val="14"/>
                <w:color w:val="auto"/>
              </w:rPr>
              <w:t>888</w:t>
            </w:r>
          </w:p>
        </w:tc>
        <w:tc>
          <w:tcPr>
            <w:tcW w:w="800" w:type="dxa"/>
            <w:vAlign w:val="bottom"/>
            <w:gridSpan w:val="7"/>
          </w:tcPr>
          <w:p>
            <w:pPr>
              <w:jc w:val="right"/>
              <w:ind w:right="328"/>
              <w:spacing w:after="0"/>
              <w:rPr>
                <w:sz w:val="20"/>
                <w:szCs w:val="20"/>
                <w:color w:val="auto"/>
              </w:rPr>
            </w:pPr>
            <w:r>
              <w:rPr>
                <w:rFonts w:ascii="Arial" w:cs="Arial" w:eastAsia="Arial" w:hAnsi="Arial"/>
                <w:sz w:val="14"/>
                <w:szCs w:val="14"/>
                <w:color w:val="auto"/>
              </w:rPr>
              <w:t>913</w:t>
            </w:r>
          </w:p>
        </w:tc>
        <w:tc>
          <w:tcPr>
            <w:tcW w:w="780" w:type="dxa"/>
            <w:vAlign w:val="bottom"/>
            <w:gridSpan w:val="8"/>
          </w:tcPr>
          <w:p>
            <w:pPr>
              <w:jc w:val="right"/>
              <w:ind w:right="293"/>
              <w:spacing w:after="0"/>
              <w:rPr>
                <w:sz w:val="20"/>
                <w:szCs w:val="20"/>
                <w:color w:val="auto"/>
              </w:rPr>
            </w:pPr>
            <w:r>
              <w:rPr>
                <w:rFonts w:ascii="Arial" w:cs="Arial" w:eastAsia="Arial" w:hAnsi="Arial"/>
                <w:sz w:val="14"/>
                <w:szCs w:val="14"/>
                <w:color w:val="auto"/>
              </w:rPr>
              <w:t>934</w:t>
            </w:r>
          </w:p>
        </w:tc>
        <w:tc>
          <w:tcPr>
            <w:tcW w:w="2240" w:type="dxa"/>
            <w:vAlign w:val="bottom"/>
            <w:gridSpan w:val="5"/>
          </w:tcPr>
          <w:p>
            <w:pPr>
              <w:jc w:val="center"/>
              <w:ind w:right="150"/>
              <w:spacing w:after="0"/>
              <w:rPr>
                <w:sz w:val="20"/>
                <w:szCs w:val="20"/>
                <w:color w:val="auto"/>
              </w:rPr>
            </w:pPr>
            <w:r>
              <w:rPr>
                <w:rFonts w:ascii="Arial" w:cs="Arial" w:eastAsia="Arial" w:hAnsi="Arial"/>
                <w:sz w:val="14"/>
                <w:szCs w:val="14"/>
                <w:color w:val="auto"/>
              </w:rPr>
              <w:t>93.2 %</w:t>
            </w:r>
          </w:p>
        </w:tc>
        <w:tc>
          <w:tcPr>
            <w:tcW w:w="0" w:type="dxa"/>
            <w:vAlign w:val="bottom"/>
          </w:tcPr>
          <w:p>
            <w:pPr>
              <w:spacing w:after="0"/>
              <w:rPr>
                <w:sz w:val="1"/>
                <w:szCs w:val="1"/>
                <w:color w:val="auto"/>
              </w:rPr>
            </w:pPr>
          </w:p>
        </w:tc>
      </w:tr>
      <w:tr>
        <w:trPr>
          <w:trHeight w:val="207"/>
        </w:trPr>
        <w:tc>
          <w:tcPr>
            <w:tcW w:w="2680" w:type="dxa"/>
            <w:vAlign w:val="bottom"/>
            <w:gridSpan w:val="17"/>
            <w:shd w:val="clear" w:color="auto" w:fill="CCEEFF"/>
          </w:tcPr>
          <w:p>
            <w:pPr>
              <w:jc w:val="center"/>
              <w:ind w:right="1760"/>
              <w:spacing w:after="0"/>
              <w:rPr>
                <w:sz w:val="20"/>
                <w:szCs w:val="20"/>
                <w:color w:val="auto"/>
              </w:rPr>
            </w:pPr>
            <w:r>
              <w:rPr>
                <w:rFonts w:ascii="Arial" w:cs="Arial" w:eastAsia="Arial" w:hAnsi="Arial"/>
                <w:sz w:val="14"/>
                <w:szCs w:val="14"/>
                <w:color w:val="auto"/>
              </w:rPr>
              <w:t>2016</w:t>
            </w:r>
          </w:p>
        </w:tc>
        <w:tc>
          <w:tcPr>
            <w:tcW w:w="780" w:type="dxa"/>
            <w:vAlign w:val="bottom"/>
            <w:gridSpan w:val="6"/>
            <w:shd w:val="clear" w:color="auto" w:fill="CCEEFF"/>
          </w:tcPr>
          <w:p>
            <w:pPr>
              <w:jc w:val="right"/>
              <w:ind w:right="300"/>
              <w:spacing w:after="0"/>
              <w:rPr>
                <w:sz w:val="20"/>
                <w:szCs w:val="20"/>
                <w:color w:val="auto"/>
              </w:rPr>
            </w:pPr>
            <w:r>
              <w:rPr>
                <w:rFonts w:ascii="Arial" w:cs="Arial" w:eastAsia="Arial" w:hAnsi="Arial"/>
                <w:sz w:val="14"/>
                <w:szCs w:val="14"/>
                <w:color w:val="auto"/>
              </w:rPr>
              <w:t>186</w:t>
            </w:r>
          </w:p>
        </w:tc>
        <w:tc>
          <w:tcPr>
            <w:tcW w:w="780" w:type="dxa"/>
            <w:vAlign w:val="bottom"/>
            <w:gridSpan w:val="6"/>
            <w:shd w:val="clear" w:color="auto" w:fill="CCEEFF"/>
          </w:tcPr>
          <w:p>
            <w:pPr>
              <w:jc w:val="right"/>
              <w:ind w:right="320"/>
              <w:spacing w:after="0"/>
              <w:rPr>
                <w:sz w:val="20"/>
                <w:szCs w:val="20"/>
                <w:color w:val="auto"/>
              </w:rPr>
            </w:pPr>
            <w:r>
              <w:rPr>
                <w:rFonts w:ascii="Arial" w:cs="Arial" w:eastAsia="Arial" w:hAnsi="Arial"/>
                <w:sz w:val="14"/>
                <w:szCs w:val="14"/>
                <w:color w:val="auto"/>
              </w:rPr>
              <w:t>418</w:t>
            </w:r>
          </w:p>
        </w:tc>
        <w:tc>
          <w:tcPr>
            <w:tcW w:w="780" w:type="dxa"/>
            <w:vAlign w:val="bottom"/>
            <w:gridSpan w:val="6"/>
            <w:shd w:val="clear" w:color="auto" w:fill="CCEEFF"/>
          </w:tcPr>
          <w:p>
            <w:pPr>
              <w:ind w:left="220"/>
              <w:spacing w:after="0"/>
              <w:rPr>
                <w:sz w:val="20"/>
                <w:szCs w:val="20"/>
                <w:color w:val="auto"/>
              </w:rPr>
            </w:pPr>
            <w:r>
              <w:rPr>
                <w:rFonts w:ascii="Arial" w:cs="Arial" w:eastAsia="Arial" w:hAnsi="Arial"/>
                <w:sz w:val="14"/>
                <w:szCs w:val="14"/>
                <w:color w:val="auto"/>
              </w:rPr>
              <w:t>584</w:t>
            </w:r>
          </w:p>
        </w:tc>
        <w:tc>
          <w:tcPr>
            <w:tcW w:w="820" w:type="dxa"/>
            <w:vAlign w:val="bottom"/>
            <w:gridSpan w:val="6"/>
            <w:shd w:val="clear" w:color="auto" w:fill="CCEEFF"/>
          </w:tcPr>
          <w:p>
            <w:pPr>
              <w:jc w:val="right"/>
              <w:ind w:right="360"/>
              <w:spacing w:after="0"/>
              <w:rPr>
                <w:sz w:val="20"/>
                <w:szCs w:val="20"/>
                <w:color w:val="auto"/>
              </w:rPr>
            </w:pPr>
            <w:r>
              <w:rPr>
                <w:rFonts w:ascii="Arial" w:cs="Arial" w:eastAsia="Arial" w:hAnsi="Arial"/>
                <w:sz w:val="14"/>
                <w:szCs w:val="14"/>
                <w:color w:val="auto"/>
              </w:rPr>
              <w:t>713</w:t>
            </w:r>
          </w:p>
        </w:tc>
        <w:tc>
          <w:tcPr>
            <w:tcW w:w="740" w:type="dxa"/>
            <w:vAlign w:val="bottom"/>
            <w:gridSpan w:val="8"/>
            <w:shd w:val="clear" w:color="auto" w:fill="CCEEFF"/>
          </w:tcPr>
          <w:p>
            <w:pPr>
              <w:jc w:val="right"/>
              <w:ind w:right="320"/>
              <w:spacing w:after="0"/>
              <w:rPr>
                <w:sz w:val="20"/>
                <w:szCs w:val="20"/>
                <w:color w:val="auto"/>
              </w:rPr>
            </w:pPr>
            <w:r>
              <w:rPr>
                <w:rFonts w:ascii="Arial" w:cs="Arial" w:eastAsia="Arial" w:hAnsi="Arial"/>
                <w:sz w:val="14"/>
                <w:szCs w:val="14"/>
                <w:color w:val="auto"/>
              </w:rPr>
              <w:t>806</w:t>
            </w:r>
          </w:p>
        </w:tc>
        <w:tc>
          <w:tcPr>
            <w:tcW w:w="840" w:type="dxa"/>
            <w:vAlign w:val="bottom"/>
            <w:gridSpan w:val="8"/>
            <w:shd w:val="clear" w:color="auto" w:fill="CCEEFF"/>
          </w:tcPr>
          <w:p>
            <w:pPr>
              <w:jc w:val="right"/>
              <w:ind w:right="380"/>
              <w:spacing w:after="0"/>
              <w:rPr>
                <w:sz w:val="20"/>
                <w:szCs w:val="20"/>
                <w:color w:val="auto"/>
              </w:rPr>
            </w:pPr>
            <w:r>
              <w:rPr>
                <w:rFonts w:ascii="Arial" w:cs="Arial" w:eastAsia="Arial" w:hAnsi="Arial"/>
                <w:sz w:val="14"/>
                <w:szCs w:val="14"/>
                <w:color w:val="auto"/>
              </w:rPr>
              <w:t>870</w:t>
            </w:r>
          </w:p>
        </w:tc>
        <w:tc>
          <w:tcPr>
            <w:tcW w:w="800" w:type="dxa"/>
            <w:vAlign w:val="bottom"/>
            <w:gridSpan w:val="7"/>
            <w:shd w:val="clear" w:color="auto" w:fill="CCEEFF"/>
          </w:tcPr>
          <w:p>
            <w:pPr>
              <w:jc w:val="right"/>
              <w:ind w:right="328"/>
              <w:spacing w:after="0"/>
              <w:rPr>
                <w:sz w:val="20"/>
                <w:szCs w:val="20"/>
                <w:color w:val="auto"/>
              </w:rPr>
            </w:pPr>
            <w:r>
              <w:rPr>
                <w:rFonts w:ascii="Arial" w:cs="Arial" w:eastAsia="Arial" w:hAnsi="Arial"/>
                <w:sz w:val="14"/>
                <w:szCs w:val="14"/>
                <w:color w:val="auto"/>
              </w:rPr>
              <w:t>906</w:t>
            </w:r>
          </w:p>
        </w:tc>
        <w:tc>
          <w:tcPr>
            <w:tcW w:w="780" w:type="dxa"/>
            <w:vAlign w:val="bottom"/>
            <w:gridSpan w:val="8"/>
            <w:shd w:val="clear" w:color="auto" w:fill="CCEEFF"/>
          </w:tcPr>
          <w:p>
            <w:pPr>
              <w:jc w:val="right"/>
              <w:ind w:right="293"/>
              <w:spacing w:after="0"/>
              <w:rPr>
                <w:sz w:val="20"/>
                <w:szCs w:val="20"/>
                <w:color w:val="auto"/>
              </w:rPr>
            </w:pPr>
            <w:r>
              <w:rPr>
                <w:rFonts w:ascii="Arial" w:cs="Arial" w:eastAsia="Arial" w:hAnsi="Arial"/>
                <w:sz w:val="14"/>
                <w:szCs w:val="14"/>
                <w:color w:val="auto"/>
              </w:rPr>
              <w:t>938</w:t>
            </w:r>
          </w:p>
        </w:tc>
        <w:tc>
          <w:tcPr>
            <w:tcW w:w="2240" w:type="dxa"/>
            <w:vAlign w:val="bottom"/>
            <w:gridSpan w:val="5"/>
            <w:shd w:val="clear" w:color="auto" w:fill="CCEEFF"/>
          </w:tcPr>
          <w:p>
            <w:pPr>
              <w:jc w:val="center"/>
              <w:ind w:right="150"/>
              <w:spacing w:after="0"/>
              <w:rPr>
                <w:sz w:val="20"/>
                <w:szCs w:val="20"/>
                <w:color w:val="auto"/>
              </w:rPr>
            </w:pPr>
            <w:r>
              <w:rPr>
                <w:rFonts w:ascii="Arial" w:cs="Arial" w:eastAsia="Arial" w:hAnsi="Arial"/>
                <w:sz w:val="14"/>
                <w:szCs w:val="14"/>
                <w:color w:val="auto"/>
              </w:rPr>
              <w:t>90.5 %</w:t>
            </w:r>
          </w:p>
        </w:tc>
        <w:tc>
          <w:tcPr>
            <w:tcW w:w="0" w:type="dxa"/>
            <w:vAlign w:val="bottom"/>
          </w:tcPr>
          <w:p>
            <w:pPr>
              <w:spacing w:after="0"/>
              <w:rPr>
                <w:sz w:val="1"/>
                <w:szCs w:val="1"/>
                <w:color w:val="auto"/>
              </w:rPr>
            </w:pPr>
          </w:p>
        </w:tc>
      </w:tr>
      <w:tr>
        <w:trPr>
          <w:trHeight w:val="198"/>
        </w:trPr>
        <w:tc>
          <w:tcPr>
            <w:tcW w:w="3460" w:type="dxa"/>
            <w:vAlign w:val="bottom"/>
            <w:gridSpan w:val="23"/>
          </w:tcPr>
          <w:p>
            <w:pPr>
              <w:jc w:val="center"/>
              <w:ind w:right="2540"/>
              <w:spacing w:after="0"/>
              <w:rPr>
                <w:sz w:val="20"/>
                <w:szCs w:val="20"/>
                <w:color w:val="auto"/>
              </w:rPr>
            </w:pPr>
            <w:r>
              <w:rPr>
                <w:rFonts w:ascii="Arial" w:cs="Arial" w:eastAsia="Arial" w:hAnsi="Arial"/>
                <w:sz w:val="14"/>
                <w:szCs w:val="14"/>
                <w:color w:val="auto"/>
              </w:rPr>
              <w:t>2017</w:t>
            </w:r>
          </w:p>
        </w:tc>
        <w:tc>
          <w:tcPr>
            <w:tcW w:w="780" w:type="dxa"/>
            <w:vAlign w:val="bottom"/>
            <w:gridSpan w:val="6"/>
          </w:tcPr>
          <w:p>
            <w:pPr>
              <w:jc w:val="right"/>
              <w:ind w:right="320"/>
              <w:spacing w:after="0"/>
              <w:rPr>
                <w:sz w:val="20"/>
                <w:szCs w:val="20"/>
                <w:color w:val="auto"/>
              </w:rPr>
            </w:pPr>
            <w:r>
              <w:rPr>
                <w:rFonts w:ascii="Arial" w:cs="Arial" w:eastAsia="Arial" w:hAnsi="Arial"/>
                <w:sz w:val="14"/>
                <w:szCs w:val="14"/>
                <w:color w:val="auto"/>
              </w:rPr>
              <w:t>200</w:t>
            </w:r>
          </w:p>
        </w:tc>
        <w:tc>
          <w:tcPr>
            <w:tcW w:w="780" w:type="dxa"/>
            <w:vAlign w:val="bottom"/>
            <w:gridSpan w:val="6"/>
          </w:tcPr>
          <w:p>
            <w:pPr>
              <w:ind w:left="220"/>
              <w:spacing w:after="0"/>
              <w:rPr>
                <w:sz w:val="20"/>
                <w:szCs w:val="20"/>
                <w:color w:val="auto"/>
              </w:rPr>
            </w:pPr>
            <w:r>
              <w:rPr>
                <w:rFonts w:ascii="Arial" w:cs="Arial" w:eastAsia="Arial" w:hAnsi="Arial"/>
                <w:sz w:val="14"/>
                <w:szCs w:val="14"/>
                <w:color w:val="auto"/>
              </w:rPr>
              <w:t>422</w:t>
            </w:r>
          </w:p>
        </w:tc>
        <w:tc>
          <w:tcPr>
            <w:tcW w:w="820" w:type="dxa"/>
            <w:vAlign w:val="bottom"/>
            <w:gridSpan w:val="6"/>
          </w:tcPr>
          <w:p>
            <w:pPr>
              <w:jc w:val="right"/>
              <w:ind w:right="360"/>
              <w:spacing w:after="0"/>
              <w:rPr>
                <w:sz w:val="20"/>
                <w:szCs w:val="20"/>
                <w:color w:val="auto"/>
              </w:rPr>
            </w:pPr>
            <w:r>
              <w:rPr>
                <w:rFonts w:ascii="Arial" w:cs="Arial" w:eastAsia="Arial" w:hAnsi="Arial"/>
                <w:sz w:val="14"/>
                <w:szCs w:val="14"/>
                <w:color w:val="auto"/>
              </w:rPr>
              <w:t>612</w:t>
            </w:r>
          </w:p>
        </w:tc>
        <w:tc>
          <w:tcPr>
            <w:tcW w:w="740" w:type="dxa"/>
            <w:vAlign w:val="bottom"/>
            <w:gridSpan w:val="8"/>
          </w:tcPr>
          <w:p>
            <w:pPr>
              <w:jc w:val="right"/>
              <w:ind w:right="320"/>
              <w:spacing w:after="0"/>
              <w:rPr>
                <w:sz w:val="20"/>
                <w:szCs w:val="20"/>
                <w:color w:val="auto"/>
              </w:rPr>
            </w:pPr>
            <w:r>
              <w:rPr>
                <w:rFonts w:ascii="Arial" w:cs="Arial" w:eastAsia="Arial" w:hAnsi="Arial"/>
                <w:sz w:val="14"/>
                <w:szCs w:val="14"/>
                <w:color w:val="auto"/>
              </w:rPr>
              <w:t>755</w:t>
            </w:r>
          </w:p>
        </w:tc>
        <w:tc>
          <w:tcPr>
            <w:tcW w:w="840" w:type="dxa"/>
            <w:vAlign w:val="bottom"/>
            <w:gridSpan w:val="8"/>
          </w:tcPr>
          <w:p>
            <w:pPr>
              <w:jc w:val="right"/>
              <w:ind w:right="380"/>
              <w:spacing w:after="0"/>
              <w:rPr>
                <w:sz w:val="20"/>
                <w:szCs w:val="20"/>
                <w:color w:val="auto"/>
              </w:rPr>
            </w:pPr>
            <w:r>
              <w:rPr>
                <w:rFonts w:ascii="Arial" w:cs="Arial" w:eastAsia="Arial" w:hAnsi="Arial"/>
                <w:sz w:val="14"/>
                <w:szCs w:val="14"/>
                <w:color w:val="auto"/>
              </w:rPr>
              <w:t>833</w:t>
            </w:r>
          </w:p>
        </w:tc>
        <w:tc>
          <w:tcPr>
            <w:tcW w:w="800" w:type="dxa"/>
            <w:vAlign w:val="bottom"/>
            <w:gridSpan w:val="7"/>
          </w:tcPr>
          <w:p>
            <w:pPr>
              <w:jc w:val="right"/>
              <w:ind w:right="328"/>
              <w:spacing w:after="0"/>
              <w:rPr>
                <w:sz w:val="20"/>
                <w:szCs w:val="20"/>
                <w:color w:val="auto"/>
              </w:rPr>
            </w:pPr>
            <w:r>
              <w:rPr>
                <w:rFonts w:ascii="Arial" w:cs="Arial" w:eastAsia="Arial" w:hAnsi="Arial"/>
                <w:sz w:val="14"/>
                <w:szCs w:val="14"/>
                <w:color w:val="auto"/>
              </w:rPr>
              <w:t>902</w:t>
            </w:r>
          </w:p>
        </w:tc>
        <w:tc>
          <w:tcPr>
            <w:tcW w:w="780" w:type="dxa"/>
            <w:vAlign w:val="bottom"/>
            <w:gridSpan w:val="8"/>
          </w:tcPr>
          <w:p>
            <w:pPr>
              <w:jc w:val="right"/>
              <w:ind w:right="293"/>
              <w:spacing w:after="0"/>
              <w:rPr>
                <w:sz w:val="20"/>
                <w:szCs w:val="20"/>
                <w:color w:val="auto"/>
              </w:rPr>
            </w:pPr>
            <w:r>
              <w:rPr>
                <w:rFonts w:ascii="Arial" w:cs="Arial" w:eastAsia="Arial" w:hAnsi="Arial"/>
                <w:sz w:val="14"/>
                <w:szCs w:val="14"/>
                <w:color w:val="auto"/>
              </w:rPr>
              <w:t>959</w:t>
            </w:r>
          </w:p>
        </w:tc>
        <w:tc>
          <w:tcPr>
            <w:tcW w:w="2240" w:type="dxa"/>
            <w:vAlign w:val="bottom"/>
            <w:gridSpan w:val="5"/>
          </w:tcPr>
          <w:p>
            <w:pPr>
              <w:jc w:val="center"/>
              <w:ind w:right="150"/>
              <w:spacing w:after="0"/>
              <w:rPr>
                <w:sz w:val="20"/>
                <w:szCs w:val="20"/>
                <w:color w:val="auto"/>
              </w:rPr>
            </w:pPr>
            <w:r>
              <w:rPr>
                <w:rFonts w:ascii="Arial" w:cs="Arial" w:eastAsia="Arial" w:hAnsi="Arial"/>
                <w:sz w:val="14"/>
                <w:szCs w:val="14"/>
                <w:color w:val="auto"/>
              </w:rPr>
              <w:t>84.2 %</w:t>
            </w:r>
          </w:p>
        </w:tc>
        <w:tc>
          <w:tcPr>
            <w:tcW w:w="0" w:type="dxa"/>
            <w:vAlign w:val="bottom"/>
          </w:tcPr>
          <w:p>
            <w:pPr>
              <w:spacing w:after="0"/>
              <w:rPr>
                <w:sz w:val="1"/>
                <w:szCs w:val="1"/>
                <w:color w:val="auto"/>
              </w:rPr>
            </w:pPr>
          </w:p>
        </w:tc>
      </w:tr>
      <w:tr>
        <w:trPr>
          <w:trHeight w:val="207"/>
        </w:trPr>
        <w:tc>
          <w:tcPr>
            <w:tcW w:w="4240" w:type="dxa"/>
            <w:vAlign w:val="bottom"/>
            <w:gridSpan w:val="29"/>
            <w:shd w:val="clear" w:color="auto" w:fill="CCEEFF"/>
          </w:tcPr>
          <w:p>
            <w:pPr>
              <w:jc w:val="center"/>
              <w:ind w:right="3320"/>
              <w:spacing w:after="0"/>
              <w:rPr>
                <w:sz w:val="20"/>
                <w:szCs w:val="20"/>
                <w:color w:val="auto"/>
              </w:rPr>
            </w:pPr>
            <w:r>
              <w:rPr>
                <w:rFonts w:ascii="Arial" w:cs="Arial" w:eastAsia="Arial" w:hAnsi="Arial"/>
                <w:sz w:val="14"/>
                <w:szCs w:val="14"/>
                <w:color w:val="auto"/>
              </w:rPr>
              <w:t>2018</w:t>
            </w:r>
          </w:p>
        </w:tc>
        <w:tc>
          <w:tcPr>
            <w:tcW w:w="780" w:type="dxa"/>
            <w:vAlign w:val="bottom"/>
            <w:gridSpan w:val="6"/>
            <w:shd w:val="clear" w:color="auto" w:fill="CCEEFF"/>
          </w:tcPr>
          <w:p>
            <w:pPr>
              <w:ind w:left="220"/>
              <w:spacing w:after="0"/>
              <w:rPr>
                <w:sz w:val="20"/>
                <w:szCs w:val="20"/>
                <w:color w:val="auto"/>
              </w:rPr>
            </w:pPr>
            <w:r>
              <w:rPr>
                <w:rFonts w:ascii="Arial" w:cs="Arial" w:eastAsia="Arial" w:hAnsi="Arial"/>
                <w:sz w:val="14"/>
                <w:szCs w:val="14"/>
                <w:color w:val="auto"/>
              </w:rPr>
              <w:t>210</w:t>
            </w:r>
          </w:p>
        </w:tc>
        <w:tc>
          <w:tcPr>
            <w:tcW w:w="820" w:type="dxa"/>
            <w:vAlign w:val="bottom"/>
            <w:gridSpan w:val="6"/>
            <w:shd w:val="clear" w:color="auto" w:fill="CCEEFF"/>
          </w:tcPr>
          <w:p>
            <w:pPr>
              <w:jc w:val="right"/>
              <w:ind w:right="360"/>
              <w:spacing w:after="0"/>
              <w:rPr>
                <w:sz w:val="20"/>
                <w:szCs w:val="20"/>
                <w:color w:val="auto"/>
              </w:rPr>
            </w:pPr>
            <w:r>
              <w:rPr>
                <w:rFonts w:ascii="Arial" w:cs="Arial" w:eastAsia="Arial" w:hAnsi="Arial"/>
                <w:sz w:val="14"/>
                <w:szCs w:val="14"/>
                <w:color w:val="auto"/>
              </w:rPr>
              <w:t>475</w:t>
            </w:r>
          </w:p>
        </w:tc>
        <w:tc>
          <w:tcPr>
            <w:tcW w:w="740" w:type="dxa"/>
            <w:vAlign w:val="bottom"/>
            <w:gridSpan w:val="8"/>
            <w:shd w:val="clear" w:color="auto" w:fill="CCEEFF"/>
          </w:tcPr>
          <w:p>
            <w:pPr>
              <w:jc w:val="right"/>
              <w:ind w:right="320"/>
              <w:spacing w:after="0"/>
              <w:rPr>
                <w:sz w:val="20"/>
                <w:szCs w:val="20"/>
                <w:color w:val="auto"/>
              </w:rPr>
            </w:pPr>
            <w:r>
              <w:rPr>
                <w:rFonts w:ascii="Arial" w:cs="Arial" w:eastAsia="Arial" w:hAnsi="Arial"/>
                <w:sz w:val="14"/>
                <w:szCs w:val="14"/>
                <w:color w:val="auto"/>
              </w:rPr>
              <w:t>649</w:t>
            </w:r>
          </w:p>
        </w:tc>
        <w:tc>
          <w:tcPr>
            <w:tcW w:w="840" w:type="dxa"/>
            <w:vAlign w:val="bottom"/>
            <w:gridSpan w:val="8"/>
            <w:shd w:val="clear" w:color="auto" w:fill="CCEEFF"/>
          </w:tcPr>
          <w:p>
            <w:pPr>
              <w:jc w:val="right"/>
              <w:ind w:right="380"/>
              <w:spacing w:after="0"/>
              <w:rPr>
                <w:sz w:val="20"/>
                <w:szCs w:val="20"/>
                <w:color w:val="auto"/>
              </w:rPr>
            </w:pPr>
            <w:r>
              <w:rPr>
                <w:rFonts w:ascii="Arial" w:cs="Arial" w:eastAsia="Arial" w:hAnsi="Arial"/>
                <w:sz w:val="14"/>
                <w:szCs w:val="14"/>
                <w:color w:val="auto"/>
              </w:rPr>
              <w:t>794</w:t>
            </w:r>
          </w:p>
        </w:tc>
        <w:tc>
          <w:tcPr>
            <w:tcW w:w="800" w:type="dxa"/>
            <w:vAlign w:val="bottom"/>
            <w:gridSpan w:val="7"/>
            <w:shd w:val="clear" w:color="auto" w:fill="CCEEFF"/>
          </w:tcPr>
          <w:p>
            <w:pPr>
              <w:jc w:val="right"/>
              <w:ind w:right="328"/>
              <w:spacing w:after="0"/>
              <w:rPr>
                <w:sz w:val="20"/>
                <w:szCs w:val="20"/>
                <w:color w:val="auto"/>
              </w:rPr>
            </w:pPr>
            <w:r>
              <w:rPr>
                <w:rFonts w:ascii="Arial" w:cs="Arial" w:eastAsia="Arial" w:hAnsi="Arial"/>
                <w:sz w:val="14"/>
                <w:szCs w:val="14"/>
                <w:color w:val="auto"/>
              </w:rPr>
              <w:t>901</w:t>
            </w:r>
          </w:p>
        </w:tc>
        <w:tc>
          <w:tcPr>
            <w:tcW w:w="780" w:type="dxa"/>
            <w:vAlign w:val="bottom"/>
            <w:gridSpan w:val="8"/>
            <w:shd w:val="clear" w:color="auto" w:fill="CCEEFF"/>
          </w:tcPr>
          <w:p>
            <w:pPr>
              <w:jc w:val="right"/>
              <w:ind w:right="293"/>
              <w:spacing w:after="0"/>
              <w:rPr>
                <w:sz w:val="20"/>
                <w:szCs w:val="20"/>
                <w:color w:val="auto"/>
              </w:rPr>
            </w:pPr>
            <w:r>
              <w:rPr>
                <w:rFonts w:ascii="Arial" w:cs="Arial" w:eastAsia="Arial" w:hAnsi="Arial"/>
                <w:sz w:val="14"/>
                <w:szCs w:val="14"/>
                <w:color w:val="auto"/>
              </w:rPr>
              <w:t>991</w:t>
            </w:r>
          </w:p>
        </w:tc>
        <w:tc>
          <w:tcPr>
            <w:tcW w:w="2240" w:type="dxa"/>
            <w:vAlign w:val="bottom"/>
            <w:gridSpan w:val="5"/>
            <w:shd w:val="clear" w:color="auto" w:fill="CCEEFF"/>
          </w:tcPr>
          <w:p>
            <w:pPr>
              <w:jc w:val="center"/>
              <w:ind w:right="150"/>
              <w:spacing w:after="0"/>
              <w:rPr>
                <w:sz w:val="20"/>
                <w:szCs w:val="20"/>
                <w:color w:val="auto"/>
              </w:rPr>
            </w:pPr>
            <w:r>
              <w:rPr>
                <w:rFonts w:ascii="Arial" w:cs="Arial" w:eastAsia="Arial" w:hAnsi="Arial"/>
                <w:sz w:val="14"/>
                <w:szCs w:val="14"/>
                <w:color w:val="auto"/>
              </w:rPr>
              <w:t>78.4 %</w:t>
            </w:r>
          </w:p>
        </w:tc>
        <w:tc>
          <w:tcPr>
            <w:tcW w:w="0" w:type="dxa"/>
            <w:vAlign w:val="bottom"/>
          </w:tcPr>
          <w:p>
            <w:pPr>
              <w:spacing w:after="0"/>
              <w:rPr>
                <w:sz w:val="1"/>
                <w:szCs w:val="1"/>
                <w:color w:val="auto"/>
              </w:rPr>
            </w:pPr>
          </w:p>
        </w:tc>
      </w:tr>
      <w:tr>
        <w:trPr>
          <w:trHeight w:val="198"/>
        </w:trPr>
        <w:tc>
          <w:tcPr>
            <w:tcW w:w="5020" w:type="dxa"/>
            <w:vAlign w:val="bottom"/>
            <w:gridSpan w:val="35"/>
          </w:tcPr>
          <w:p>
            <w:pPr>
              <w:jc w:val="center"/>
              <w:ind w:right="4100"/>
              <w:spacing w:after="0"/>
              <w:rPr>
                <w:sz w:val="20"/>
                <w:szCs w:val="20"/>
                <w:color w:val="auto"/>
              </w:rPr>
            </w:pPr>
            <w:r>
              <w:rPr>
                <w:rFonts w:ascii="Arial" w:cs="Arial" w:eastAsia="Arial" w:hAnsi="Arial"/>
                <w:sz w:val="14"/>
                <w:szCs w:val="14"/>
                <w:color w:val="auto"/>
              </w:rPr>
              <w:t>2019</w:t>
            </w:r>
          </w:p>
        </w:tc>
        <w:tc>
          <w:tcPr>
            <w:tcW w:w="820" w:type="dxa"/>
            <w:vAlign w:val="bottom"/>
            <w:gridSpan w:val="6"/>
          </w:tcPr>
          <w:p>
            <w:pPr>
              <w:jc w:val="right"/>
              <w:ind w:right="360"/>
              <w:spacing w:after="0"/>
              <w:rPr>
                <w:sz w:val="20"/>
                <w:szCs w:val="20"/>
                <w:color w:val="auto"/>
              </w:rPr>
            </w:pPr>
            <w:r>
              <w:rPr>
                <w:rFonts w:ascii="Arial" w:cs="Arial" w:eastAsia="Arial" w:hAnsi="Arial"/>
                <w:sz w:val="14"/>
                <w:szCs w:val="14"/>
                <w:color w:val="auto"/>
              </w:rPr>
              <w:t>212</w:t>
            </w:r>
          </w:p>
        </w:tc>
        <w:tc>
          <w:tcPr>
            <w:tcW w:w="740" w:type="dxa"/>
            <w:vAlign w:val="bottom"/>
            <w:gridSpan w:val="8"/>
          </w:tcPr>
          <w:p>
            <w:pPr>
              <w:jc w:val="right"/>
              <w:ind w:right="320"/>
              <w:spacing w:after="0"/>
              <w:rPr>
                <w:sz w:val="20"/>
                <w:szCs w:val="20"/>
                <w:color w:val="auto"/>
              </w:rPr>
            </w:pPr>
            <w:r>
              <w:rPr>
                <w:rFonts w:ascii="Arial" w:cs="Arial" w:eastAsia="Arial" w:hAnsi="Arial"/>
                <w:sz w:val="14"/>
                <w:szCs w:val="14"/>
                <w:color w:val="auto"/>
              </w:rPr>
              <w:t>455</w:t>
            </w:r>
          </w:p>
        </w:tc>
        <w:tc>
          <w:tcPr>
            <w:tcW w:w="840" w:type="dxa"/>
            <w:vAlign w:val="bottom"/>
            <w:gridSpan w:val="8"/>
          </w:tcPr>
          <w:p>
            <w:pPr>
              <w:jc w:val="right"/>
              <w:ind w:right="380"/>
              <w:spacing w:after="0"/>
              <w:rPr>
                <w:sz w:val="20"/>
                <w:szCs w:val="20"/>
                <w:color w:val="auto"/>
              </w:rPr>
            </w:pPr>
            <w:r>
              <w:rPr>
                <w:rFonts w:ascii="Arial" w:cs="Arial" w:eastAsia="Arial" w:hAnsi="Arial"/>
                <w:sz w:val="14"/>
                <w:szCs w:val="14"/>
                <w:color w:val="auto"/>
              </w:rPr>
              <w:t>651</w:t>
            </w:r>
          </w:p>
        </w:tc>
        <w:tc>
          <w:tcPr>
            <w:tcW w:w="800" w:type="dxa"/>
            <w:vAlign w:val="bottom"/>
            <w:gridSpan w:val="7"/>
          </w:tcPr>
          <w:p>
            <w:pPr>
              <w:jc w:val="right"/>
              <w:ind w:right="328"/>
              <w:spacing w:after="0"/>
              <w:rPr>
                <w:sz w:val="20"/>
                <w:szCs w:val="20"/>
                <w:color w:val="auto"/>
              </w:rPr>
            </w:pPr>
            <w:r>
              <w:rPr>
                <w:rFonts w:ascii="Arial" w:cs="Arial" w:eastAsia="Arial" w:hAnsi="Arial"/>
                <w:sz w:val="14"/>
                <w:szCs w:val="14"/>
                <w:color w:val="auto"/>
              </w:rPr>
              <w:t>795</w:t>
            </w:r>
          </w:p>
        </w:tc>
        <w:tc>
          <w:tcPr>
            <w:tcW w:w="780" w:type="dxa"/>
            <w:vAlign w:val="bottom"/>
            <w:gridSpan w:val="8"/>
          </w:tcPr>
          <w:p>
            <w:pPr>
              <w:jc w:val="right"/>
              <w:ind w:right="293"/>
              <w:spacing w:after="0"/>
              <w:rPr>
                <w:sz w:val="20"/>
                <w:szCs w:val="20"/>
                <w:color w:val="auto"/>
              </w:rPr>
            </w:pPr>
            <w:r>
              <w:rPr>
                <w:rFonts w:ascii="Arial" w:cs="Arial" w:eastAsia="Arial" w:hAnsi="Arial"/>
                <w:sz w:val="14"/>
                <w:szCs w:val="14"/>
                <w:color w:val="auto"/>
              </w:rPr>
              <w:t>913</w:t>
            </w:r>
          </w:p>
        </w:tc>
        <w:tc>
          <w:tcPr>
            <w:tcW w:w="2240" w:type="dxa"/>
            <w:vAlign w:val="bottom"/>
            <w:gridSpan w:val="5"/>
          </w:tcPr>
          <w:p>
            <w:pPr>
              <w:jc w:val="center"/>
              <w:ind w:right="150"/>
              <w:spacing w:after="0"/>
              <w:rPr>
                <w:sz w:val="20"/>
                <w:szCs w:val="20"/>
                <w:color w:val="auto"/>
              </w:rPr>
            </w:pPr>
            <w:r>
              <w:rPr>
                <w:rFonts w:ascii="Arial" w:cs="Arial" w:eastAsia="Arial" w:hAnsi="Arial"/>
                <w:sz w:val="14"/>
                <w:szCs w:val="14"/>
                <w:color w:val="auto"/>
              </w:rPr>
              <w:t>71.1 %</w:t>
            </w:r>
          </w:p>
        </w:tc>
        <w:tc>
          <w:tcPr>
            <w:tcW w:w="0" w:type="dxa"/>
            <w:vAlign w:val="bottom"/>
          </w:tcPr>
          <w:p>
            <w:pPr>
              <w:spacing w:after="0"/>
              <w:rPr>
                <w:sz w:val="1"/>
                <w:szCs w:val="1"/>
                <w:color w:val="auto"/>
              </w:rPr>
            </w:pPr>
          </w:p>
        </w:tc>
      </w:tr>
      <w:tr>
        <w:trPr>
          <w:trHeight w:val="207"/>
        </w:trPr>
        <w:tc>
          <w:tcPr>
            <w:tcW w:w="5840" w:type="dxa"/>
            <w:vAlign w:val="bottom"/>
            <w:gridSpan w:val="41"/>
            <w:shd w:val="clear" w:color="auto" w:fill="CCEEFF"/>
          </w:tcPr>
          <w:p>
            <w:pPr>
              <w:jc w:val="center"/>
              <w:ind w:right="4920"/>
              <w:spacing w:after="0"/>
              <w:rPr>
                <w:sz w:val="20"/>
                <w:szCs w:val="20"/>
                <w:color w:val="auto"/>
              </w:rPr>
            </w:pPr>
            <w:r>
              <w:rPr>
                <w:rFonts w:ascii="Arial" w:cs="Arial" w:eastAsia="Arial" w:hAnsi="Arial"/>
                <w:sz w:val="14"/>
                <w:szCs w:val="14"/>
                <w:color w:val="auto"/>
              </w:rPr>
              <w:t>2020</w:t>
            </w:r>
          </w:p>
        </w:tc>
        <w:tc>
          <w:tcPr>
            <w:tcW w:w="740" w:type="dxa"/>
            <w:vAlign w:val="bottom"/>
            <w:gridSpan w:val="8"/>
            <w:shd w:val="clear" w:color="auto" w:fill="CCEEFF"/>
          </w:tcPr>
          <w:p>
            <w:pPr>
              <w:jc w:val="right"/>
              <w:ind w:right="320"/>
              <w:spacing w:after="0"/>
              <w:rPr>
                <w:sz w:val="20"/>
                <w:szCs w:val="20"/>
                <w:color w:val="auto"/>
              </w:rPr>
            </w:pPr>
            <w:r>
              <w:rPr>
                <w:rFonts w:ascii="Arial" w:cs="Arial" w:eastAsia="Arial" w:hAnsi="Arial"/>
                <w:sz w:val="14"/>
                <w:szCs w:val="14"/>
                <w:color w:val="auto"/>
              </w:rPr>
              <w:t>188</w:t>
            </w:r>
          </w:p>
        </w:tc>
        <w:tc>
          <w:tcPr>
            <w:tcW w:w="840" w:type="dxa"/>
            <w:vAlign w:val="bottom"/>
            <w:gridSpan w:val="8"/>
            <w:shd w:val="clear" w:color="auto" w:fill="CCEEFF"/>
          </w:tcPr>
          <w:p>
            <w:pPr>
              <w:jc w:val="right"/>
              <w:ind w:right="380"/>
              <w:spacing w:after="0"/>
              <w:rPr>
                <w:sz w:val="20"/>
                <w:szCs w:val="20"/>
                <w:color w:val="auto"/>
              </w:rPr>
            </w:pPr>
            <w:r>
              <w:rPr>
                <w:rFonts w:ascii="Arial" w:cs="Arial" w:eastAsia="Arial" w:hAnsi="Arial"/>
                <w:sz w:val="14"/>
                <w:szCs w:val="14"/>
                <w:color w:val="auto"/>
              </w:rPr>
              <w:t>446</w:t>
            </w:r>
          </w:p>
        </w:tc>
        <w:tc>
          <w:tcPr>
            <w:tcW w:w="800" w:type="dxa"/>
            <w:vAlign w:val="bottom"/>
            <w:gridSpan w:val="7"/>
            <w:shd w:val="clear" w:color="auto" w:fill="CCEEFF"/>
          </w:tcPr>
          <w:p>
            <w:pPr>
              <w:jc w:val="right"/>
              <w:ind w:right="328"/>
              <w:spacing w:after="0"/>
              <w:rPr>
                <w:sz w:val="20"/>
                <w:szCs w:val="20"/>
                <w:color w:val="auto"/>
              </w:rPr>
            </w:pPr>
            <w:r>
              <w:rPr>
                <w:rFonts w:ascii="Arial" w:cs="Arial" w:eastAsia="Arial" w:hAnsi="Arial"/>
                <w:sz w:val="14"/>
                <w:szCs w:val="14"/>
                <w:color w:val="auto"/>
              </w:rPr>
              <w:t>613</w:t>
            </w:r>
          </w:p>
        </w:tc>
        <w:tc>
          <w:tcPr>
            <w:tcW w:w="780" w:type="dxa"/>
            <w:vAlign w:val="bottom"/>
            <w:gridSpan w:val="8"/>
            <w:shd w:val="clear" w:color="auto" w:fill="CCEEFF"/>
          </w:tcPr>
          <w:p>
            <w:pPr>
              <w:jc w:val="right"/>
              <w:ind w:right="293"/>
              <w:spacing w:after="0"/>
              <w:rPr>
                <w:sz w:val="20"/>
                <w:szCs w:val="20"/>
                <w:color w:val="auto"/>
              </w:rPr>
            </w:pPr>
            <w:r>
              <w:rPr>
                <w:rFonts w:ascii="Arial" w:cs="Arial" w:eastAsia="Arial" w:hAnsi="Arial"/>
                <w:sz w:val="14"/>
                <w:szCs w:val="14"/>
                <w:color w:val="auto"/>
              </w:rPr>
              <w:t>757</w:t>
            </w:r>
          </w:p>
        </w:tc>
        <w:tc>
          <w:tcPr>
            <w:tcW w:w="2240" w:type="dxa"/>
            <w:vAlign w:val="bottom"/>
            <w:gridSpan w:val="5"/>
            <w:shd w:val="clear" w:color="auto" w:fill="CCEEFF"/>
          </w:tcPr>
          <w:p>
            <w:pPr>
              <w:jc w:val="center"/>
              <w:ind w:right="150"/>
              <w:spacing w:after="0"/>
              <w:rPr>
                <w:sz w:val="20"/>
                <w:szCs w:val="20"/>
                <w:color w:val="auto"/>
              </w:rPr>
            </w:pPr>
            <w:r>
              <w:rPr>
                <w:rFonts w:ascii="Arial" w:cs="Arial" w:eastAsia="Arial" w:hAnsi="Arial"/>
                <w:sz w:val="14"/>
                <w:szCs w:val="14"/>
                <w:color w:val="auto"/>
              </w:rPr>
              <w:t>61.4 %</w:t>
            </w:r>
          </w:p>
        </w:tc>
        <w:tc>
          <w:tcPr>
            <w:tcW w:w="0" w:type="dxa"/>
            <w:vAlign w:val="bottom"/>
          </w:tcPr>
          <w:p>
            <w:pPr>
              <w:spacing w:after="0"/>
              <w:rPr>
                <w:sz w:val="1"/>
                <w:szCs w:val="1"/>
                <w:color w:val="auto"/>
              </w:rPr>
            </w:pPr>
          </w:p>
        </w:tc>
      </w:tr>
      <w:tr>
        <w:trPr>
          <w:trHeight w:val="198"/>
        </w:trPr>
        <w:tc>
          <w:tcPr>
            <w:tcW w:w="6580" w:type="dxa"/>
            <w:vAlign w:val="bottom"/>
            <w:gridSpan w:val="49"/>
          </w:tcPr>
          <w:p>
            <w:pPr>
              <w:jc w:val="center"/>
              <w:ind w:right="5660"/>
              <w:spacing w:after="0"/>
              <w:rPr>
                <w:sz w:val="20"/>
                <w:szCs w:val="20"/>
                <w:color w:val="auto"/>
              </w:rPr>
            </w:pPr>
            <w:r>
              <w:rPr>
                <w:rFonts w:ascii="Arial" w:cs="Arial" w:eastAsia="Arial" w:hAnsi="Arial"/>
                <w:sz w:val="14"/>
                <w:szCs w:val="14"/>
                <w:color w:val="auto"/>
              </w:rPr>
              <w:t>2021</w:t>
            </w:r>
          </w:p>
        </w:tc>
        <w:tc>
          <w:tcPr>
            <w:tcW w:w="840" w:type="dxa"/>
            <w:vAlign w:val="bottom"/>
            <w:gridSpan w:val="8"/>
          </w:tcPr>
          <w:p>
            <w:pPr>
              <w:jc w:val="right"/>
              <w:ind w:right="380"/>
              <w:spacing w:after="0"/>
              <w:rPr>
                <w:sz w:val="20"/>
                <w:szCs w:val="20"/>
                <w:color w:val="auto"/>
              </w:rPr>
            </w:pPr>
            <w:r>
              <w:rPr>
                <w:rFonts w:ascii="Arial" w:cs="Arial" w:eastAsia="Arial" w:hAnsi="Arial"/>
                <w:sz w:val="14"/>
                <w:szCs w:val="14"/>
                <w:color w:val="auto"/>
              </w:rPr>
              <w:t>191</w:t>
            </w:r>
          </w:p>
        </w:tc>
        <w:tc>
          <w:tcPr>
            <w:tcW w:w="800" w:type="dxa"/>
            <w:vAlign w:val="bottom"/>
            <w:gridSpan w:val="7"/>
          </w:tcPr>
          <w:p>
            <w:pPr>
              <w:jc w:val="right"/>
              <w:ind w:right="328"/>
              <w:spacing w:after="0"/>
              <w:rPr>
                <w:sz w:val="20"/>
                <w:szCs w:val="20"/>
                <w:color w:val="auto"/>
              </w:rPr>
            </w:pPr>
            <w:r>
              <w:rPr>
                <w:rFonts w:ascii="Arial" w:cs="Arial" w:eastAsia="Arial" w:hAnsi="Arial"/>
                <w:sz w:val="14"/>
                <w:szCs w:val="14"/>
                <w:color w:val="auto"/>
              </w:rPr>
              <w:t>438</w:t>
            </w:r>
          </w:p>
        </w:tc>
        <w:tc>
          <w:tcPr>
            <w:tcW w:w="780" w:type="dxa"/>
            <w:vAlign w:val="bottom"/>
            <w:gridSpan w:val="8"/>
          </w:tcPr>
          <w:p>
            <w:pPr>
              <w:jc w:val="right"/>
              <w:ind w:right="293"/>
              <w:spacing w:after="0"/>
              <w:rPr>
                <w:sz w:val="20"/>
                <w:szCs w:val="20"/>
                <w:color w:val="auto"/>
              </w:rPr>
            </w:pPr>
            <w:r>
              <w:rPr>
                <w:rFonts w:ascii="Arial" w:cs="Arial" w:eastAsia="Arial" w:hAnsi="Arial"/>
                <w:sz w:val="14"/>
                <w:szCs w:val="14"/>
                <w:color w:val="auto"/>
              </w:rPr>
              <w:t>625</w:t>
            </w:r>
          </w:p>
        </w:tc>
        <w:tc>
          <w:tcPr>
            <w:tcW w:w="2240" w:type="dxa"/>
            <w:vAlign w:val="bottom"/>
            <w:gridSpan w:val="5"/>
          </w:tcPr>
          <w:p>
            <w:pPr>
              <w:jc w:val="center"/>
              <w:ind w:right="150"/>
              <w:spacing w:after="0"/>
              <w:rPr>
                <w:sz w:val="20"/>
                <w:szCs w:val="20"/>
                <w:color w:val="auto"/>
              </w:rPr>
            </w:pPr>
            <w:r>
              <w:rPr>
                <w:rFonts w:ascii="Arial" w:cs="Arial" w:eastAsia="Arial" w:hAnsi="Arial"/>
                <w:sz w:val="14"/>
                <w:szCs w:val="14"/>
                <w:color w:val="auto"/>
              </w:rPr>
              <w:t>46.6 %</w:t>
            </w:r>
          </w:p>
        </w:tc>
        <w:tc>
          <w:tcPr>
            <w:tcW w:w="0" w:type="dxa"/>
            <w:vAlign w:val="bottom"/>
          </w:tcPr>
          <w:p>
            <w:pPr>
              <w:spacing w:after="0"/>
              <w:rPr>
                <w:sz w:val="1"/>
                <w:szCs w:val="1"/>
                <w:color w:val="auto"/>
              </w:rPr>
            </w:pPr>
          </w:p>
        </w:tc>
      </w:tr>
      <w:tr>
        <w:trPr>
          <w:trHeight w:val="207"/>
        </w:trPr>
        <w:tc>
          <w:tcPr>
            <w:tcW w:w="7420" w:type="dxa"/>
            <w:vAlign w:val="bottom"/>
            <w:gridSpan w:val="57"/>
            <w:shd w:val="clear" w:color="auto" w:fill="CCEEFF"/>
          </w:tcPr>
          <w:p>
            <w:pPr>
              <w:jc w:val="center"/>
              <w:ind w:right="6500"/>
              <w:spacing w:after="0"/>
              <w:rPr>
                <w:sz w:val="20"/>
                <w:szCs w:val="20"/>
                <w:color w:val="auto"/>
              </w:rPr>
            </w:pPr>
            <w:r>
              <w:rPr>
                <w:rFonts w:ascii="Arial" w:cs="Arial" w:eastAsia="Arial" w:hAnsi="Arial"/>
                <w:sz w:val="14"/>
                <w:szCs w:val="14"/>
                <w:color w:val="auto"/>
              </w:rPr>
              <w:t>2022</w:t>
            </w:r>
          </w:p>
        </w:tc>
        <w:tc>
          <w:tcPr>
            <w:tcW w:w="800" w:type="dxa"/>
            <w:vAlign w:val="bottom"/>
            <w:gridSpan w:val="7"/>
            <w:shd w:val="clear" w:color="auto" w:fill="CCEEFF"/>
          </w:tcPr>
          <w:p>
            <w:pPr>
              <w:jc w:val="right"/>
              <w:ind w:right="328"/>
              <w:spacing w:after="0"/>
              <w:rPr>
                <w:sz w:val="20"/>
                <w:szCs w:val="20"/>
                <w:color w:val="auto"/>
              </w:rPr>
            </w:pPr>
            <w:r>
              <w:rPr>
                <w:rFonts w:ascii="Arial" w:cs="Arial" w:eastAsia="Arial" w:hAnsi="Arial"/>
                <w:sz w:val="14"/>
                <w:szCs w:val="14"/>
                <w:color w:val="auto"/>
              </w:rPr>
              <w:t>198</w:t>
            </w:r>
          </w:p>
        </w:tc>
        <w:tc>
          <w:tcPr>
            <w:tcW w:w="780" w:type="dxa"/>
            <w:vAlign w:val="bottom"/>
            <w:gridSpan w:val="8"/>
            <w:shd w:val="clear" w:color="auto" w:fill="CCEEFF"/>
          </w:tcPr>
          <w:p>
            <w:pPr>
              <w:jc w:val="right"/>
              <w:ind w:right="293"/>
              <w:spacing w:after="0"/>
              <w:rPr>
                <w:sz w:val="20"/>
                <w:szCs w:val="20"/>
                <w:color w:val="auto"/>
              </w:rPr>
            </w:pPr>
            <w:r>
              <w:rPr>
                <w:rFonts w:ascii="Arial" w:cs="Arial" w:eastAsia="Arial" w:hAnsi="Arial"/>
                <w:sz w:val="14"/>
                <w:szCs w:val="14"/>
                <w:color w:val="auto"/>
              </w:rPr>
              <w:t>507</w:t>
            </w:r>
          </w:p>
        </w:tc>
        <w:tc>
          <w:tcPr>
            <w:tcW w:w="2240" w:type="dxa"/>
            <w:vAlign w:val="bottom"/>
            <w:gridSpan w:val="5"/>
            <w:shd w:val="clear" w:color="auto" w:fill="CCEEFF"/>
          </w:tcPr>
          <w:p>
            <w:pPr>
              <w:jc w:val="center"/>
              <w:ind w:right="150"/>
              <w:spacing w:after="0"/>
              <w:rPr>
                <w:sz w:val="20"/>
                <w:szCs w:val="20"/>
                <w:color w:val="auto"/>
              </w:rPr>
            </w:pPr>
            <w:r>
              <w:rPr>
                <w:rFonts w:ascii="Arial" w:cs="Arial" w:eastAsia="Arial" w:hAnsi="Arial"/>
                <w:sz w:val="14"/>
                <w:szCs w:val="14"/>
                <w:color w:val="auto"/>
              </w:rPr>
              <w:t>33.7 %</w:t>
            </w:r>
          </w:p>
        </w:tc>
        <w:tc>
          <w:tcPr>
            <w:tcW w:w="0" w:type="dxa"/>
            <w:vAlign w:val="bottom"/>
          </w:tcPr>
          <w:p>
            <w:pPr>
              <w:spacing w:after="0"/>
              <w:rPr>
                <w:sz w:val="1"/>
                <w:szCs w:val="1"/>
                <w:color w:val="auto"/>
              </w:rPr>
            </w:pPr>
          </w:p>
        </w:tc>
      </w:tr>
      <w:tr>
        <w:trPr>
          <w:trHeight w:val="198"/>
        </w:trPr>
        <w:tc>
          <w:tcPr>
            <w:tcW w:w="7980" w:type="dxa"/>
            <w:vAlign w:val="bottom"/>
            <w:tcBorders>
              <w:bottom w:val="single" w:sz="8" w:color="CCEEFF"/>
            </w:tcBorders>
            <w:gridSpan w:val="62"/>
          </w:tcPr>
          <w:p>
            <w:pPr>
              <w:jc w:val="center"/>
              <w:ind w:right="7060"/>
              <w:spacing w:after="0"/>
              <w:rPr>
                <w:sz w:val="20"/>
                <w:szCs w:val="20"/>
                <w:color w:val="auto"/>
              </w:rPr>
            </w:pPr>
            <w:r>
              <w:rPr>
                <w:rFonts w:ascii="Arial" w:cs="Arial" w:eastAsia="Arial" w:hAnsi="Arial"/>
                <w:sz w:val="14"/>
                <w:szCs w:val="14"/>
                <w:color w:val="auto"/>
              </w:rPr>
              <w:t>2023</w:t>
            </w:r>
          </w:p>
        </w:tc>
        <w:tc>
          <w:tcPr>
            <w:tcW w:w="740" w:type="dxa"/>
            <w:vAlign w:val="bottom"/>
            <w:tcBorders>
              <w:bottom w:val="single" w:sz="8" w:color="auto"/>
            </w:tcBorders>
            <w:gridSpan w:val="5"/>
          </w:tcPr>
          <w:p>
            <w:pPr>
              <w:jc w:val="right"/>
              <w:ind w:right="668"/>
              <w:spacing w:after="0"/>
              <w:rPr>
                <w:sz w:val="20"/>
                <w:szCs w:val="20"/>
                <w:color w:val="auto"/>
              </w:rPr>
            </w:pPr>
            <w:r>
              <w:rPr>
                <w:rFonts w:ascii="Arial" w:cs="Arial" w:eastAsia="Arial" w:hAnsi="Arial"/>
                <w:sz w:val="14"/>
                <w:szCs w:val="14"/>
                <w:color w:val="auto"/>
              </w:rPr>
              <w:t>248</w:t>
            </w:r>
          </w:p>
        </w:tc>
        <w:tc>
          <w:tcPr>
            <w:tcW w:w="2520" w:type="dxa"/>
            <w:vAlign w:val="bottom"/>
            <w:tcBorders>
              <w:bottom w:val="single" w:sz="8" w:color="CCEEFF"/>
            </w:tcBorders>
            <w:gridSpan w:val="10"/>
          </w:tcPr>
          <w:p>
            <w:pPr>
              <w:jc w:val="right"/>
              <w:ind w:right="2450"/>
              <w:spacing w:after="0"/>
              <w:rPr>
                <w:sz w:val="20"/>
                <w:szCs w:val="20"/>
                <w:color w:val="auto"/>
              </w:rPr>
            </w:pPr>
            <w:r>
              <w:rPr>
                <w:rFonts w:ascii="Arial" w:cs="Arial" w:eastAsia="Arial" w:hAnsi="Arial"/>
                <w:sz w:val="14"/>
                <w:szCs w:val="14"/>
                <w:color w:val="auto"/>
              </w:rPr>
              <w:t>15.0 %</w:t>
            </w:r>
          </w:p>
        </w:tc>
        <w:tc>
          <w:tcPr>
            <w:tcW w:w="0" w:type="dxa"/>
            <w:vAlign w:val="bottom"/>
          </w:tcPr>
          <w:p>
            <w:pPr>
              <w:spacing w:after="0"/>
              <w:rPr>
                <w:sz w:val="1"/>
                <w:szCs w:val="1"/>
                <w:color w:val="auto"/>
              </w:rPr>
            </w:pPr>
          </w:p>
        </w:tc>
      </w:tr>
      <w:tr>
        <w:trPr>
          <w:trHeight w:val="200"/>
        </w:trPr>
        <w:tc>
          <w:tcPr>
            <w:tcW w:w="7900" w:type="dxa"/>
            <w:vAlign w:val="bottom"/>
            <w:gridSpan w:val="60"/>
            <w:shd w:val="clear" w:color="auto" w:fill="CCEEFF"/>
          </w:tcPr>
          <w:p>
            <w:pPr>
              <w:spacing w:after="0"/>
              <w:rPr>
                <w:sz w:val="20"/>
                <w:szCs w:val="20"/>
                <w:color w:val="auto"/>
              </w:rPr>
            </w:pPr>
            <w:r>
              <w:rPr>
                <w:rFonts w:ascii="Arial" w:cs="Arial" w:eastAsia="Arial" w:hAnsi="Arial"/>
                <w:sz w:val="14"/>
                <w:szCs w:val="14"/>
                <w:color w:val="auto"/>
              </w:rPr>
              <w:t>Total</w:t>
            </w:r>
          </w:p>
        </w:tc>
        <w:tc>
          <w:tcPr>
            <w:tcW w:w="320" w:type="dxa"/>
            <w:vAlign w:val="bottom"/>
            <w:gridSpan w:val="4"/>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20" w:type="dxa"/>
            <w:vAlign w:val="bottom"/>
            <w:gridSpan w:val="13"/>
            <w:shd w:val="clear" w:color="auto" w:fill="CCEEFF"/>
          </w:tcPr>
          <w:p>
            <w:pPr>
              <w:jc w:val="right"/>
              <w:ind w:right="2530"/>
              <w:spacing w:after="0"/>
              <w:rPr>
                <w:sz w:val="20"/>
                <w:szCs w:val="20"/>
                <w:color w:val="auto"/>
              </w:rPr>
            </w:pPr>
            <w:r>
              <w:rPr>
                <w:rFonts w:ascii="Arial" w:cs="Arial" w:eastAsia="Arial" w:hAnsi="Arial"/>
                <w:sz w:val="14"/>
                <w:szCs w:val="14"/>
                <w:color w:val="auto"/>
              </w:rPr>
              <w:t>7,771</w:t>
            </w:r>
          </w:p>
        </w:tc>
        <w:tc>
          <w:tcPr>
            <w:tcW w:w="0" w:type="dxa"/>
            <w:vAlign w:val="bottom"/>
          </w:tcPr>
          <w:p>
            <w:pPr>
              <w:spacing w:after="0"/>
              <w:rPr>
                <w:sz w:val="1"/>
                <w:szCs w:val="1"/>
                <w:color w:val="auto"/>
              </w:rPr>
            </w:pPr>
          </w:p>
        </w:tc>
      </w:tr>
      <w:tr>
        <w:trPr>
          <w:trHeight w:val="192"/>
        </w:trPr>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20" w:type="dxa"/>
            <w:vAlign w:val="bottom"/>
            <w:gridSpan w:val="30"/>
          </w:tcPr>
          <w:p>
            <w:pPr>
              <w:jc w:val="right"/>
              <w:spacing w:after="0"/>
              <w:rPr>
                <w:sz w:val="20"/>
                <w:szCs w:val="20"/>
                <w:color w:val="auto"/>
              </w:rPr>
            </w:pPr>
            <w:r>
              <w:rPr>
                <w:rFonts w:ascii="Arial" w:cs="Arial" w:eastAsia="Arial" w:hAnsi="Arial"/>
                <w:sz w:val="14"/>
                <w:szCs w:val="14"/>
                <w:color w:val="auto"/>
              </w:rPr>
              <w:t>Unpaid losses and LAE — years 2014 through 2023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gridSpan w:val="3"/>
          </w:tcPr>
          <w:p>
            <w:pPr>
              <w:jc w:val="right"/>
              <w:ind w:right="8"/>
              <w:spacing w:after="0"/>
              <w:rPr>
                <w:sz w:val="20"/>
                <w:szCs w:val="20"/>
                <w:color w:val="auto"/>
              </w:rPr>
            </w:pPr>
            <w:r>
              <w:rPr>
                <w:rFonts w:ascii="Arial" w:cs="Arial" w:eastAsia="Arial" w:hAnsi="Arial"/>
                <w:sz w:val="14"/>
                <w:szCs w:val="14"/>
                <w:color w:val="auto"/>
              </w:rPr>
              <w:t>4,630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20" w:type="dxa"/>
            <w:vAlign w:val="bottom"/>
            <w:gridSpan w:val="43"/>
            <w:shd w:val="clear" w:color="auto" w:fill="CCEEFF"/>
          </w:tcPr>
          <w:p>
            <w:pPr>
              <w:jc w:val="right"/>
              <w:spacing w:after="0"/>
              <w:rPr>
                <w:sz w:val="20"/>
                <w:szCs w:val="20"/>
                <w:color w:val="auto"/>
              </w:rPr>
            </w:pPr>
            <w:r>
              <w:rPr>
                <w:rFonts w:ascii="Arial" w:cs="Arial" w:eastAsia="Arial" w:hAnsi="Arial"/>
                <w:sz w:val="14"/>
                <w:szCs w:val="14"/>
                <w:color w:val="auto"/>
              </w:rPr>
              <w:t>Unpaid losses and LAE — 11th year and prior (excluding unallocated LAE)</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gridSpan w:val="3"/>
            <w:shd w:val="clear" w:color="auto" w:fill="CCEEFF"/>
          </w:tcPr>
          <w:p>
            <w:pPr>
              <w:jc w:val="right"/>
              <w:ind w:right="8"/>
              <w:spacing w:after="0"/>
              <w:rPr>
                <w:sz w:val="20"/>
                <w:szCs w:val="20"/>
                <w:color w:val="auto"/>
              </w:rPr>
            </w:pPr>
            <w:r>
              <w:rPr>
                <w:rFonts w:ascii="Arial" w:cs="Arial" w:eastAsia="Arial" w:hAnsi="Arial"/>
                <w:sz w:val="14"/>
                <w:szCs w:val="14"/>
                <w:color w:val="auto"/>
              </w:rPr>
              <w:t>354</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580" w:type="dxa"/>
            <w:vAlign w:val="bottom"/>
            <w:gridSpan w:val="40"/>
          </w:tcPr>
          <w:p>
            <w:pPr>
              <w:jc w:val="right"/>
              <w:spacing w:after="0"/>
              <w:rPr>
                <w:sz w:val="20"/>
                <w:szCs w:val="20"/>
                <w:color w:val="auto"/>
              </w:rPr>
            </w:pPr>
            <w:r>
              <w:rPr>
                <w:rFonts w:ascii="Arial" w:cs="Arial" w:eastAsia="Arial" w:hAnsi="Arial"/>
                <w:sz w:val="14"/>
                <w:szCs w:val="14"/>
                <w:color w:val="auto"/>
              </w:rPr>
              <w:t>Unpaid losses and LAE, net of reinsurance (excluding unallocated LAE)</w:t>
            </w:r>
          </w:p>
        </w:tc>
        <w:tc>
          <w:tcPr>
            <w:tcW w:w="320" w:type="dxa"/>
            <w:vAlign w:val="bottom"/>
            <w:gridSpan w:val="4"/>
          </w:tcPr>
          <w:p>
            <w:pPr>
              <w:jc w:val="right"/>
              <w:ind w:right="68"/>
              <w:spacing w:after="0"/>
              <w:rPr>
                <w:sz w:val="20"/>
                <w:szCs w:val="20"/>
                <w:color w:val="auto"/>
              </w:rPr>
            </w:pPr>
            <w:r>
              <w:rPr>
                <w:rFonts w:ascii="Arial" w:cs="Arial" w:eastAsia="Arial" w:hAnsi="Arial"/>
                <w:sz w:val="14"/>
                <w:szCs w:val="14"/>
                <w:color w:val="auto"/>
              </w:rPr>
              <w:t>$</w:t>
            </w:r>
          </w:p>
        </w:tc>
        <w:tc>
          <w:tcPr>
            <w:tcW w:w="500" w:type="dxa"/>
            <w:vAlign w:val="bottom"/>
            <w:gridSpan w:val="3"/>
          </w:tcPr>
          <w:p>
            <w:pPr>
              <w:jc w:val="right"/>
              <w:ind w:right="8"/>
              <w:spacing w:after="0"/>
              <w:rPr>
                <w:sz w:val="20"/>
                <w:szCs w:val="20"/>
                <w:color w:val="auto"/>
              </w:rPr>
            </w:pPr>
            <w:r>
              <w:rPr>
                <w:rFonts w:ascii="Arial" w:cs="Arial" w:eastAsia="Arial" w:hAnsi="Arial"/>
                <w:sz w:val="14"/>
                <w:szCs w:val="14"/>
                <w:color w:val="auto"/>
              </w:rPr>
              <w:t>4,984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40" w:type="dxa"/>
            <w:vAlign w:val="bottom"/>
            <w:gridSpan w:val="47"/>
            <w:vMerge w:val="restart"/>
          </w:tcPr>
          <w:p>
            <w:pPr>
              <w:jc w:val="right"/>
              <w:ind w:right="88"/>
              <w:spacing w:after="0"/>
              <w:rPr>
                <w:sz w:val="20"/>
                <w:szCs w:val="20"/>
                <w:color w:val="auto"/>
              </w:rPr>
            </w:pPr>
            <w:r>
              <w:rPr>
                <w:rFonts w:ascii="Arial" w:cs="Arial" w:eastAsia="Arial" w:hAnsi="Arial"/>
                <w:sz w:val="14"/>
                <w:szCs w:val="14"/>
                <w:color w:val="auto"/>
              </w:rPr>
              <w:t>Average Annual Percentage Payout of Incurred Claims by Age, Net of Reinsurance</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4"/>
        </w:trPr>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40" w:type="dxa"/>
            <w:vAlign w:val="bottom"/>
            <w:gridSpan w:val="47"/>
            <w:vMerge w:val="continue"/>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26"/>
          </w:tcPr>
          <w:p>
            <w:pPr>
              <w:jc w:val="right"/>
              <w:ind w:right="80"/>
              <w:spacing w:after="0"/>
              <w:rPr>
                <w:sz w:val="20"/>
                <w:szCs w:val="20"/>
                <w:color w:val="auto"/>
              </w:rPr>
            </w:pPr>
            <w:r>
              <w:rPr>
                <w:rFonts w:ascii="Arial" w:cs="Arial" w:eastAsia="Arial" w:hAnsi="Arial"/>
                <w:sz w:val="14"/>
                <w:szCs w:val="14"/>
                <w:color w:val="auto"/>
              </w:rPr>
              <w:t>(Supplementary Information and Unaudited)</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Year 1</w:t>
            </w: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Year 2</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color w:val="auto"/>
              </w:rPr>
              <w:t>Year 3</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color w:val="auto"/>
              </w:rPr>
              <w:t>Year 4</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color w:val="auto"/>
                <w:w w:val="92"/>
              </w:rPr>
              <w:t>Year 5</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color w:val="auto"/>
              </w:rPr>
              <w:t>Year 6</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color w:val="auto"/>
              </w:rPr>
              <w:t>Year 7</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color w:val="auto"/>
              </w:rPr>
              <w:t>Year 8</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Year 9</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gridSpan w:val="7"/>
          </w:tcPr>
          <w:p>
            <w:pPr>
              <w:jc w:val="right"/>
              <w:ind w:right="68"/>
              <w:spacing w:after="0"/>
              <w:rPr>
                <w:sz w:val="20"/>
                <w:szCs w:val="20"/>
                <w:color w:val="auto"/>
              </w:rPr>
            </w:pPr>
            <w:r>
              <w:rPr>
                <w:rFonts w:ascii="Arial" w:cs="Arial" w:eastAsia="Arial" w:hAnsi="Arial"/>
                <w:sz w:val="14"/>
                <w:szCs w:val="14"/>
                <w:color w:val="auto"/>
              </w:rPr>
              <w:t>Year 10</w:t>
            </w:r>
          </w:p>
        </w:tc>
        <w:tc>
          <w:tcPr>
            <w:tcW w:w="1060" w:type="dxa"/>
            <w:vAlign w:val="bottom"/>
            <w:tcBorders>
              <w:bottom w:val="single" w:sz="8" w:color="CCEEFF"/>
            </w:tcBorders>
            <w:gridSpan w:val="3"/>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98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Annual</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16.4 %</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20.9 %</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15.4 %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5"/>
            <w:shd w:val="clear" w:color="auto" w:fill="CCEEFF"/>
          </w:tcPr>
          <w:p>
            <w:pPr>
              <w:jc w:val="right"/>
              <w:ind w:right="20"/>
              <w:spacing w:after="0"/>
              <w:rPr>
                <w:sz w:val="20"/>
                <w:szCs w:val="20"/>
                <w:color w:val="auto"/>
              </w:rPr>
            </w:pPr>
            <w:r>
              <w:rPr>
                <w:rFonts w:ascii="Arial" w:cs="Arial" w:eastAsia="Arial" w:hAnsi="Arial"/>
                <w:sz w:val="14"/>
                <w:szCs w:val="14"/>
                <w:color w:val="auto"/>
              </w:rPr>
              <w:t>11.9 %</w:t>
            </w:r>
          </w:p>
        </w:tc>
        <w:tc>
          <w:tcPr>
            <w:tcW w:w="40" w:type="dxa"/>
            <w:vAlign w:val="bottom"/>
            <w:shd w:val="clear" w:color="auto" w:fill="CCEEFF"/>
          </w:tcPr>
          <w:p>
            <w:pPr>
              <w:spacing w:after="0"/>
              <w:rPr>
                <w:sz w:val="17"/>
                <w:szCs w:val="17"/>
                <w:color w:val="auto"/>
              </w:rPr>
            </w:pPr>
          </w:p>
        </w:tc>
        <w:tc>
          <w:tcPr>
            <w:tcW w:w="780" w:type="dxa"/>
            <w:vAlign w:val="bottom"/>
            <w:gridSpan w:val="6"/>
            <w:shd w:val="clear" w:color="auto" w:fill="CCEEFF"/>
          </w:tcPr>
          <w:p>
            <w:pPr>
              <w:jc w:val="right"/>
              <w:ind w:right="20"/>
              <w:spacing w:after="0"/>
              <w:rPr>
                <w:sz w:val="20"/>
                <w:szCs w:val="20"/>
                <w:color w:val="auto"/>
              </w:rPr>
            </w:pPr>
            <w:r>
              <w:rPr>
                <w:rFonts w:ascii="Arial" w:cs="Arial" w:eastAsia="Arial" w:hAnsi="Arial"/>
                <w:sz w:val="14"/>
                <w:szCs w:val="14"/>
                <w:color w:val="auto"/>
              </w:rPr>
              <w:t>8.4 %</w:t>
            </w:r>
          </w:p>
        </w:tc>
        <w:tc>
          <w:tcPr>
            <w:tcW w:w="820" w:type="dxa"/>
            <w:vAlign w:val="bottom"/>
            <w:gridSpan w:val="6"/>
            <w:shd w:val="clear" w:color="auto" w:fill="CCEEFF"/>
          </w:tcPr>
          <w:p>
            <w:pPr>
              <w:jc w:val="right"/>
              <w:spacing w:after="0"/>
              <w:rPr>
                <w:sz w:val="20"/>
                <w:szCs w:val="20"/>
                <w:color w:val="auto"/>
              </w:rPr>
            </w:pPr>
            <w:r>
              <w:rPr>
                <w:rFonts w:ascii="Arial" w:cs="Arial" w:eastAsia="Arial" w:hAnsi="Arial"/>
                <w:sz w:val="14"/>
                <w:szCs w:val="14"/>
                <w:color w:val="auto"/>
              </w:rPr>
              <w:t>5.9 %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gridSpan w:val="6"/>
            <w:shd w:val="clear" w:color="auto" w:fill="CCEEFF"/>
          </w:tcPr>
          <w:p>
            <w:pPr>
              <w:jc w:val="right"/>
              <w:spacing w:after="0"/>
              <w:rPr>
                <w:sz w:val="20"/>
                <w:szCs w:val="20"/>
                <w:color w:val="auto"/>
              </w:rPr>
            </w:pPr>
            <w:r>
              <w:rPr>
                <w:rFonts w:ascii="Arial" w:cs="Arial" w:eastAsia="Arial" w:hAnsi="Arial"/>
                <w:sz w:val="14"/>
                <w:szCs w:val="14"/>
                <w:color w:val="auto"/>
              </w:rPr>
              <w:t>4.0 %</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gridSpan w:val="6"/>
            <w:shd w:val="clear" w:color="auto" w:fill="CCEEFF"/>
          </w:tcPr>
          <w:p>
            <w:pPr>
              <w:jc w:val="right"/>
              <w:spacing w:after="0"/>
              <w:rPr>
                <w:sz w:val="20"/>
                <w:szCs w:val="20"/>
                <w:color w:val="auto"/>
              </w:rPr>
            </w:pPr>
            <w:r>
              <w:rPr>
                <w:rFonts w:ascii="Arial" w:cs="Arial" w:eastAsia="Arial" w:hAnsi="Arial"/>
                <w:sz w:val="14"/>
                <w:szCs w:val="14"/>
                <w:color w:val="auto"/>
              </w:rPr>
              <w:t>3.0 %</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980" w:type="dxa"/>
            <w:vAlign w:val="bottom"/>
            <w:gridSpan w:val="4"/>
          </w:tcPr>
          <w:p>
            <w:pPr>
              <w:ind w:left="20"/>
              <w:spacing w:after="0"/>
              <w:rPr>
                <w:sz w:val="20"/>
                <w:szCs w:val="20"/>
                <w:color w:val="auto"/>
              </w:rPr>
            </w:pPr>
            <w:r>
              <w:rPr>
                <w:rFonts w:ascii="Arial" w:cs="Arial" w:eastAsia="Arial" w:hAnsi="Arial"/>
                <w:sz w:val="13"/>
                <w:szCs w:val="13"/>
                <w:color w:val="auto"/>
              </w:rPr>
              <w:t>Cumulative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16.4 %</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37.3 %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gridSpan w:val="4"/>
          </w:tcPr>
          <w:p>
            <w:pPr>
              <w:jc w:val="right"/>
              <w:spacing w:after="0"/>
              <w:rPr>
                <w:sz w:val="20"/>
                <w:szCs w:val="20"/>
                <w:color w:val="auto"/>
              </w:rPr>
            </w:pPr>
            <w:r>
              <w:rPr>
                <w:rFonts w:ascii="Arial" w:cs="Arial" w:eastAsia="Arial" w:hAnsi="Arial"/>
                <w:sz w:val="14"/>
                <w:szCs w:val="14"/>
                <w:color w:val="auto"/>
              </w:rPr>
              <w:t>52.7 %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5"/>
          </w:tcPr>
          <w:p>
            <w:pPr>
              <w:jc w:val="right"/>
              <w:ind w:right="20"/>
              <w:spacing w:after="0"/>
              <w:rPr>
                <w:sz w:val="20"/>
                <w:szCs w:val="20"/>
                <w:color w:val="auto"/>
              </w:rPr>
            </w:pPr>
            <w:r>
              <w:rPr>
                <w:rFonts w:ascii="Arial" w:cs="Arial" w:eastAsia="Arial" w:hAnsi="Arial"/>
                <w:sz w:val="14"/>
                <w:szCs w:val="14"/>
                <w:color w:val="auto"/>
              </w:rPr>
              <w:t>64.6 %</w:t>
            </w:r>
          </w:p>
        </w:tc>
        <w:tc>
          <w:tcPr>
            <w:tcW w:w="40" w:type="dxa"/>
            <w:vAlign w:val="bottom"/>
          </w:tcPr>
          <w:p>
            <w:pPr>
              <w:spacing w:after="0"/>
              <w:rPr>
                <w:sz w:val="16"/>
                <w:szCs w:val="16"/>
                <w:color w:val="auto"/>
              </w:rPr>
            </w:pPr>
          </w:p>
        </w:tc>
        <w:tc>
          <w:tcPr>
            <w:tcW w:w="780" w:type="dxa"/>
            <w:vAlign w:val="bottom"/>
            <w:gridSpan w:val="6"/>
          </w:tcPr>
          <w:p>
            <w:pPr>
              <w:jc w:val="right"/>
              <w:ind w:right="20"/>
              <w:spacing w:after="0"/>
              <w:rPr>
                <w:sz w:val="20"/>
                <w:szCs w:val="20"/>
                <w:color w:val="auto"/>
              </w:rPr>
            </w:pPr>
            <w:r>
              <w:rPr>
                <w:rFonts w:ascii="Arial" w:cs="Arial" w:eastAsia="Arial" w:hAnsi="Arial"/>
                <w:sz w:val="14"/>
                <w:szCs w:val="14"/>
                <w:color w:val="auto"/>
              </w:rPr>
              <w:t>73.0 %</w:t>
            </w:r>
          </w:p>
        </w:tc>
        <w:tc>
          <w:tcPr>
            <w:tcW w:w="820" w:type="dxa"/>
            <w:vAlign w:val="bottom"/>
            <w:gridSpan w:val="6"/>
          </w:tcPr>
          <w:p>
            <w:pPr>
              <w:jc w:val="right"/>
              <w:spacing w:after="0"/>
              <w:rPr>
                <w:sz w:val="20"/>
                <w:szCs w:val="20"/>
                <w:color w:val="auto"/>
              </w:rPr>
            </w:pPr>
            <w:r>
              <w:rPr>
                <w:rFonts w:ascii="Arial" w:cs="Arial" w:eastAsia="Arial" w:hAnsi="Arial"/>
                <w:sz w:val="14"/>
                <w:szCs w:val="14"/>
                <w:color w:val="auto"/>
              </w:rPr>
              <w:t>78.9 %</w:t>
            </w:r>
          </w:p>
        </w:tc>
        <w:tc>
          <w:tcPr>
            <w:tcW w:w="860" w:type="dxa"/>
            <w:vAlign w:val="bottom"/>
            <w:gridSpan w:val="9"/>
          </w:tcPr>
          <w:p>
            <w:pPr>
              <w:jc w:val="right"/>
              <w:spacing w:after="0"/>
              <w:rPr>
                <w:sz w:val="20"/>
                <w:szCs w:val="20"/>
                <w:color w:val="auto"/>
              </w:rPr>
            </w:pPr>
            <w:r>
              <w:rPr>
                <w:rFonts w:ascii="Arial" w:cs="Arial" w:eastAsia="Arial" w:hAnsi="Arial"/>
                <w:sz w:val="14"/>
                <w:szCs w:val="14"/>
                <w:color w:val="auto"/>
              </w:rPr>
              <w:t>82.9 %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gridSpan w:val="6"/>
          </w:tcPr>
          <w:p>
            <w:pPr>
              <w:jc w:val="right"/>
              <w:spacing w:after="0"/>
              <w:rPr>
                <w:sz w:val="20"/>
                <w:szCs w:val="20"/>
                <w:color w:val="auto"/>
              </w:rPr>
            </w:pPr>
            <w:r>
              <w:rPr>
                <w:rFonts w:ascii="Arial" w:cs="Arial" w:eastAsia="Arial" w:hAnsi="Arial"/>
                <w:sz w:val="14"/>
                <w:szCs w:val="14"/>
                <w:color w:val="auto"/>
                <w:w w:val="96"/>
              </w:rPr>
              <w:t>85.9 %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gridSpan w:val="5"/>
          </w:tcPr>
          <w:p>
            <w:pPr>
              <w:jc w:val="right"/>
              <w:spacing w:after="0"/>
              <w:rPr>
                <w:sz w:val="20"/>
                <w:szCs w:val="20"/>
                <w:color w:val="auto"/>
              </w:rPr>
            </w:pPr>
            <w:r>
              <w:rPr>
                <w:rFonts w:ascii="Arial" w:cs="Arial" w:eastAsia="Arial" w:hAnsi="Arial"/>
                <w:sz w:val="14"/>
                <w:szCs w:val="14"/>
                <w:color w:val="auto"/>
              </w:rPr>
              <w:t>87.9 %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gridSpan w:val="5"/>
          </w:tcPr>
          <w:p>
            <w:pPr>
              <w:jc w:val="right"/>
              <w:spacing w:after="0"/>
              <w:rPr>
                <w:sz w:val="20"/>
                <w:szCs w:val="20"/>
                <w:color w:val="auto"/>
              </w:rPr>
            </w:pPr>
            <w:r>
              <w:rPr>
                <w:rFonts w:ascii="Arial" w:cs="Arial" w:eastAsia="Arial" w:hAnsi="Arial"/>
                <w:sz w:val="14"/>
                <w:szCs w:val="14"/>
                <w:color w:val="auto"/>
              </w:rPr>
              <w:t>89.8 %</w:t>
            </w: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00" w:hanging="392"/>
        <w:spacing w:after="0"/>
        <w:tabs>
          <w:tab w:leader="none" w:pos="4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Represents the cumulative percentage paid of incurred claims and allocated LAE (net of reinsurance, as estimated at December 31, 2023).</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5440"/>
        <w:spacing w:after="0"/>
        <w:rPr>
          <w:rFonts w:ascii="Arial" w:cs="Arial" w:eastAsia="Arial" w:hAnsi="Arial"/>
          <w:sz w:val="17"/>
          <w:szCs w:val="17"/>
          <w:color w:val="auto"/>
        </w:rPr>
      </w:pPr>
      <w:r>
        <w:rPr>
          <w:rFonts w:ascii="Arial" w:cs="Arial" w:eastAsia="Arial" w:hAnsi="Arial"/>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8" w:name="page129"/>
    <w:bookmarkEnd w:id="12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AMERICAN FINANCIAL GROUP,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NOTES TO CONSOLIDATED FINANCIAL STATEMENTS — CONTINUED</w:t>
      </w: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0274E"/>
        </w:rPr>
        <w:t>Specialty financial</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(Dollars in Millions)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80" w:type="dxa"/>
            <w:vAlign w:val="bottom"/>
            <w:gridSpan w:val="26"/>
          </w:tcPr>
          <w:p>
            <w:pPr>
              <w:jc w:val="center"/>
              <w:ind w:left="228"/>
              <w:spacing w:after="0"/>
              <w:rPr>
                <w:sz w:val="20"/>
                <w:szCs w:val="20"/>
                <w:color w:val="auto"/>
              </w:rPr>
            </w:pPr>
            <w:r>
              <w:rPr>
                <w:rFonts w:ascii="Arial" w:cs="Arial" w:eastAsia="Arial" w:hAnsi="Arial"/>
                <w:sz w:val="14"/>
                <w:szCs w:val="14"/>
                <w:color w:val="auto"/>
              </w:rPr>
              <w:t>Incurred Claims and Allocated LAE, Net of Reinsurance</w:t>
            </w: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jc w:val="right"/>
              <w:ind w:right="330"/>
              <w:spacing w:after="0"/>
              <w:rPr>
                <w:sz w:val="20"/>
                <w:szCs w:val="20"/>
                <w:color w:val="auto"/>
              </w:rPr>
            </w:pPr>
            <w:r>
              <w:rPr>
                <w:rFonts w:ascii="Arial" w:cs="Arial" w:eastAsia="Arial" w:hAnsi="Arial"/>
                <w:sz w:val="14"/>
                <w:szCs w:val="14"/>
                <w:color w:val="auto"/>
              </w:rPr>
              <w:t>As of December 31, 2023</w:t>
            </w:r>
          </w:p>
        </w:tc>
        <w:tc>
          <w:tcPr>
            <w:tcW w:w="0" w:type="dxa"/>
            <w:vAlign w:val="bottom"/>
          </w:tcPr>
          <w:p>
            <w:pPr>
              <w:spacing w:after="0"/>
              <w:rPr>
                <w:sz w:val="1"/>
                <w:szCs w:val="1"/>
                <w:color w:val="auto"/>
              </w:rPr>
            </w:pPr>
          </w:p>
        </w:tc>
      </w:tr>
      <w:tr>
        <w:trPr>
          <w:trHeight w:val="187"/>
        </w:trPr>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0" w:type="dxa"/>
            <w:vAlign w:val="bottom"/>
            <w:gridSpan w:val="40"/>
          </w:tcPr>
          <w:p>
            <w:pPr>
              <w:jc w:val="center"/>
              <w:spacing w:after="0"/>
              <w:rPr>
                <w:sz w:val="20"/>
                <w:szCs w:val="20"/>
                <w:color w:val="auto"/>
              </w:rPr>
            </w:pPr>
            <w:r>
              <w:rPr>
                <w:rFonts w:ascii="Arial" w:cs="Arial" w:eastAsia="Arial" w:hAnsi="Arial"/>
                <w:sz w:val="14"/>
                <w:szCs w:val="14"/>
                <w:color w:val="auto"/>
              </w:rPr>
              <w:t>For the Years Ended (2014–2022 is Supplementary Information and Unaudited)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4"/>
          </w:tcPr>
          <w:p>
            <w:pPr>
              <w:jc w:val="center"/>
              <w:ind w:right="180"/>
              <w:spacing w:after="0"/>
              <w:rPr>
                <w:sz w:val="20"/>
                <w:szCs w:val="20"/>
                <w:color w:val="auto"/>
              </w:rPr>
            </w:pPr>
            <w:r>
              <w:rPr>
                <w:rFonts w:ascii="Arial" w:cs="Arial" w:eastAsia="Arial" w:hAnsi="Arial"/>
                <w:sz w:val="13"/>
                <w:szCs w:val="13"/>
                <w:color w:val="auto"/>
              </w:rPr>
              <w:t>Total IBNR Plus</w:t>
            </w:r>
          </w:p>
        </w:tc>
        <w:tc>
          <w:tcPr>
            <w:tcW w:w="960" w:type="dxa"/>
            <w:vAlign w:val="bottom"/>
          </w:tcPr>
          <w:p>
            <w:pPr>
              <w:jc w:val="center"/>
              <w:spacing w:after="0"/>
              <w:rPr>
                <w:sz w:val="20"/>
                <w:szCs w:val="20"/>
                <w:color w:val="auto"/>
              </w:rPr>
            </w:pPr>
            <w:r>
              <w:rPr>
                <w:rFonts w:ascii="Arial" w:cs="Arial" w:eastAsia="Arial" w:hAnsi="Arial"/>
                <w:sz w:val="13"/>
                <w:szCs w:val="13"/>
                <w:color w:val="auto"/>
              </w:rPr>
              <w:t>Cumulative</w:t>
            </w:r>
          </w:p>
        </w:tc>
        <w:tc>
          <w:tcPr>
            <w:tcW w:w="0" w:type="dxa"/>
            <w:vAlign w:val="bottom"/>
          </w:tcPr>
          <w:p>
            <w:pPr>
              <w:spacing w:after="0"/>
              <w:rPr>
                <w:sz w:val="1"/>
                <w:szCs w:val="1"/>
                <w:color w:val="auto"/>
              </w:rPr>
            </w:pPr>
          </w:p>
        </w:tc>
      </w:tr>
      <w:tr>
        <w:trPr>
          <w:trHeight w:val="54"/>
        </w:trPr>
        <w:tc>
          <w:tcPr>
            <w:tcW w:w="1000" w:type="dxa"/>
            <w:vAlign w:val="bottom"/>
            <w:gridSpan w:val="3"/>
            <w:vMerge w:val="restart"/>
          </w:tcPr>
          <w:p>
            <w:pPr>
              <w:jc w:val="center"/>
              <w:ind w:right="80"/>
              <w:spacing w:after="0"/>
              <w:rPr>
                <w:sz w:val="20"/>
                <w:szCs w:val="20"/>
                <w:color w:val="auto"/>
              </w:rPr>
            </w:pPr>
            <w:r>
              <w:rPr>
                <w:rFonts w:ascii="Arial" w:cs="Arial" w:eastAsia="Arial" w:hAnsi="Arial"/>
                <w:sz w:val="14"/>
                <w:szCs w:val="14"/>
                <w:color w:val="auto"/>
              </w:rPr>
              <w:t>Accident</w:t>
            </w:r>
          </w:p>
        </w:tc>
        <w:tc>
          <w:tcPr>
            <w:tcW w:w="7720" w:type="dxa"/>
            <w:vAlign w:val="bottom"/>
            <w:tcBorders>
              <w:bottom w:val="single" w:sz="8" w:color="auto"/>
            </w:tcBorders>
            <w:gridSpan w:val="50"/>
          </w:tcPr>
          <w:p>
            <w:pPr>
              <w:spacing w:after="0"/>
              <w:rPr>
                <w:sz w:val="4"/>
                <w:szCs w:val="4"/>
                <w:color w:val="auto"/>
              </w:rPr>
            </w:pPr>
          </w:p>
        </w:tc>
        <w:tc>
          <w:tcPr>
            <w:tcW w:w="200" w:type="dxa"/>
            <w:vAlign w:val="bottom"/>
            <w:gridSpan w:val="3"/>
          </w:tcPr>
          <w:p>
            <w:pPr>
              <w:spacing w:after="0"/>
              <w:rPr>
                <w:sz w:val="4"/>
                <w:szCs w:val="4"/>
                <w:color w:val="auto"/>
              </w:rPr>
            </w:pPr>
          </w:p>
        </w:tc>
        <w:tc>
          <w:tcPr>
            <w:tcW w:w="1360" w:type="dxa"/>
            <w:vAlign w:val="bottom"/>
            <w:gridSpan w:val="4"/>
            <w:vMerge w:val="restart"/>
          </w:tcPr>
          <w:p>
            <w:pPr>
              <w:jc w:val="center"/>
              <w:ind w:right="200"/>
              <w:spacing w:after="0" w:line="109" w:lineRule="exact"/>
              <w:rPr>
                <w:sz w:val="20"/>
                <w:szCs w:val="20"/>
                <w:color w:val="auto"/>
              </w:rPr>
            </w:pPr>
            <w:r>
              <w:rPr>
                <w:rFonts w:ascii="Arial" w:cs="Arial" w:eastAsia="Arial" w:hAnsi="Arial"/>
                <w:sz w:val="12"/>
                <w:szCs w:val="12"/>
                <w:color w:val="auto"/>
              </w:rPr>
              <w:t>Expected</w:t>
            </w:r>
          </w:p>
        </w:tc>
        <w:tc>
          <w:tcPr>
            <w:tcW w:w="960" w:type="dxa"/>
            <w:vAlign w:val="bottom"/>
            <w:vMerge w:val="restart"/>
          </w:tcPr>
          <w:p>
            <w:pPr>
              <w:jc w:val="center"/>
              <w:spacing w:after="0" w:line="109" w:lineRule="exact"/>
              <w:rPr>
                <w:sz w:val="20"/>
                <w:szCs w:val="20"/>
                <w:color w:val="auto"/>
              </w:rPr>
            </w:pPr>
            <w:r>
              <w:rPr>
                <w:rFonts w:ascii="Arial" w:cs="Arial" w:eastAsia="Arial" w:hAnsi="Arial"/>
                <w:sz w:val="12"/>
                <w:szCs w:val="12"/>
                <w:color w:val="auto"/>
              </w:rPr>
              <w:t>Number of</w:t>
            </w:r>
          </w:p>
        </w:tc>
        <w:tc>
          <w:tcPr>
            <w:tcW w:w="0" w:type="dxa"/>
            <w:vAlign w:val="bottom"/>
          </w:tcPr>
          <w:p>
            <w:pPr>
              <w:spacing w:after="0"/>
              <w:rPr>
                <w:sz w:val="1"/>
                <w:szCs w:val="1"/>
                <w:color w:val="auto"/>
              </w:rPr>
            </w:pPr>
          </w:p>
        </w:tc>
      </w:tr>
      <w:tr>
        <w:trPr>
          <w:trHeight w:val="35"/>
        </w:trPr>
        <w:tc>
          <w:tcPr>
            <w:tcW w:w="1000" w:type="dxa"/>
            <w:vAlign w:val="bottom"/>
            <w:gridSpan w:val="3"/>
            <w:vMerge w:val="continue"/>
          </w:tcPr>
          <w:p>
            <w:pPr>
              <w:spacing w:after="0"/>
              <w:rPr>
                <w:sz w:val="3"/>
                <w:szCs w:val="3"/>
                <w:color w:val="auto"/>
              </w:rPr>
            </w:pPr>
          </w:p>
        </w:tc>
        <w:tc>
          <w:tcPr>
            <w:tcW w:w="7920" w:type="dxa"/>
            <w:vAlign w:val="bottom"/>
            <w:gridSpan w:val="53"/>
          </w:tcPr>
          <w:p>
            <w:pPr>
              <w:spacing w:after="0"/>
              <w:rPr>
                <w:sz w:val="3"/>
                <w:szCs w:val="3"/>
                <w:color w:val="auto"/>
              </w:rPr>
            </w:pPr>
          </w:p>
        </w:tc>
        <w:tc>
          <w:tcPr>
            <w:tcW w:w="1360" w:type="dxa"/>
            <w:vAlign w:val="bottom"/>
            <w:gridSpan w:val="4"/>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10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ind w:right="108"/>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ind w:right="108"/>
              <w:spacing w:after="0"/>
              <w:rPr>
                <w:sz w:val="20"/>
                <w:szCs w:val="20"/>
                <w:color w:val="auto"/>
              </w:rPr>
            </w:pPr>
            <w:r>
              <w:rPr>
                <w:rFonts w:ascii="Arial" w:cs="Arial" w:eastAsia="Arial" w:hAnsi="Arial"/>
                <w:sz w:val="14"/>
                <w:szCs w:val="14"/>
                <w:color w:val="auto"/>
              </w:rPr>
              <w:t>2015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restart"/>
          </w:tcPr>
          <w:p>
            <w:pPr>
              <w:jc w:val="right"/>
              <w:ind w:right="10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auto"/>
              </w:rPr>
              <w:t>2017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4"/>
                <w:szCs w:val="14"/>
                <w:color w:val="auto"/>
              </w:rPr>
              <w:t>2018</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vMerge w:val="restart"/>
          </w:tcPr>
          <w:p>
            <w:pPr>
              <w:jc w:val="right"/>
              <w:ind w:right="88"/>
              <w:spacing w:after="0"/>
              <w:rPr>
                <w:sz w:val="20"/>
                <w:szCs w:val="20"/>
                <w:color w:val="auto"/>
              </w:rPr>
            </w:pPr>
            <w:r>
              <w:rPr>
                <w:rFonts w:ascii="Arial" w:cs="Arial" w:eastAsia="Arial" w:hAnsi="Arial"/>
                <w:sz w:val="14"/>
                <w:szCs w:val="14"/>
                <w:color w:val="auto"/>
              </w:rPr>
              <w:t>2019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2020</w:t>
            </w:r>
          </w:p>
        </w:tc>
        <w:tc>
          <w:tcPr>
            <w:tcW w:w="60" w:type="dxa"/>
            <w:vAlign w:val="bottom"/>
            <w:gridSpan w:val="2"/>
            <w:vMerge w:val="restart"/>
          </w:tcPr>
          <w:p>
            <w:pPr>
              <w:spacing w:after="0"/>
              <w:rPr>
                <w:sz w:val="11"/>
                <w:szCs w:val="11"/>
                <w:color w:val="auto"/>
              </w:rPr>
            </w:pPr>
          </w:p>
        </w:tc>
        <w:tc>
          <w:tcPr>
            <w:tcW w:w="100" w:type="dxa"/>
            <w:vAlign w:val="bottom"/>
            <w:gridSpan w:val="2"/>
            <w:vMerge w:val="restart"/>
          </w:tcPr>
          <w:p>
            <w:pPr>
              <w:spacing w:after="0"/>
              <w:rPr>
                <w:sz w:val="11"/>
                <w:szCs w:val="11"/>
                <w:color w:val="auto"/>
              </w:rPr>
            </w:pPr>
          </w:p>
        </w:tc>
        <w:tc>
          <w:tcPr>
            <w:tcW w:w="620" w:type="dxa"/>
            <w:vAlign w:val="bottom"/>
            <w:gridSpan w:val="3"/>
            <w:vMerge w:val="restart"/>
          </w:tcPr>
          <w:p>
            <w:pPr>
              <w:jc w:val="right"/>
              <w:ind w:right="48"/>
              <w:spacing w:after="0"/>
              <w:rPr>
                <w:sz w:val="20"/>
                <w:szCs w:val="20"/>
                <w:color w:val="auto"/>
              </w:rPr>
            </w:pPr>
            <w:r>
              <w:rPr>
                <w:rFonts w:ascii="Arial" w:cs="Arial" w:eastAsia="Arial" w:hAnsi="Arial"/>
                <w:sz w:val="14"/>
                <w:szCs w:val="14"/>
                <w:color w:val="auto"/>
              </w:rPr>
              <w:t>2021</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3"/>
            <w:vMerge w:val="restart"/>
          </w:tcPr>
          <w:p>
            <w:pPr>
              <w:jc w:val="right"/>
              <w:ind w:right="108"/>
              <w:spacing w:after="0"/>
              <w:rPr>
                <w:sz w:val="20"/>
                <w:szCs w:val="20"/>
                <w:color w:val="auto"/>
              </w:rPr>
            </w:pPr>
            <w:r>
              <w:rPr>
                <w:rFonts w:ascii="Arial" w:cs="Arial" w:eastAsia="Arial" w:hAnsi="Arial"/>
                <w:sz w:val="14"/>
                <w:szCs w:val="14"/>
                <w:color w:val="auto"/>
              </w:rPr>
              <w:t>2022</w:t>
            </w:r>
          </w:p>
        </w:tc>
        <w:tc>
          <w:tcPr>
            <w:tcW w:w="100" w:type="dxa"/>
            <w:vAlign w:val="bottom"/>
            <w:gridSpan w:val="2"/>
            <w:vMerge w:val="restart"/>
          </w:tcPr>
          <w:p>
            <w:pPr>
              <w:spacing w:after="0"/>
              <w:rPr>
                <w:sz w:val="11"/>
                <w:szCs w:val="11"/>
                <w:color w:val="auto"/>
              </w:rPr>
            </w:pPr>
          </w:p>
        </w:tc>
        <w:tc>
          <w:tcPr>
            <w:tcW w:w="720" w:type="dxa"/>
            <w:vAlign w:val="bottom"/>
            <w:gridSpan w:val="4"/>
            <w:vMerge w:val="restart"/>
          </w:tcPr>
          <w:p>
            <w:pPr>
              <w:jc w:val="right"/>
              <w:ind w:right="128"/>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4"/>
          </w:tcPr>
          <w:p>
            <w:pPr>
              <w:jc w:val="center"/>
              <w:ind w:right="180"/>
              <w:spacing w:after="0" w:line="135" w:lineRule="exact"/>
              <w:rPr>
                <w:sz w:val="20"/>
                <w:szCs w:val="20"/>
                <w:color w:val="auto"/>
              </w:rPr>
            </w:pPr>
            <w:r>
              <w:rPr>
                <w:rFonts w:ascii="Arial" w:cs="Arial" w:eastAsia="Arial" w:hAnsi="Arial"/>
                <w:sz w:val="13"/>
                <w:szCs w:val="13"/>
                <w:color w:val="auto"/>
              </w:rPr>
              <w:t>Development on</w:t>
            </w:r>
          </w:p>
        </w:tc>
        <w:tc>
          <w:tcPr>
            <w:tcW w:w="960" w:type="dxa"/>
            <w:vAlign w:val="bottom"/>
          </w:tcPr>
          <w:p>
            <w:pPr>
              <w:jc w:val="center"/>
              <w:spacing w:after="0" w:line="135" w:lineRule="exact"/>
              <w:rPr>
                <w:sz w:val="20"/>
                <w:szCs w:val="20"/>
                <w:color w:val="auto"/>
              </w:rPr>
            </w:pPr>
            <w:r>
              <w:rPr>
                <w:rFonts w:ascii="Arial" w:cs="Arial" w:eastAsia="Arial" w:hAnsi="Arial"/>
                <w:sz w:val="13"/>
                <w:szCs w:val="13"/>
                <w:color w:val="auto"/>
              </w:rPr>
              <w:t>Reported</w:t>
            </w:r>
          </w:p>
        </w:tc>
        <w:tc>
          <w:tcPr>
            <w:tcW w:w="0" w:type="dxa"/>
            <w:vAlign w:val="bottom"/>
          </w:tcPr>
          <w:p>
            <w:pPr>
              <w:spacing w:after="0"/>
              <w:rPr>
                <w:sz w:val="1"/>
                <w:szCs w:val="1"/>
                <w:color w:val="auto"/>
              </w:rPr>
            </w:pPr>
          </w:p>
        </w:tc>
      </w:tr>
      <w:tr>
        <w:trPr>
          <w:trHeight w:val="188"/>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Year</w:t>
            </w:r>
          </w:p>
        </w:tc>
        <w:tc>
          <w:tcPr>
            <w:tcW w:w="80" w:type="dxa"/>
            <w:vAlign w:val="bottom"/>
            <w:tcBorders>
              <w:bottom w:val="single" w:sz="8" w:color="CCEEFF"/>
            </w:tcBorders>
            <w:gridSpan w:val="2"/>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62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720" w:type="dxa"/>
            <w:vAlign w:val="bottom"/>
            <w:tcBorders>
              <w:bottom w:val="single" w:sz="8" w:color="auto"/>
            </w:tcBorders>
            <w:gridSpan w:val="4"/>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8"/>
              <w:spacing w:after="0"/>
              <w:rPr>
                <w:sz w:val="20"/>
                <w:szCs w:val="20"/>
                <w:color w:val="auto"/>
              </w:rPr>
            </w:pPr>
            <w:r>
              <w:rPr>
                <w:rFonts w:ascii="Arial" w:cs="Arial" w:eastAsia="Arial" w:hAnsi="Arial"/>
                <w:sz w:val="13"/>
                <w:szCs w:val="13"/>
                <w:color w:val="auto"/>
              </w:rPr>
              <w:t>Reported Claims</w:t>
            </w:r>
          </w:p>
        </w:tc>
        <w:tc>
          <w:tcPr>
            <w:tcW w:w="100" w:type="dxa"/>
            <w:vAlign w:val="bottom"/>
            <w:tcBorders>
              <w:bottom w:val="single" w:sz="8" w:color="CCEEFF"/>
            </w:tcBorders>
            <w:gridSpan w:val="2"/>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Claims</w:t>
            </w:r>
          </w:p>
        </w:tc>
        <w:tc>
          <w:tcPr>
            <w:tcW w:w="0" w:type="dxa"/>
            <w:vAlign w:val="bottom"/>
          </w:tcPr>
          <w:p>
            <w:pPr>
              <w:spacing w:after="0"/>
              <w:rPr>
                <w:sz w:val="1"/>
                <w:szCs w:val="1"/>
                <w:color w:val="auto"/>
              </w:rPr>
            </w:pPr>
          </w:p>
        </w:tc>
      </w:tr>
      <w:tr>
        <w:trPr>
          <w:trHeight w:val="196"/>
        </w:trPr>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157</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153</w:t>
            </w:r>
          </w:p>
        </w:tc>
        <w:tc>
          <w:tcPr>
            <w:tcW w:w="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147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142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380" w:type="dxa"/>
            <w:vAlign w:val="bottom"/>
            <w:gridSpan w:val="5"/>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32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2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135</w:t>
            </w:r>
          </w:p>
        </w:tc>
        <w:tc>
          <w:tcPr>
            <w:tcW w:w="360" w:type="dxa"/>
            <w:vAlign w:val="bottom"/>
            <w:gridSpan w:val="3"/>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29,471</w:t>
            </w:r>
          </w:p>
        </w:tc>
        <w:tc>
          <w:tcPr>
            <w:tcW w:w="0" w:type="dxa"/>
            <w:vAlign w:val="bottom"/>
          </w:tcPr>
          <w:p>
            <w:pPr>
              <w:spacing w:after="0"/>
              <w:rPr>
                <w:sz w:val="1"/>
                <w:szCs w:val="1"/>
                <w:color w:val="auto"/>
              </w:rPr>
            </w:pPr>
          </w:p>
        </w:tc>
      </w:tr>
      <w:tr>
        <w:trPr>
          <w:trHeight w:val="198"/>
        </w:trPr>
        <w:tc>
          <w:tcPr>
            <w:tcW w:w="920" w:type="dxa"/>
            <w:vAlign w:val="bottom"/>
          </w:tcPr>
          <w:p>
            <w:pPr>
              <w:jc w:val="center"/>
              <w:spacing w:after="0"/>
              <w:rPr>
                <w:sz w:val="20"/>
                <w:szCs w:val="20"/>
                <w:color w:val="auto"/>
              </w:rPr>
            </w:pPr>
            <w:r>
              <w:rPr>
                <w:rFonts w:ascii="Arial" w:cs="Arial" w:eastAsia="Arial" w:hAnsi="Arial"/>
                <w:sz w:val="14"/>
                <w:szCs w:val="14"/>
                <w:color w:val="auto"/>
              </w:rPr>
              <w:t>2015</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156</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ind w:left="260"/>
              <w:spacing w:after="0"/>
              <w:rPr>
                <w:sz w:val="20"/>
                <w:szCs w:val="20"/>
                <w:color w:val="auto"/>
              </w:rPr>
            </w:pPr>
            <w:r>
              <w:rPr>
                <w:rFonts w:ascii="Arial" w:cs="Arial" w:eastAsia="Arial" w:hAnsi="Arial"/>
                <w:sz w:val="14"/>
                <w:szCs w:val="14"/>
                <w:color w:val="auto"/>
              </w:rPr>
              <w:t>158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Arial" w:cs="Arial" w:eastAsia="Arial" w:hAnsi="Arial"/>
                <w:sz w:val="14"/>
                <w:szCs w:val="14"/>
                <w:color w:val="auto"/>
              </w:rPr>
              <w:t>153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ind w:left="260"/>
              <w:spacing w:after="0"/>
              <w:rPr>
                <w:sz w:val="20"/>
                <w:szCs w:val="20"/>
                <w:color w:val="auto"/>
              </w:rPr>
            </w:pPr>
            <w:r>
              <w:rPr>
                <w:rFonts w:ascii="Arial" w:cs="Arial" w:eastAsia="Arial" w:hAnsi="Arial"/>
                <w:sz w:val="14"/>
                <w:szCs w:val="14"/>
                <w:color w:val="auto"/>
              </w:rPr>
              <w:t>145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138</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136</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3"/>
          </w:tcPr>
          <w:p>
            <w:pPr>
              <w:ind w:left="220"/>
              <w:spacing w:after="0"/>
              <w:rPr>
                <w:sz w:val="20"/>
                <w:szCs w:val="20"/>
                <w:color w:val="auto"/>
              </w:rPr>
            </w:pPr>
            <w:r>
              <w:rPr>
                <w:rFonts w:ascii="Arial" w:cs="Arial" w:eastAsia="Arial" w:hAnsi="Arial"/>
                <w:sz w:val="14"/>
                <w:szCs w:val="14"/>
                <w:color w:val="auto"/>
              </w:rPr>
              <w:t>135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gridSpan w:val="3"/>
          </w:tcPr>
          <w:p>
            <w:pPr>
              <w:jc w:val="right"/>
              <w:spacing w:after="0"/>
              <w:rPr>
                <w:sz w:val="20"/>
                <w:szCs w:val="20"/>
                <w:color w:val="auto"/>
              </w:rPr>
            </w:pPr>
            <w:r>
              <w:rPr>
                <w:rFonts w:ascii="Arial" w:cs="Arial" w:eastAsia="Arial" w:hAnsi="Arial"/>
                <w:sz w:val="14"/>
                <w:szCs w:val="14"/>
                <w:color w:val="auto"/>
              </w:rPr>
              <w:t>133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37,629</w:t>
            </w:r>
          </w:p>
        </w:tc>
        <w:tc>
          <w:tcPr>
            <w:tcW w:w="0" w:type="dxa"/>
            <w:vAlign w:val="bottom"/>
          </w:tcPr>
          <w:p>
            <w:pPr>
              <w:spacing w:after="0"/>
              <w:rPr>
                <w:sz w:val="1"/>
                <w:szCs w:val="1"/>
                <w:color w:val="auto"/>
              </w:rPr>
            </w:pPr>
          </w:p>
        </w:tc>
      </w:tr>
      <w:tr>
        <w:trPr>
          <w:trHeight w:val="207"/>
        </w:trPr>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2016</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184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187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182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173</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45,185</w:t>
            </w:r>
          </w:p>
        </w:tc>
        <w:tc>
          <w:tcPr>
            <w:tcW w:w="0" w:type="dxa"/>
            <w:vAlign w:val="bottom"/>
          </w:tcPr>
          <w:p>
            <w:pPr>
              <w:spacing w:after="0"/>
              <w:rPr>
                <w:sz w:val="1"/>
                <w:szCs w:val="1"/>
                <w:color w:val="auto"/>
              </w:rPr>
            </w:pPr>
          </w:p>
        </w:tc>
      </w:tr>
      <w:tr>
        <w:trPr>
          <w:trHeight w:val="198"/>
        </w:trPr>
        <w:tc>
          <w:tcPr>
            <w:tcW w:w="920" w:type="dxa"/>
            <w:vAlign w:val="bottom"/>
          </w:tcPr>
          <w:p>
            <w:pPr>
              <w:jc w:val="center"/>
              <w:spacing w:after="0"/>
              <w:rPr>
                <w:sz w:val="20"/>
                <w:szCs w:val="20"/>
                <w:color w:val="auto"/>
              </w:rPr>
            </w:pPr>
            <w:r>
              <w:rPr>
                <w:rFonts w:ascii="Arial" w:cs="Arial" w:eastAsia="Arial" w:hAnsi="Arial"/>
                <w:sz w:val="14"/>
                <w:szCs w:val="14"/>
                <w:color w:val="auto"/>
              </w:rPr>
              <w:t>2017</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ind w:left="260"/>
              <w:spacing w:after="0"/>
              <w:rPr>
                <w:sz w:val="20"/>
                <w:szCs w:val="20"/>
                <w:color w:val="auto"/>
              </w:rPr>
            </w:pPr>
            <w:r>
              <w:rPr>
                <w:rFonts w:ascii="Arial" w:cs="Arial" w:eastAsia="Arial" w:hAnsi="Arial"/>
                <w:sz w:val="14"/>
                <w:szCs w:val="14"/>
                <w:color w:val="auto"/>
              </w:rPr>
              <w:t>212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Arial" w:cs="Arial" w:eastAsia="Arial" w:hAnsi="Arial"/>
                <w:sz w:val="14"/>
                <w:szCs w:val="14"/>
                <w:color w:val="auto"/>
              </w:rPr>
              <w:t>215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ind w:left="260"/>
              <w:spacing w:after="0"/>
              <w:rPr>
                <w:sz w:val="20"/>
                <w:szCs w:val="20"/>
                <w:color w:val="auto"/>
              </w:rPr>
            </w:pPr>
            <w:r>
              <w:rPr>
                <w:rFonts w:ascii="Arial" w:cs="Arial" w:eastAsia="Arial" w:hAnsi="Arial"/>
                <w:sz w:val="14"/>
                <w:szCs w:val="14"/>
                <w:color w:val="auto"/>
              </w:rPr>
              <w:t>212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208</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203</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3"/>
          </w:tcPr>
          <w:p>
            <w:pPr>
              <w:ind w:left="220"/>
              <w:spacing w:after="0"/>
              <w:rPr>
                <w:sz w:val="20"/>
                <w:szCs w:val="20"/>
                <w:color w:val="auto"/>
              </w:rPr>
            </w:pPr>
            <w:r>
              <w:rPr>
                <w:rFonts w:ascii="Arial" w:cs="Arial" w:eastAsia="Arial" w:hAnsi="Arial"/>
                <w:sz w:val="14"/>
                <w:szCs w:val="14"/>
                <w:color w:val="auto"/>
              </w:rPr>
              <w:t>202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gridSpan w:val="3"/>
          </w:tcPr>
          <w:p>
            <w:pPr>
              <w:jc w:val="right"/>
              <w:spacing w:after="0"/>
              <w:rPr>
                <w:sz w:val="20"/>
                <w:szCs w:val="20"/>
                <w:color w:val="auto"/>
              </w:rPr>
            </w:pPr>
            <w:r>
              <w:rPr>
                <w:rFonts w:ascii="Arial" w:cs="Arial" w:eastAsia="Arial" w:hAnsi="Arial"/>
                <w:sz w:val="14"/>
                <w:szCs w:val="14"/>
                <w:color w:val="auto"/>
              </w:rPr>
              <w:t>210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48,840</w:t>
            </w:r>
          </w:p>
        </w:tc>
        <w:tc>
          <w:tcPr>
            <w:tcW w:w="0" w:type="dxa"/>
            <w:vAlign w:val="bottom"/>
          </w:tcPr>
          <w:p>
            <w:pPr>
              <w:spacing w:after="0"/>
              <w:rPr>
                <w:sz w:val="1"/>
                <w:szCs w:val="1"/>
                <w:color w:val="auto"/>
              </w:rPr>
            </w:pPr>
          </w:p>
        </w:tc>
      </w:tr>
      <w:tr>
        <w:trPr>
          <w:trHeight w:val="207"/>
        </w:trPr>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2018</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212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217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201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46,805</w:t>
            </w:r>
          </w:p>
        </w:tc>
        <w:tc>
          <w:tcPr>
            <w:tcW w:w="0" w:type="dxa"/>
            <w:vAlign w:val="bottom"/>
          </w:tcPr>
          <w:p>
            <w:pPr>
              <w:spacing w:after="0"/>
              <w:rPr>
                <w:sz w:val="1"/>
                <w:szCs w:val="1"/>
                <w:color w:val="auto"/>
              </w:rPr>
            </w:pPr>
          </w:p>
        </w:tc>
      </w:tr>
      <w:tr>
        <w:trPr>
          <w:trHeight w:val="198"/>
        </w:trPr>
        <w:tc>
          <w:tcPr>
            <w:tcW w:w="920" w:type="dxa"/>
            <w:vAlign w:val="bottom"/>
          </w:tcPr>
          <w:p>
            <w:pPr>
              <w:jc w:val="center"/>
              <w:spacing w:after="0"/>
              <w:rPr>
                <w:sz w:val="20"/>
                <w:szCs w:val="20"/>
                <w:color w:val="auto"/>
              </w:rPr>
            </w:pPr>
            <w:r>
              <w:rPr>
                <w:rFonts w:ascii="Arial" w:cs="Arial" w:eastAsia="Arial" w:hAnsi="Arial"/>
                <w:sz w:val="14"/>
                <w:szCs w:val="14"/>
                <w:color w:val="auto"/>
              </w:rPr>
              <w:t>2019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ind w:left="260"/>
              <w:spacing w:after="0"/>
              <w:rPr>
                <w:sz w:val="20"/>
                <w:szCs w:val="20"/>
                <w:color w:val="auto"/>
              </w:rPr>
            </w:pPr>
            <w:r>
              <w:rPr>
                <w:rFonts w:ascii="Arial" w:cs="Arial" w:eastAsia="Arial" w:hAnsi="Arial"/>
                <w:sz w:val="14"/>
                <w:szCs w:val="14"/>
                <w:color w:val="auto"/>
              </w:rPr>
              <w:t>194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198</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191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3"/>
          </w:tcPr>
          <w:p>
            <w:pPr>
              <w:ind w:left="220"/>
              <w:spacing w:after="0"/>
              <w:rPr>
                <w:sz w:val="20"/>
                <w:szCs w:val="20"/>
                <w:color w:val="auto"/>
              </w:rPr>
            </w:pPr>
            <w:r>
              <w:rPr>
                <w:rFonts w:ascii="Arial" w:cs="Arial" w:eastAsia="Arial" w:hAnsi="Arial"/>
                <w:sz w:val="14"/>
                <w:szCs w:val="14"/>
                <w:color w:val="auto"/>
              </w:rPr>
              <w:t>186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gridSpan w:val="3"/>
          </w:tcPr>
          <w:p>
            <w:pPr>
              <w:jc w:val="right"/>
              <w:spacing w:after="0"/>
              <w:rPr>
                <w:sz w:val="20"/>
                <w:szCs w:val="20"/>
                <w:color w:val="auto"/>
              </w:rPr>
            </w:pPr>
            <w:r>
              <w:rPr>
                <w:rFonts w:ascii="Arial" w:cs="Arial" w:eastAsia="Arial" w:hAnsi="Arial"/>
                <w:sz w:val="14"/>
                <w:szCs w:val="14"/>
                <w:color w:val="auto"/>
              </w:rPr>
              <w:t>182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41,939</w:t>
            </w:r>
          </w:p>
        </w:tc>
        <w:tc>
          <w:tcPr>
            <w:tcW w:w="0" w:type="dxa"/>
            <w:vAlign w:val="bottom"/>
          </w:tcPr>
          <w:p>
            <w:pPr>
              <w:spacing w:after="0"/>
              <w:rPr>
                <w:sz w:val="1"/>
                <w:szCs w:val="1"/>
                <w:color w:val="auto"/>
              </w:rPr>
            </w:pPr>
          </w:p>
        </w:tc>
      </w:tr>
      <w:tr>
        <w:trPr>
          <w:trHeight w:val="207"/>
        </w:trPr>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2020</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202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29,732</w:t>
            </w:r>
          </w:p>
        </w:tc>
        <w:tc>
          <w:tcPr>
            <w:tcW w:w="0" w:type="dxa"/>
            <w:vAlign w:val="bottom"/>
          </w:tcPr>
          <w:p>
            <w:pPr>
              <w:spacing w:after="0"/>
              <w:rPr>
                <w:sz w:val="1"/>
                <w:szCs w:val="1"/>
                <w:color w:val="auto"/>
              </w:rPr>
            </w:pPr>
          </w:p>
        </w:tc>
      </w:tr>
      <w:tr>
        <w:trPr>
          <w:trHeight w:val="198"/>
        </w:trPr>
        <w:tc>
          <w:tcPr>
            <w:tcW w:w="6760" w:type="dxa"/>
            <w:vAlign w:val="bottom"/>
            <w:gridSpan w:val="38"/>
          </w:tcPr>
          <w:p>
            <w:pPr>
              <w:jc w:val="center"/>
              <w:ind w:right="5840"/>
              <w:spacing w:after="0"/>
              <w:rPr>
                <w:sz w:val="20"/>
                <w:szCs w:val="20"/>
                <w:color w:val="auto"/>
              </w:rPr>
            </w:pPr>
            <w:r>
              <w:rPr>
                <w:rFonts w:ascii="Arial" w:cs="Arial" w:eastAsia="Arial" w:hAnsi="Arial"/>
                <w:sz w:val="14"/>
                <w:szCs w:val="14"/>
                <w:color w:val="auto"/>
              </w:rPr>
              <w:t>2021</w:t>
            </w:r>
          </w:p>
        </w:tc>
        <w:tc>
          <w:tcPr>
            <w:tcW w:w="620" w:type="dxa"/>
            <w:vAlign w:val="bottom"/>
            <w:gridSpan w:val="6"/>
          </w:tcPr>
          <w:p>
            <w:pPr>
              <w:jc w:val="right"/>
              <w:ind w:right="320"/>
              <w:spacing w:after="0"/>
              <w:rPr>
                <w:sz w:val="20"/>
                <w:szCs w:val="20"/>
                <w:color w:val="auto"/>
              </w:rPr>
            </w:pPr>
            <w:r>
              <w:rPr>
                <w:rFonts w:ascii="Arial" w:cs="Arial" w:eastAsia="Arial" w:hAnsi="Arial"/>
                <w:sz w:val="14"/>
                <w:szCs w:val="14"/>
                <w:color w:val="auto"/>
              </w:rPr>
              <w:t>223</w:t>
            </w:r>
          </w:p>
        </w:tc>
        <w:tc>
          <w:tcPr>
            <w:tcW w:w="880" w:type="dxa"/>
            <w:vAlign w:val="bottom"/>
            <w:gridSpan w:val="6"/>
          </w:tcPr>
          <w:p>
            <w:pPr>
              <w:ind w:left="220"/>
              <w:spacing w:after="0"/>
              <w:rPr>
                <w:sz w:val="20"/>
                <w:szCs w:val="20"/>
                <w:color w:val="auto"/>
              </w:rPr>
            </w:pPr>
            <w:r>
              <w:rPr>
                <w:rFonts w:ascii="Arial" w:cs="Arial" w:eastAsia="Arial" w:hAnsi="Arial"/>
                <w:sz w:val="14"/>
                <w:szCs w:val="14"/>
                <w:color w:val="auto"/>
              </w:rPr>
              <w:t>201</w:t>
            </w:r>
          </w:p>
        </w:tc>
        <w:tc>
          <w:tcPr>
            <w:tcW w:w="660" w:type="dxa"/>
            <w:vAlign w:val="bottom"/>
            <w:gridSpan w:val="6"/>
          </w:tcPr>
          <w:p>
            <w:pPr>
              <w:jc w:val="right"/>
              <w:ind w:right="260"/>
              <w:spacing w:after="0"/>
              <w:rPr>
                <w:sz w:val="20"/>
                <w:szCs w:val="20"/>
                <w:color w:val="auto"/>
              </w:rPr>
            </w:pPr>
            <w:r>
              <w:rPr>
                <w:rFonts w:ascii="Arial" w:cs="Arial" w:eastAsia="Arial" w:hAnsi="Arial"/>
                <w:sz w:val="14"/>
                <w:szCs w:val="14"/>
                <w:color w:val="auto"/>
              </w:rPr>
              <w:t>187</w:t>
            </w:r>
          </w:p>
        </w:tc>
        <w:tc>
          <w:tcPr>
            <w:tcW w:w="1360" w:type="dxa"/>
            <w:vAlign w:val="bottom"/>
            <w:gridSpan w:val="4"/>
          </w:tcPr>
          <w:p>
            <w:pPr>
              <w:jc w:val="right"/>
              <w:ind w:right="160"/>
              <w:spacing w:after="0"/>
              <w:rPr>
                <w:sz w:val="20"/>
                <w:szCs w:val="20"/>
                <w:color w:val="auto"/>
              </w:rPr>
            </w:pPr>
            <w:r>
              <w:rPr>
                <w:rFonts w:ascii="Arial" w:cs="Arial" w:eastAsia="Arial" w:hAnsi="Arial"/>
                <w:sz w:val="14"/>
                <w:szCs w:val="14"/>
                <w:color w:val="auto"/>
              </w:rPr>
              <w:t>25</w:t>
            </w:r>
          </w:p>
        </w:tc>
        <w:tc>
          <w:tcPr>
            <w:tcW w:w="960" w:type="dxa"/>
            <w:vAlign w:val="bottom"/>
          </w:tcPr>
          <w:p>
            <w:pPr>
              <w:jc w:val="right"/>
              <w:spacing w:after="0"/>
              <w:rPr>
                <w:sz w:val="20"/>
                <w:szCs w:val="20"/>
                <w:color w:val="auto"/>
              </w:rPr>
            </w:pPr>
            <w:r>
              <w:rPr>
                <w:rFonts w:ascii="Arial" w:cs="Arial" w:eastAsia="Arial" w:hAnsi="Arial"/>
                <w:sz w:val="14"/>
                <w:szCs w:val="14"/>
                <w:color w:val="auto"/>
              </w:rPr>
              <w:t>27,355</w:t>
            </w:r>
          </w:p>
        </w:tc>
        <w:tc>
          <w:tcPr>
            <w:tcW w:w="0" w:type="dxa"/>
            <w:vAlign w:val="bottom"/>
          </w:tcPr>
          <w:p>
            <w:pPr>
              <w:spacing w:after="0"/>
              <w:rPr>
                <w:sz w:val="1"/>
                <w:szCs w:val="1"/>
                <w:color w:val="auto"/>
              </w:rPr>
            </w:pPr>
          </w:p>
        </w:tc>
      </w:tr>
      <w:tr>
        <w:trPr>
          <w:trHeight w:val="207"/>
        </w:trPr>
        <w:tc>
          <w:tcPr>
            <w:tcW w:w="7380" w:type="dxa"/>
            <w:vAlign w:val="bottom"/>
            <w:gridSpan w:val="44"/>
            <w:shd w:val="clear" w:color="auto" w:fill="CCEEFF"/>
          </w:tcPr>
          <w:p>
            <w:pPr>
              <w:jc w:val="center"/>
              <w:ind w:right="6460"/>
              <w:spacing w:after="0"/>
              <w:rPr>
                <w:sz w:val="20"/>
                <w:szCs w:val="20"/>
                <w:color w:val="auto"/>
              </w:rPr>
            </w:pPr>
            <w:r>
              <w:rPr>
                <w:rFonts w:ascii="Arial" w:cs="Arial" w:eastAsia="Arial" w:hAnsi="Arial"/>
                <w:sz w:val="14"/>
                <w:szCs w:val="14"/>
                <w:color w:val="auto"/>
              </w:rPr>
              <w:t>2022</w:t>
            </w:r>
          </w:p>
        </w:tc>
        <w:tc>
          <w:tcPr>
            <w:tcW w:w="880" w:type="dxa"/>
            <w:vAlign w:val="bottom"/>
            <w:gridSpan w:val="6"/>
            <w:shd w:val="clear" w:color="auto" w:fill="CCEEFF"/>
          </w:tcPr>
          <w:p>
            <w:pPr>
              <w:ind w:left="220"/>
              <w:spacing w:after="0"/>
              <w:rPr>
                <w:sz w:val="20"/>
                <w:szCs w:val="20"/>
                <w:color w:val="auto"/>
              </w:rPr>
            </w:pPr>
            <w:r>
              <w:rPr>
                <w:rFonts w:ascii="Arial" w:cs="Arial" w:eastAsia="Arial" w:hAnsi="Arial"/>
                <w:sz w:val="14"/>
                <w:szCs w:val="14"/>
                <w:color w:val="auto"/>
              </w:rPr>
              <w:t>243</w:t>
            </w:r>
          </w:p>
        </w:tc>
        <w:tc>
          <w:tcPr>
            <w:tcW w:w="660" w:type="dxa"/>
            <w:vAlign w:val="bottom"/>
            <w:gridSpan w:val="6"/>
            <w:shd w:val="clear" w:color="auto" w:fill="CCEEFF"/>
          </w:tcPr>
          <w:p>
            <w:pPr>
              <w:jc w:val="right"/>
              <w:ind w:right="260"/>
              <w:spacing w:after="0"/>
              <w:rPr>
                <w:sz w:val="20"/>
                <w:szCs w:val="20"/>
                <w:color w:val="auto"/>
              </w:rPr>
            </w:pPr>
            <w:r>
              <w:rPr>
                <w:rFonts w:ascii="Arial" w:cs="Arial" w:eastAsia="Arial" w:hAnsi="Arial"/>
                <w:sz w:val="14"/>
                <w:szCs w:val="14"/>
                <w:color w:val="auto"/>
              </w:rPr>
              <w:t>234</w:t>
            </w:r>
          </w:p>
        </w:tc>
        <w:tc>
          <w:tcPr>
            <w:tcW w:w="136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54</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23,638</w:t>
            </w:r>
          </w:p>
        </w:tc>
        <w:tc>
          <w:tcPr>
            <w:tcW w:w="0" w:type="dxa"/>
            <w:vAlign w:val="bottom"/>
          </w:tcPr>
          <w:p>
            <w:pPr>
              <w:spacing w:after="0"/>
              <w:rPr>
                <w:sz w:val="1"/>
                <w:szCs w:val="1"/>
                <w:color w:val="auto"/>
              </w:rPr>
            </w:pPr>
          </w:p>
        </w:tc>
      </w:tr>
      <w:tr>
        <w:trPr>
          <w:trHeight w:val="198"/>
        </w:trPr>
        <w:tc>
          <w:tcPr>
            <w:tcW w:w="8000" w:type="dxa"/>
            <w:vAlign w:val="bottom"/>
            <w:tcBorders>
              <w:bottom w:val="single" w:sz="8" w:color="CCEEFF"/>
            </w:tcBorders>
            <w:gridSpan w:val="49"/>
          </w:tcPr>
          <w:p>
            <w:pPr>
              <w:jc w:val="center"/>
              <w:ind w:right="7008"/>
              <w:spacing w:after="0"/>
              <w:rPr>
                <w:sz w:val="20"/>
                <w:szCs w:val="20"/>
                <w:color w:val="auto"/>
              </w:rPr>
            </w:pPr>
            <w:r>
              <w:rPr>
                <w:rFonts w:ascii="Arial" w:cs="Arial" w:eastAsia="Arial" w:hAnsi="Arial"/>
                <w:sz w:val="14"/>
                <w:szCs w:val="14"/>
                <w:color w:val="auto"/>
              </w:rPr>
              <w:t>2023</w:t>
            </w:r>
          </w:p>
        </w:tc>
        <w:tc>
          <w:tcPr>
            <w:tcW w:w="72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color w:val="auto"/>
              </w:rPr>
              <w:t>310</w:t>
            </w:r>
          </w:p>
        </w:tc>
        <w:tc>
          <w:tcPr>
            <w:tcW w:w="1560" w:type="dxa"/>
            <w:vAlign w:val="bottom"/>
            <w:tcBorders>
              <w:bottom w:val="single" w:sz="8" w:color="CCEEFF"/>
            </w:tcBorders>
            <w:gridSpan w:val="7"/>
          </w:tcPr>
          <w:p>
            <w:pPr>
              <w:jc w:val="right"/>
              <w:ind w:right="1560"/>
              <w:spacing w:after="0"/>
              <w:rPr>
                <w:sz w:val="20"/>
                <w:szCs w:val="20"/>
                <w:color w:val="auto"/>
              </w:rPr>
            </w:pPr>
            <w:r>
              <w:rPr>
                <w:rFonts w:ascii="Arial" w:cs="Arial" w:eastAsia="Arial" w:hAnsi="Arial"/>
                <w:sz w:val="14"/>
                <w:szCs w:val="14"/>
                <w:color w:val="auto"/>
              </w:rPr>
              <w:t>127</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20,542</w:t>
            </w:r>
          </w:p>
        </w:tc>
        <w:tc>
          <w:tcPr>
            <w:tcW w:w="0" w:type="dxa"/>
            <w:vAlign w:val="bottom"/>
          </w:tcPr>
          <w:p>
            <w:pPr>
              <w:spacing w:after="0"/>
              <w:rPr>
                <w:sz w:val="1"/>
                <w:szCs w:val="1"/>
                <w:color w:val="auto"/>
              </w:rPr>
            </w:pPr>
          </w:p>
        </w:tc>
      </w:tr>
      <w:tr>
        <w:trPr>
          <w:trHeight w:val="200"/>
        </w:trPr>
        <w:tc>
          <w:tcPr>
            <w:tcW w:w="7900" w:type="dxa"/>
            <w:vAlign w:val="bottom"/>
            <w:gridSpan w:val="47"/>
            <w:shd w:val="clear" w:color="auto" w:fill="CCEEFF"/>
          </w:tcPr>
          <w:p>
            <w:pPr>
              <w:spacing w:after="0"/>
              <w:rPr>
                <w:sz w:val="20"/>
                <w:szCs w:val="20"/>
                <w:color w:val="auto"/>
              </w:rPr>
            </w:pPr>
            <w:r>
              <w:rPr>
                <w:rFonts w:ascii="Arial" w:cs="Arial" w:eastAsia="Arial" w:hAnsi="Arial"/>
                <w:sz w:val="14"/>
                <w:szCs w:val="14"/>
                <w:color w:val="auto"/>
              </w:rPr>
              <w:t>Total</w:t>
            </w:r>
          </w:p>
        </w:tc>
        <w:tc>
          <w:tcPr>
            <w:tcW w:w="360" w:type="dxa"/>
            <w:vAlign w:val="bottom"/>
            <w:gridSpan w:val="3"/>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980" w:type="dxa"/>
            <w:vAlign w:val="bottom"/>
            <w:gridSpan w:val="11"/>
            <w:shd w:val="clear" w:color="auto" w:fill="CCEEFF"/>
          </w:tcPr>
          <w:p>
            <w:pPr>
              <w:jc w:val="right"/>
              <w:ind w:right="2510"/>
              <w:spacing w:after="0"/>
              <w:rPr>
                <w:sz w:val="20"/>
                <w:szCs w:val="20"/>
                <w:color w:val="auto"/>
              </w:rPr>
            </w:pPr>
            <w:r>
              <w:rPr>
                <w:rFonts w:ascii="Arial" w:cs="Arial" w:eastAsia="Arial" w:hAnsi="Arial"/>
                <w:sz w:val="14"/>
                <w:szCs w:val="14"/>
                <w:color w:val="auto"/>
              </w:rPr>
              <w:t>1,953</w:t>
            </w:r>
          </w:p>
        </w:tc>
        <w:tc>
          <w:tcPr>
            <w:tcW w:w="0" w:type="dxa"/>
            <w:vAlign w:val="bottom"/>
          </w:tcPr>
          <w:p>
            <w:pPr>
              <w:spacing w:after="0"/>
              <w:rPr>
                <w:sz w:val="1"/>
                <w:szCs w:val="1"/>
                <w:color w:val="auto"/>
              </w:rPr>
            </w:pPr>
          </w:p>
        </w:tc>
      </w:tr>
      <w:tr>
        <w:trPr>
          <w:trHeight w:val="316"/>
        </w:trPr>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380" w:type="dxa"/>
            <w:vAlign w:val="bottom"/>
            <w:gridSpan w:val="27"/>
          </w:tcPr>
          <w:p>
            <w:pPr>
              <w:jc w:val="center"/>
              <w:spacing w:after="0"/>
              <w:rPr>
                <w:sz w:val="20"/>
                <w:szCs w:val="20"/>
                <w:color w:val="auto"/>
              </w:rPr>
            </w:pPr>
            <w:r>
              <w:rPr>
                <w:rFonts w:ascii="Arial" w:cs="Arial" w:eastAsia="Arial" w:hAnsi="Arial"/>
                <w:sz w:val="14"/>
                <w:szCs w:val="14"/>
                <w:color w:val="auto"/>
              </w:rPr>
              <w:t>Cumulative Paid Claims and Allocated LAE, Net of Reinsurance</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00" w:type="dxa"/>
            <w:vAlign w:val="bottom"/>
            <w:gridSpan w:val="3"/>
          </w:tcPr>
          <w:p>
            <w:pPr>
              <w:jc w:val="center"/>
              <w:ind w:right="80"/>
              <w:spacing w:after="0"/>
              <w:rPr>
                <w:sz w:val="20"/>
                <w:szCs w:val="20"/>
                <w:color w:val="auto"/>
              </w:rPr>
            </w:pPr>
            <w:r>
              <w:rPr>
                <w:rFonts w:ascii="Arial" w:cs="Arial" w:eastAsia="Arial" w:hAnsi="Arial"/>
                <w:sz w:val="14"/>
                <w:szCs w:val="14"/>
                <w:color w:val="auto"/>
              </w:rPr>
              <w:t>Accident</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0" w:type="dxa"/>
            <w:vAlign w:val="bottom"/>
            <w:tcBorders>
              <w:bottom w:val="single" w:sz="8" w:color="auto"/>
            </w:tcBorders>
            <w:gridSpan w:val="40"/>
          </w:tcPr>
          <w:p>
            <w:pPr>
              <w:jc w:val="center"/>
              <w:ind w:right="8"/>
              <w:spacing w:after="0"/>
              <w:rPr>
                <w:sz w:val="20"/>
                <w:szCs w:val="20"/>
                <w:color w:val="auto"/>
              </w:rPr>
            </w:pPr>
            <w:r>
              <w:rPr>
                <w:rFonts w:ascii="Arial" w:cs="Arial" w:eastAsia="Arial" w:hAnsi="Arial"/>
                <w:sz w:val="14"/>
                <w:szCs w:val="14"/>
                <w:color w:val="auto"/>
              </w:rPr>
              <w:t>For the Years Ended (2014–2022 is Supplementary Information and Unaudited)</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Year</w:t>
            </w:r>
          </w:p>
        </w:tc>
        <w:tc>
          <w:tcPr>
            <w:tcW w:w="80" w:type="dxa"/>
            <w:vAlign w:val="bottom"/>
            <w:tcBorders>
              <w:bottom w:val="single" w:sz="8" w:color="CCEEFF"/>
            </w:tcBorders>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2015</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2017</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2018</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color w:val="auto"/>
              </w:rPr>
              <w:t>2019</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w w:val="96"/>
              </w:rPr>
              <w:t>2020</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gridSpan w:val="2"/>
          </w:tcPr>
          <w:p>
            <w:pPr>
              <w:spacing w:after="0"/>
              <w:rPr>
                <w:sz w:val="17"/>
                <w:szCs w:val="17"/>
                <w:color w:val="auto"/>
              </w:rPr>
            </w:pPr>
          </w:p>
        </w:tc>
        <w:tc>
          <w:tcPr>
            <w:tcW w:w="64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color w:val="auto"/>
              </w:rPr>
              <w:t>2021</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color w:val="auto"/>
                <w:w w:val="96"/>
              </w:rPr>
              <w:t>2022</w:t>
            </w:r>
          </w:p>
        </w:tc>
        <w:tc>
          <w:tcPr>
            <w:tcW w:w="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gridSpan w:val="5"/>
          </w:tcPr>
          <w:p>
            <w:pPr>
              <w:jc w:val="right"/>
              <w:ind w:right="128"/>
              <w:spacing w:after="0"/>
              <w:rPr>
                <w:sz w:val="20"/>
                <w:szCs w:val="20"/>
                <w:color w:val="auto"/>
              </w:rPr>
            </w:pPr>
            <w:r>
              <w:rPr>
                <w:rFonts w:ascii="Arial" w:cs="Arial" w:eastAsia="Arial" w:hAnsi="Arial"/>
                <w:sz w:val="14"/>
                <w:szCs w:val="14"/>
                <w:color w:val="auto"/>
              </w:rPr>
              <w:t>2023</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4"/>
                <w:szCs w:val="14"/>
                <w:color w:val="auto"/>
              </w:rPr>
              <w:t>% (a)</w:t>
            </w:r>
          </w:p>
        </w:tc>
        <w:tc>
          <w:tcPr>
            <w:tcW w:w="2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109</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128</w:t>
            </w:r>
          </w:p>
        </w:tc>
        <w:tc>
          <w:tcPr>
            <w:tcW w:w="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137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380" w:type="dxa"/>
            <w:vAlign w:val="bottom"/>
            <w:gridSpan w:val="5"/>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320" w:type="dxa"/>
            <w:vAlign w:val="bottom"/>
            <w:gridSpan w:val="5"/>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2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141</w:t>
            </w:r>
          </w:p>
        </w:tc>
        <w:tc>
          <w:tcPr>
            <w:tcW w:w="360" w:type="dxa"/>
            <w:vAlign w:val="bottom"/>
            <w:gridSpan w:val="3"/>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46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141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105.2 %</w:t>
            </w: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20" w:type="dxa"/>
            <w:vAlign w:val="bottom"/>
          </w:tcPr>
          <w:p>
            <w:pPr>
              <w:jc w:val="center"/>
              <w:spacing w:after="0"/>
              <w:rPr>
                <w:sz w:val="20"/>
                <w:szCs w:val="20"/>
                <w:color w:val="auto"/>
              </w:rPr>
            </w:pPr>
            <w:r>
              <w:rPr>
                <w:rFonts w:ascii="Arial" w:cs="Arial" w:eastAsia="Arial" w:hAnsi="Arial"/>
                <w:sz w:val="14"/>
                <w:szCs w:val="14"/>
                <w:color w:val="auto"/>
              </w:rPr>
              <w:t>2015</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72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ind w:left="260"/>
              <w:spacing w:after="0"/>
              <w:rPr>
                <w:sz w:val="20"/>
                <w:szCs w:val="20"/>
                <w:color w:val="auto"/>
              </w:rPr>
            </w:pPr>
            <w:r>
              <w:rPr>
                <w:rFonts w:ascii="Arial" w:cs="Arial" w:eastAsia="Arial" w:hAnsi="Arial"/>
                <w:sz w:val="14"/>
                <w:szCs w:val="14"/>
                <w:color w:val="auto"/>
              </w:rPr>
              <w:t>129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Arial" w:cs="Arial" w:eastAsia="Arial" w:hAnsi="Arial"/>
                <w:sz w:val="14"/>
                <w:szCs w:val="14"/>
                <w:color w:val="auto"/>
              </w:rPr>
              <w:t>133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132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134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134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3"/>
          </w:tcPr>
          <w:p>
            <w:pPr>
              <w:ind w:left="200"/>
              <w:spacing w:after="0"/>
              <w:rPr>
                <w:sz w:val="20"/>
                <w:szCs w:val="20"/>
                <w:color w:val="auto"/>
              </w:rPr>
            </w:pPr>
            <w:r>
              <w:rPr>
                <w:rFonts w:ascii="Arial" w:cs="Arial" w:eastAsia="Arial" w:hAnsi="Arial"/>
                <w:sz w:val="14"/>
                <w:szCs w:val="14"/>
                <w:color w:val="auto"/>
              </w:rPr>
              <w:t>134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gridSpan w:val="3"/>
          </w:tcPr>
          <w:p>
            <w:pPr>
              <w:jc w:val="right"/>
              <w:ind w:right="8"/>
              <w:spacing w:after="0"/>
              <w:rPr>
                <w:sz w:val="20"/>
                <w:szCs w:val="20"/>
                <w:color w:val="auto"/>
              </w:rPr>
            </w:pPr>
            <w:r>
              <w:rPr>
                <w:rFonts w:ascii="Arial" w:cs="Arial" w:eastAsia="Arial" w:hAnsi="Arial"/>
                <w:sz w:val="14"/>
                <w:szCs w:val="14"/>
                <w:color w:val="auto"/>
              </w:rPr>
              <w:t>133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4"/>
                <w:szCs w:val="14"/>
                <w:color w:val="auto"/>
              </w:rPr>
              <w:t>100.0 %</w:t>
            </w: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2016</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141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158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171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172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100.0 %</w:t>
            </w: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20" w:type="dxa"/>
            <w:vAlign w:val="bottom"/>
          </w:tcPr>
          <w:p>
            <w:pPr>
              <w:jc w:val="center"/>
              <w:spacing w:after="0"/>
              <w:rPr>
                <w:sz w:val="20"/>
                <w:szCs w:val="20"/>
                <w:color w:val="auto"/>
              </w:rPr>
            </w:pPr>
            <w:r>
              <w:rPr>
                <w:rFonts w:ascii="Arial" w:cs="Arial" w:eastAsia="Arial" w:hAnsi="Arial"/>
                <w:sz w:val="14"/>
                <w:szCs w:val="14"/>
                <w:color w:val="auto"/>
              </w:rPr>
              <w:t>2017</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ind w:left="260"/>
              <w:spacing w:after="0"/>
              <w:rPr>
                <w:sz w:val="20"/>
                <w:szCs w:val="20"/>
                <w:color w:val="auto"/>
              </w:rPr>
            </w:pPr>
            <w:r>
              <w:rPr>
                <w:rFonts w:ascii="Arial" w:cs="Arial" w:eastAsia="Arial" w:hAnsi="Arial"/>
                <w:sz w:val="14"/>
                <w:szCs w:val="14"/>
                <w:color w:val="auto"/>
              </w:rPr>
              <w:t>120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ind w:left="220"/>
              <w:spacing w:after="0"/>
              <w:rPr>
                <w:sz w:val="20"/>
                <w:szCs w:val="20"/>
                <w:color w:val="auto"/>
              </w:rPr>
            </w:pPr>
            <w:r>
              <w:rPr>
                <w:rFonts w:ascii="Arial" w:cs="Arial" w:eastAsia="Arial" w:hAnsi="Arial"/>
                <w:sz w:val="14"/>
                <w:szCs w:val="14"/>
                <w:color w:val="auto"/>
              </w:rPr>
              <w:t>169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186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194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193</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3"/>
          </w:tcPr>
          <w:p>
            <w:pPr>
              <w:ind w:left="200"/>
              <w:spacing w:after="0"/>
              <w:rPr>
                <w:sz w:val="20"/>
                <w:szCs w:val="20"/>
                <w:color w:val="auto"/>
              </w:rPr>
            </w:pPr>
            <w:r>
              <w:rPr>
                <w:rFonts w:ascii="Arial" w:cs="Arial" w:eastAsia="Arial" w:hAnsi="Arial"/>
                <w:sz w:val="14"/>
                <w:szCs w:val="14"/>
                <w:color w:val="auto"/>
              </w:rPr>
              <w:t>192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gridSpan w:val="3"/>
          </w:tcPr>
          <w:p>
            <w:pPr>
              <w:jc w:val="right"/>
              <w:ind w:right="8"/>
              <w:spacing w:after="0"/>
              <w:rPr>
                <w:sz w:val="20"/>
                <w:szCs w:val="20"/>
                <w:color w:val="auto"/>
              </w:rPr>
            </w:pPr>
            <w:r>
              <w:rPr>
                <w:rFonts w:ascii="Arial" w:cs="Arial" w:eastAsia="Arial" w:hAnsi="Arial"/>
                <w:sz w:val="14"/>
                <w:szCs w:val="14"/>
                <w:color w:val="auto"/>
              </w:rPr>
              <w:t>194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4"/>
                <w:szCs w:val="14"/>
                <w:color w:val="auto"/>
              </w:rPr>
              <w:t>92.4 %</w:t>
            </w: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2018</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112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192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193</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97.5 %</w:t>
            </w: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20" w:type="dxa"/>
            <w:vAlign w:val="bottom"/>
          </w:tcPr>
          <w:p>
            <w:pPr>
              <w:jc w:val="center"/>
              <w:spacing w:after="0"/>
              <w:rPr>
                <w:sz w:val="20"/>
                <w:szCs w:val="20"/>
                <w:color w:val="auto"/>
              </w:rPr>
            </w:pPr>
            <w:r>
              <w:rPr>
                <w:rFonts w:ascii="Arial" w:cs="Arial" w:eastAsia="Arial" w:hAnsi="Arial"/>
                <w:sz w:val="14"/>
                <w:szCs w:val="14"/>
                <w:color w:val="auto"/>
              </w:rPr>
              <w:t>2019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99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146</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164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3"/>
          </w:tcPr>
          <w:p>
            <w:pPr>
              <w:ind w:left="200"/>
              <w:spacing w:after="0"/>
              <w:rPr>
                <w:sz w:val="20"/>
                <w:szCs w:val="20"/>
                <w:color w:val="auto"/>
              </w:rPr>
            </w:pPr>
            <w:r>
              <w:rPr>
                <w:rFonts w:ascii="Arial" w:cs="Arial" w:eastAsia="Arial" w:hAnsi="Arial"/>
                <w:sz w:val="14"/>
                <w:szCs w:val="14"/>
                <w:color w:val="auto"/>
              </w:rPr>
              <w:t>168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gridSpan w:val="3"/>
          </w:tcPr>
          <w:p>
            <w:pPr>
              <w:jc w:val="right"/>
              <w:ind w:right="8"/>
              <w:spacing w:after="0"/>
              <w:rPr>
                <w:sz w:val="20"/>
                <w:szCs w:val="20"/>
                <w:color w:val="auto"/>
              </w:rPr>
            </w:pPr>
            <w:r>
              <w:rPr>
                <w:rFonts w:ascii="Arial" w:cs="Arial" w:eastAsia="Arial" w:hAnsi="Arial"/>
                <w:sz w:val="14"/>
                <w:szCs w:val="14"/>
                <w:color w:val="auto"/>
              </w:rPr>
              <w:t>170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4"/>
                <w:szCs w:val="14"/>
                <w:color w:val="auto"/>
              </w:rPr>
              <w:t>93.4 %</w:t>
            </w: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2020</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159</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162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83.9 %</w:t>
            </w: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20" w:type="dxa"/>
            <w:vAlign w:val="bottom"/>
          </w:tcPr>
          <w:p>
            <w:pPr>
              <w:jc w:val="center"/>
              <w:spacing w:after="0"/>
              <w:rPr>
                <w:sz w:val="20"/>
                <w:szCs w:val="20"/>
                <w:color w:val="auto"/>
              </w:rPr>
            </w:pPr>
            <w:r>
              <w:rPr>
                <w:rFonts w:ascii="Arial" w:cs="Arial" w:eastAsia="Arial" w:hAnsi="Arial"/>
                <w:sz w:val="14"/>
                <w:szCs w:val="14"/>
                <w:color w:val="auto"/>
              </w:rPr>
              <w:t>2021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98</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3"/>
          </w:tcPr>
          <w:p>
            <w:pPr>
              <w:ind w:left="200"/>
              <w:spacing w:after="0"/>
              <w:rPr>
                <w:sz w:val="20"/>
                <w:szCs w:val="20"/>
                <w:color w:val="auto"/>
              </w:rPr>
            </w:pPr>
            <w:r>
              <w:rPr>
                <w:rFonts w:ascii="Arial" w:cs="Arial" w:eastAsia="Arial" w:hAnsi="Arial"/>
                <w:sz w:val="14"/>
                <w:szCs w:val="14"/>
                <w:color w:val="auto"/>
              </w:rPr>
              <w:t>136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gridSpan w:val="3"/>
          </w:tcPr>
          <w:p>
            <w:pPr>
              <w:jc w:val="right"/>
              <w:ind w:right="8"/>
              <w:spacing w:after="0"/>
              <w:rPr>
                <w:sz w:val="20"/>
                <w:szCs w:val="20"/>
                <w:color w:val="auto"/>
              </w:rPr>
            </w:pPr>
            <w:r>
              <w:rPr>
                <w:rFonts w:ascii="Arial" w:cs="Arial" w:eastAsia="Arial" w:hAnsi="Arial"/>
                <w:sz w:val="14"/>
                <w:szCs w:val="14"/>
                <w:color w:val="auto"/>
              </w:rPr>
              <w:t>146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4"/>
                <w:szCs w:val="14"/>
                <w:color w:val="auto"/>
              </w:rPr>
              <w:t>78.1 %</w:t>
            </w: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2022</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108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164</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70.1 %</w:t>
            </w: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980" w:type="dxa"/>
            <w:vAlign w:val="bottom"/>
            <w:tcBorders>
              <w:bottom w:val="single" w:sz="8" w:color="CCEEFF"/>
            </w:tcBorders>
            <w:gridSpan w:val="48"/>
          </w:tcPr>
          <w:p>
            <w:pPr>
              <w:jc w:val="center"/>
              <w:ind w:right="6988"/>
              <w:spacing w:after="0"/>
              <w:rPr>
                <w:sz w:val="20"/>
                <w:szCs w:val="20"/>
                <w:color w:val="auto"/>
              </w:rPr>
            </w:pPr>
            <w:r>
              <w:rPr>
                <w:rFonts w:ascii="Arial" w:cs="Arial" w:eastAsia="Arial" w:hAnsi="Arial"/>
                <w:sz w:val="14"/>
                <w:szCs w:val="14"/>
                <w:color w:val="auto"/>
              </w:rPr>
              <w:t>2023</w:t>
            </w:r>
          </w:p>
        </w:tc>
        <w:tc>
          <w:tcPr>
            <w:tcW w:w="740" w:type="dxa"/>
            <w:vAlign w:val="bottom"/>
            <w:tcBorders>
              <w:bottom w:val="single" w:sz="8" w:color="auto"/>
            </w:tcBorders>
            <w:gridSpan w:val="5"/>
          </w:tcPr>
          <w:p>
            <w:pPr>
              <w:jc w:val="right"/>
              <w:ind w:right="668"/>
              <w:spacing w:after="0"/>
              <w:rPr>
                <w:sz w:val="20"/>
                <w:szCs w:val="20"/>
                <w:color w:val="auto"/>
              </w:rPr>
            </w:pPr>
            <w:r>
              <w:rPr>
                <w:rFonts w:ascii="Arial" w:cs="Arial" w:eastAsia="Arial" w:hAnsi="Arial"/>
                <w:sz w:val="14"/>
                <w:szCs w:val="14"/>
                <w:color w:val="auto"/>
              </w:rPr>
              <w:t>150</w:t>
            </w:r>
          </w:p>
        </w:tc>
        <w:tc>
          <w:tcPr>
            <w:tcW w:w="2520" w:type="dxa"/>
            <w:vAlign w:val="bottom"/>
            <w:tcBorders>
              <w:bottom w:val="single" w:sz="8" w:color="CCEEFF"/>
            </w:tcBorders>
            <w:gridSpan w:val="8"/>
          </w:tcPr>
          <w:p>
            <w:pPr>
              <w:jc w:val="right"/>
              <w:ind w:right="2450"/>
              <w:spacing w:after="0"/>
              <w:rPr>
                <w:sz w:val="20"/>
                <w:szCs w:val="20"/>
                <w:color w:val="auto"/>
              </w:rPr>
            </w:pPr>
            <w:r>
              <w:rPr>
                <w:rFonts w:ascii="Arial" w:cs="Arial" w:eastAsia="Arial" w:hAnsi="Arial"/>
                <w:sz w:val="14"/>
                <w:szCs w:val="14"/>
                <w:color w:val="auto"/>
              </w:rPr>
              <w:t>48.4 %</w:t>
            </w:r>
          </w:p>
        </w:tc>
        <w:tc>
          <w:tcPr>
            <w:tcW w:w="0" w:type="dxa"/>
            <w:vAlign w:val="bottom"/>
          </w:tcPr>
          <w:p>
            <w:pPr>
              <w:spacing w:after="0"/>
              <w:rPr>
                <w:sz w:val="1"/>
                <w:szCs w:val="1"/>
                <w:color w:val="auto"/>
              </w:rPr>
            </w:pPr>
          </w:p>
        </w:tc>
      </w:tr>
      <w:tr>
        <w:trPr>
          <w:trHeight w:val="200"/>
        </w:trPr>
        <w:tc>
          <w:tcPr>
            <w:tcW w:w="7900" w:type="dxa"/>
            <w:vAlign w:val="bottom"/>
            <w:gridSpan w:val="47"/>
            <w:shd w:val="clear" w:color="auto" w:fill="CCEEFF"/>
          </w:tcPr>
          <w:p>
            <w:pPr>
              <w:spacing w:after="0"/>
              <w:rPr>
                <w:sz w:val="20"/>
                <w:szCs w:val="20"/>
                <w:color w:val="auto"/>
              </w:rPr>
            </w:pPr>
            <w:r>
              <w:rPr>
                <w:rFonts w:ascii="Arial" w:cs="Arial" w:eastAsia="Arial" w:hAnsi="Arial"/>
                <w:sz w:val="14"/>
                <w:szCs w:val="14"/>
                <w:color w:val="auto"/>
              </w:rPr>
              <w:t>Total</w:t>
            </w:r>
          </w:p>
        </w:tc>
        <w:tc>
          <w:tcPr>
            <w:tcW w:w="360" w:type="dxa"/>
            <w:vAlign w:val="bottom"/>
            <w:gridSpan w:val="3"/>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2980" w:type="dxa"/>
            <w:vAlign w:val="bottom"/>
            <w:gridSpan w:val="11"/>
            <w:shd w:val="clear" w:color="auto" w:fill="CCEEFF"/>
          </w:tcPr>
          <w:p>
            <w:pPr>
              <w:jc w:val="right"/>
              <w:ind w:right="2530"/>
              <w:spacing w:after="0"/>
              <w:rPr>
                <w:sz w:val="20"/>
                <w:szCs w:val="20"/>
                <w:color w:val="auto"/>
              </w:rPr>
            </w:pPr>
            <w:r>
              <w:rPr>
                <w:rFonts w:ascii="Arial" w:cs="Arial" w:eastAsia="Arial" w:hAnsi="Arial"/>
                <w:sz w:val="14"/>
                <w:szCs w:val="14"/>
                <w:color w:val="auto"/>
              </w:rPr>
              <w:t>1,625</w:t>
            </w:r>
          </w:p>
        </w:tc>
        <w:tc>
          <w:tcPr>
            <w:tcW w:w="0" w:type="dxa"/>
            <w:vAlign w:val="bottom"/>
          </w:tcPr>
          <w:p>
            <w:pPr>
              <w:spacing w:after="0"/>
              <w:rPr>
                <w:sz w:val="1"/>
                <w:szCs w:val="1"/>
                <w:color w:val="auto"/>
              </w:rPr>
            </w:pPr>
          </w:p>
        </w:tc>
      </w:tr>
      <w:tr>
        <w:trPr>
          <w:trHeight w:val="192"/>
        </w:trPr>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60" w:type="dxa"/>
            <w:vAlign w:val="bottom"/>
            <w:gridSpan w:val="27"/>
          </w:tcPr>
          <w:p>
            <w:pPr>
              <w:jc w:val="right"/>
              <w:spacing w:after="0"/>
              <w:rPr>
                <w:sz w:val="20"/>
                <w:szCs w:val="20"/>
                <w:color w:val="auto"/>
              </w:rPr>
            </w:pPr>
            <w:r>
              <w:rPr>
                <w:rFonts w:ascii="Arial" w:cs="Arial" w:eastAsia="Arial" w:hAnsi="Arial"/>
                <w:sz w:val="14"/>
                <w:szCs w:val="14"/>
                <w:color w:val="auto"/>
              </w:rPr>
              <w:t>Unpaid losses and LAE — years 2014 through 2023</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gridSpan w:val="3"/>
          </w:tcPr>
          <w:p>
            <w:pPr>
              <w:jc w:val="right"/>
              <w:ind w:right="8"/>
              <w:spacing w:after="0"/>
              <w:rPr>
                <w:sz w:val="20"/>
                <w:szCs w:val="20"/>
                <w:color w:val="auto"/>
              </w:rPr>
            </w:pPr>
            <w:r>
              <w:rPr>
                <w:rFonts w:ascii="Arial" w:cs="Arial" w:eastAsia="Arial" w:hAnsi="Arial"/>
                <w:sz w:val="14"/>
                <w:szCs w:val="14"/>
                <w:color w:val="auto"/>
              </w:rPr>
              <w:t>328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20" w:type="dxa"/>
            <w:vAlign w:val="bottom"/>
            <w:gridSpan w:val="35"/>
            <w:shd w:val="clear" w:color="auto" w:fill="CCEEFF"/>
          </w:tcPr>
          <w:p>
            <w:pPr>
              <w:jc w:val="right"/>
              <w:spacing w:after="0"/>
              <w:rPr>
                <w:sz w:val="20"/>
                <w:szCs w:val="20"/>
                <w:color w:val="auto"/>
              </w:rPr>
            </w:pPr>
            <w:r>
              <w:rPr>
                <w:rFonts w:ascii="Arial" w:cs="Arial" w:eastAsia="Arial" w:hAnsi="Arial"/>
                <w:sz w:val="14"/>
                <w:szCs w:val="14"/>
                <w:color w:val="auto"/>
              </w:rPr>
              <w:t>Unpaid losses and LAE — 11th year and prior (excluding unallocated LAE)</w:t>
            </w: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80" w:type="dxa"/>
            <w:vAlign w:val="bottom"/>
            <w:gridSpan w:val="33"/>
          </w:tcPr>
          <w:p>
            <w:pPr>
              <w:jc w:val="right"/>
              <w:spacing w:after="0"/>
              <w:rPr>
                <w:sz w:val="20"/>
                <w:szCs w:val="20"/>
                <w:color w:val="auto"/>
              </w:rPr>
            </w:pPr>
            <w:r>
              <w:rPr>
                <w:rFonts w:ascii="Arial" w:cs="Arial" w:eastAsia="Arial" w:hAnsi="Arial"/>
                <w:sz w:val="14"/>
                <w:szCs w:val="14"/>
                <w:color w:val="auto"/>
              </w:rPr>
              <w:t>Unpaid losses and LAE, net of reinsurance (excluding unallocated LAE)</w:t>
            </w:r>
          </w:p>
        </w:tc>
        <w:tc>
          <w:tcPr>
            <w:tcW w:w="360" w:type="dxa"/>
            <w:vAlign w:val="bottom"/>
            <w:gridSpan w:val="3"/>
          </w:tcPr>
          <w:p>
            <w:pPr>
              <w:jc w:val="right"/>
              <w:ind w:right="108"/>
              <w:spacing w:after="0"/>
              <w:rPr>
                <w:sz w:val="20"/>
                <w:szCs w:val="20"/>
                <w:color w:val="auto"/>
              </w:rPr>
            </w:pPr>
            <w:r>
              <w:rPr>
                <w:rFonts w:ascii="Arial" w:cs="Arial" w:eastAsia="Arial" w:hAnsi="Arial"/>
                <w:sz w:val="14"/>
                <w:szCs w:val="14"/>
                <w:color w:val="auto"/>
              </w:rPr>
              <w:t>$</w:t>
            </w:r>
          </w:p>
        </w:tc>
        <w:tc>
          <w:tcPr>
            <w:tcW w:w="460" w:type="dxa"/>
            <w:vAlign w:val="bottom"/>
            <w:gridSpan w:val="3"/>
          </w:tcPr>
          <w:p>
            <w:pPr>
              <w:jc w:val="right"/>
              <w:ind w:right="8"/>
              <w:spacing w:after="0"/>
              <w:rPr>
                <w:sz w:val="20"/>
                <w:szCs w:val="20"/>
                <w:color w:val="auto"/>
              </w:rPr>
            </w:pPr>
            <w:r>
              <w:rPr>
                <w:rFonts w:ascii="Arial" w:cs="Arial" w:eastAsia="Arial" w:hAnsi="Arial"/>
                <w:sz w:val="14"/>
                <w:szCs w:val="14"/>
                <w:color w:val="auto"/>
              </w:rPr>
              <w:t>328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40" w:type="dxa"/>
            <w:vAlign w:val="bottom"/>
            <w:gridSpan w:val="39"/>
            <w:vMerge w:val="restart"/>
          </w:tcPr>
          <w:p>
            <w:pPr>
              <w:jc w:val="right"/>
              <w:ind w:right="68"/>
              <w:spacing w:after="0"/>
              <w:rPr>
                <w:sz w:val="20"/>
                <w:szCs w:val="20"/>
                <w:color w:val="auto"/>
              </w:rPr>
            </w:pPr>
            <w:r>
              <w:rPr>
                <w:rFonts w:ascii="Arial" w:cs="Arial" w:eastAsia="Arial" w:hAnsi="Arial"/>
                <w:sz w:val="14"/>
                <w:szCs w:val="14"/>
                <w:color w:val="auto"/>
              </w:rPr>
              <w:t>Average Annual Percentage Payout of Incurred Claims by Age, Net of Reinsurance</w:t>
            </w: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4"/>
        </w:trPr>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40" w:type="dxa"/>
            <w:vAlign w:val="bottom"/>
            <w:gridSpan w:val="39"/>
            <w:vMerge w:val="continue"/>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22"/>
          </w:tcPr>
          <w:p>
            <w:pPr>
              <w:ind w:left="300"/>
              <w:spacing w:after="0"/>
              <w:rPr>
                <w:sz w:val="20"/>
                <w:szCs w:val="20"/>
                <w:color w:val="auto"/>
              </w:rPr>
            </w:pPr>
            <w:r>
              <w:rPr>
                <w:rFonts w:ascii="Arial" w:cs="Arial" w:eastAsia="Arial" w:hAnsi="Arial"/>
                <w:sz w:val="14"/>
                <w:szCs w:val="14"/>
                <w:color w:val="auto"/>
              </w:rPr>
              <w:t>(Supplementary Information and Unaudited)</w:t>
            </w:r>
          </w:p>
        </w:tc>
        <w:tc>
          <w:tcPr>
            <w:tcW w:w="3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2"/>
              </w:rPr>
              <w:t>Year 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color w:val="auto"/>
              </w:rPr>
              <w:t>Year 2</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Year 3</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Year 4</w:t>
            </w: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color w:val="auto"/>
              </w:rPr>
              <w:t>Year 5</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color w:val="auto"/>
              </w:rPr>
              <w:t>Year 6</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color w:val="auto"/>
              </w:rPr>
              <w:t>Year 7</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color w:val="auto"/>
              </w:rPr>
              <w:t>Year 8</w:t>
            </w: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Year 9</w:t>
            </w: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rPr>
              <w:t>Year 10</w:t>
            </w:r>
          </w:p>
        </w:tc>
        <w:tc>
          <w:tcPr>
            <w:tcW w:w="1020" w:type="dxa"/>
            <w:vAlign w:val="bottom"/>
            <w:tcBorders>
              <w:bottom w:val="single" w:sz="8" w:color="CCEEFF"/>
            </w:tcBorders>
            <w:gridSpan w:val="3"/>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0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Annual</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26.3 %</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9.9 %</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2.2 %</w:t>
            </w:r>
          </w:p>
        </w:tc>
        <w:tc>
          <w:tcPr>
            <w:tcW w:w="8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840" w:type="dxa"/>
            <w:vAlign w:val="bottom"/>
            <w:gridSpan w:val="6"/>
            <w:shd w:val="clear" w:color="auto" w:fill="CCEEFF"/>
          </w:tcPr>
          <w:p>
            <w:pPr>
              <w:jc w:val="right"/>
              <w:spacing w:after="0"/>
              <w:rPr>
                <w:sz w:val="20"/>
                <w:szCs w:val="20"/>
                <w:color w:val="auto"/>
              </w:rPr>
            </w:pPr>
            <w:r>
              <w:rPr>
                <w:rFonts w:ascii="Arial" w:cs="Arial" w:eastAsia="Arial" w:hAnsi="Arial"/>
                <w:sz w:val="14"/>
                <w:szCs w:val="14"/>
                <w:color w:val="auto"/>
              </w:rPr>
              <w:t>0.7 %</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w w:val="94"/>
              </w:rPr>
              <w:t>1.6 %</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gridSpan w:val="6"/>
            <w:shd w:val="clear" w:color="auto" w:fill="CCEEFF"/>
          </w:tcPr>
          <w:p>
            <w:pPr>
              <w:jc w:val="right"/>
              <w:spacing w:after="0"/>
              <w:rPr>
                <w:sz w:val="20"/>
                <w:szCs w:val="20"/>
                <w:color w:val="auto"/>
              </w:rPr>
            </w:pPr>
            <w:r>
              <w:rPr>
                <w:rFonts w:ascii="Arial" w:cs="Arial" w:eastAsia="Arial" w:hAnsi="Arial"/>
                <w:sz w:val="14"/>
                <w:szCs w:val="14"/>
                <w:color w:val="auto"/>
                <w:w w:val="97"/>
              </w:rPr>
              <w:t>(0.1 %)</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ind w:right="268"/>
              <w:spacing w:after="0"/>
              <w:rPr>
                <w:sz w:val="20"/>
                <w:szCs w:val="20"/>
                <w:color w:val="auto"/>
              </w:rPr>
            </w:pPr>
            <w:r>
              <w:rPr>
                <w:rFonts w:ascii="Arial" w:cs="Arial" w:eastAsia="Arial" w:hAnsi="Arial"/>
                <w:sz w:val="14"/>
                <w:szCs w:val="14"/>
                <w:color w:val="auto"/>
              </w:rPr>
              <w:t>— %</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4"/>
            <w:shd w:val="clear" w:color="auto" w:fill="CCEEFF"/>
          </w:tcPr>
          <w:p>
            <w:pPr>
              <w:jc w:val="right"/>
              <w:ind w:right="1040"/>
              <w:spacing w:after="0"/>
              <w:rPr>
                <w:sz w:val="20"/>
                <w:szCs w:val="20"/>
                <w:color w:val="auto"/>
              </w:rPr>
            </w:pPr>
            <w:r>
              <w:rPr>
                <w:rFonts w:ascii="Arial" w:cs="Arial" w:eastAsia="Arial" w:hAnsi="Arial"/>
                <w:sz w:val="14"/>
                <w:szCs w:val="14"/>
                <w:color w:val="auto"/>
                <w:w w:val="98"/>
              </w:rPr>
              <w:t>— %</w:t>
            </w: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000" w:type="dxa"/>
            <w:vAlign w:val="bottom"/>
            <w:gridSpan w:val="3"/>
          </w:tcPr>
          <w:p>
            <w:pPr>
              <w:ind w:left="20"/>
              <w:spacing w:after="0"/>
              <w:rPr>
                <w:sz w:val="20"/>
                <w:szCs w:val="20"/>
                <w:color w:val="auto"/>
              </w:rPr>
            </w:pPr>
            <w:r>
              <w:rPr>
                <w:rFonts w:ascii="Arial" w:cs="Arial" w:eastAsia="Arial" w:hAnsi="Arial"/>
                <w:sz w:val="13"/>
                <w:szCs w:val="13"/>
                <w:color w:val="auto"/>
              </w:rPr>
              <w:t>Cumulative</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51.8 %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78.1 %</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88.0 %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3"/>
          </w:tcPr>
          <w:p>
            <w:pPr>
              <w:ind w:left="260"/>
              <w:spacing w:after="0"/>
              <w:rPr>
                <w:sz w:val="20"/>
                <w:szCs w:val="20"/>
                <w:color w:val="auto"/>
              </w:rPr>
            </w:pPr>
            <w:r>
              <w:rPr>
                <w:rFonts w:ascii="Arial" w:cs="Arial" w:eastAsia="Arial" w:hAnsi="Arial"/>
                <w:sz w:val="14"/>
                <w:szCs w:val="14"/>
                <w:color w:val="auto"/>
              </w:rPr>
              <w:t>90.2 %</w:t>
            </w:r>
          </w:p>
        </w:tc>
        <w:tc>
          <w:tcPr>
            <w:tcW w:w="80" w:type="dxa"/>
            <w:vAlign w:val="bottom"/>
          </w:tcPr>
          <w:p>
            <w:pPr>
              <w:spacing w:after="0"/>
              <w:rPr>
                <w:sz w:val="16"/>
                <w:szCs w:val="16"/>
                <w:color w:val="auto"/>
              </w:rPr>
            </w:pPr>
          </w:p>
        </w:tc>
        <w:tc>
          <w:tcPr>
            <w:tcW w:w="740" w:type="dxa"/>
            <w:vAlign w:val="bottom"/>
            <w:gridSpan w:val="4"/>
          </w:tcPr>
          <w:p>
            <w:pPr>
              <w:jc w:val="right"/>
              <w:spacing w:after="0"/>
              <w:rPr>
                <w:sz w:val="20"/>
                <w:szCs w:val="20"/>
                <w:color w:val="auto"/>
              </w:rPr>
            </w:pPr>
            <w:r>
              <w:rPr>
                <w:rFonts w:ascii="Arial" w:cs="Arial" w:eastAsia="Arial" w:hAnsi="Arial"/>
                <w:sz w:val="14"/>
                <w:szCs w:val="14"/>
                <w:color w:val="auto"/>
              </w:rPr>
              <w:t>91.8 %</w:t>
            </w:r>
          </w:p>
        </w:tc>
        <w:tc>
          <w:tcPr>
            <w:tcW w:w="840" w:type="dxa"/>
            <w:vAlign w:val="bottom"/>
            <w:gridSpan w:val="6"/>
          </w:tcPr>
          <w:p>
            <w:pPr>
              <w:jc w:val="right"/>
              <w:spacing w:after="0"/>
              <w:rPr>
                <w:sz w:val="20"/>
                <w:szCs w:val="20"/>
                <w:color w:val="auto"/>
              </w:rPr>
            </w:pPr>
            <w:r>
              <w:rPr>
                <w:rFonts w:ascii="Arial" w:cs="Arial" w:eastAsia="Arial" w:hAnsi="Arial"/>
                <w:sz w:val="14"/>
                <w:szCs w:val="14"/>
                <w:color w:val="auto"/>
              </w:rPr>
              <w:t>92.5 %</w:t>
            </w:r>
          </w:p>
        </w:tc>
        <w:tc>
          <w:tcPr>
            <w:tcW w:w="840" w:type="dxa"/>
            <w:vAlign w:val="bottom"/>
            <w:gridSpan w:val="7"/>
          </w:tcPr>
          <w:p>
            <w:pPr>
              <w:jc w:val="right"/>
              <w:spacing w:after="0"/>
              <w:rPr>
                <w:sz w:val="20"/>
                <w:szCs w:val="20"/>
                <w:color w:val="auto"/>
              </w:rPr>
            </w:pPr>
            <w:r>
              <w:rPr>
                <w:rFonts w:ascii="Arial" w:cs="Arial" w:eastAsia="Arial" w:hAnsi="Arial"/>
                <w:sz w:val="14"/>
                <w:szCs w:val="14"/>
                <w:color w:val="auto"/>
              </w:rPr>
              <w:t>94.1 %</w:t>
            </w:r>
          </w:p>
        </w:tc>
        <w:tc>
          <w:tcPr>
            <w:tcW w:w="100" w:type="dxa"/>
            <w:vAlign w:val="bottom"/>
          </w:tcPr>
          <w:p>
            <w:pPr>
              <w:spacing w:after="0"/>
              <w:rPr>
                <w:sz w:val="16"/>
                <w:szCs w:val="16"/>
                <w:color w:val="auto"/>
              </w:rPr>
            </w:pPr>
          </w:p>
        </w:tc>
        <w:tc>
          <w:tcPr>
            <w:tcW w:w="800" w:type="dxa"/>
            <w:vAlign w:val="bottom"/>
            <w:gridSpan w:val="7"/>
          </w:tcPr>
          <w:p>
            <w:pPr>
              <w:jc w:val="right"/>
              <w:ind w:right="8"/>
              <w:spacing w:after="0"/>
              <w:rPr>
                <w:sz w:val="20"/>
                <w:szCs w:val="20"/>
                <w:color w:val="auto"/>
              </w:rPr>
            </w:pPr>
            <w:r>
              <w:rPr>
                <w:rFonts w:ascii="Arial" w:cs="Arial" w:eastAsia="Arial" w:hAnsi="Arial"/>
                <w:sz w:val="14"/>
                <w:szCs w:val="14"/>
                <w:color w:val="auto"/>
              </w:rPr>
              <w:t>94.0 %</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gridSpan w:val="4"/>
          </w:tcPr>
          <w:p>
            <w:pPr>
              <w:jc w:val="right"/>
              <w:spacing w:after="0"/>
              <w:rPr>
                <w:sz w:val="20"/>
                <w:szCs w:val="20"/>
                <w:color w:val="auto"/>
              </w:rPr>
            </w:pPr>
            <w:r>
              <w:rPr>
                <w:rFonts w:ascii="Arial" w:cs="Arial" w:eastAsia="Arial" w:hAnsi="Arial"/>
                <w:sz w:val="14"/>
                <w:szCs w:val="14"/>
                <w:color w:val="auto"/>
              </w:rPr>
              <w:t>94.0 %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gridSpan w:val="4"/>
          </w:tcPr>
          <w:p>
            <w:pPr>
              <w:jc w:val="right"/>
              <w:spacing w:after="0"/>
              <w:rPr>
                <w:sz w:val="20"/>
                <w:szCs w:val="20"/>
                <w:color w:val="auto"/>
              </w:rPr>
            </w:pPr>
            <w:r>
              <w:rPr>
                <w:rFonts w:ascii="Arial" w:cs="Arial" w:eastAsia="Arial" w:hAnsi="Arial"/>
                <w:sz w:val="14"/>
                <w:szCs w:val="14"/>
                <w:color w:val="auto"/>
              </w:rPr>
              <w:t>94.0 %</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00" w:hanging="392"/>
        <w:spacing w:after="0"/>
        <w:tabs>
          <w:tab w:leader="none" w:pos="4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Represents the cumulative percentage paid of incurred claims and allocated LAE (net of reinsurance, as estimated at December 31, 2023).</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5440"/>
        <w:spacing w:after="0"/>
        <w:rPr>
          <w:rFonts w:ascii="Arial" w:cs="Arial" w:eastAsia="Arial" w:hAnsi="Arial"/>
          <w:sz w:val="17"/>
          <w:szCs w:val="17"/>
          <w:color w:val="auto"/>
        </w:rPr>
      </w:pPr>
      <w:r>
        <w:rPr>
          <w:rFonts w:ascii="Arial" w:cs="Arial" w:eastAsia="Arial" w:hAnsi="Arial"/>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9" w:name="page130"/>
    <w:bookmarkEnd w:id="12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AMERICAN FINANCIAL GROUP,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NOTES TO CONSOLIDATED FINANCIAL STATEMENTS — CONTINUED</w:t>
      </w: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0274E"/>
        </w:rPr>
        <w:t>Other specialty</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(Dollars in Millions)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380" w:type="dxa"/>
            <w:vAlign w:val="bottom"/>
            <w:gridSpan w:val="24"/>
          </w:tcPr>
          <w:p>
            <w:pPr>
              <w:jc w:val="center"/>
              <w:spacing w:after="0"/>
              <w:rPr>
                <w:sz w:val="20"/>
                <w:szCs w:val="20"/>
                <w:color w:val="auto"/>
              </w:rPr>
            </w:pPr>
            <w:r>
              <w:rPr>
                <w:rFonts w:ascii="Arial" w:cs="Arial" w:eastAsia="Arial" w:hAnsi="Arial"/>
                <w:sz w:val="14"/>
                <w:szCs w:val="14"/>
                <w:color w:val="auto"/>
              </w:rPr>
              <w:t>Incurred Claims and Allocated LAE, Net of Reinsurance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color w:val="auto"/>
              </w:rPr>
              <w:t>As of December 31, 2023</w:t>
            </w:r>
          </w:p>
        </w:tc>
        <w:tc>
          <w:tcPr>
            <w:tcW w:w="0" w:type="dxa"/>
            <w:vAlign w:val="bottom"/>
          </w:tcPr>
          <w:p>
            <w:pPr>
              <w:spacing w:after="0"/>
              <w:rPr>
                <w:sz w:val="1"/>
                <w:szCs w:val="1"/>
                <w:color w:val="auto"/>
              </w:rPr>
            </w:pPr>
          </w:p>
        </w:tc>
      </w:tr>
      <w:tr>
        <w:trPr>
          <w:trHeight w:val="187"/>
        </w:trPr>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80" w:type="dxa"/>
            <w:vAlign w:val="bottom"/>
            <w:gridSpan w:val="32"/>
          </w:tcPr>
          <w:p>
            <w:pPr>
              <w:jc w:val="center"/>
              <w:ind w:left="348"/>
              <w:spacing w:after="0"/>
              <w:rPr>
                <w:sz w:val="20"/>
                <w:szCs w:val="20"/>
                <w:color w:val="auto"/>
              </w:rPr>
            </w:pPr>
            <w:r>
              <w:rPr>
                <w:rFonts w:ascii="Arial" w:cs="Arial" w:eastAsia="Arial" w:hAnsi="Arial"/>
                <w:sz w:val="14"/>
                <w:szCs w:val="14"/>
                <w:color w:val="auto"/>
              </w:rPr>
              <w:t>For the Years Ended (2014–2022 is Supplementary Information and Unaudited)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4"/>
          </w:tcPr>
          <w:p>
            <w:pPr>
              <w:jc w:val="center"/>
              <w:ind w:right="220"/>
              <w:spacing w:after="0"/>
              <w:rPr>
                <w:sz w:val="20"/>
                <w:szCs w:val="20"/>
                <w:color w:val="auto"/>
              </w:rPr>
            </w:pPr>
            <w:r>
              <w:rPr>
                <w:rFonts w:ascii="Arial" w:cs="Arial" w:eastAsia="Arial" w:hAnsi="Arial"/>
                <w:sz w:val="13"/>
                <w:szCs w:val="13"/>
                <w:color w:val="auto"/>
              </w:rPr>
              <w:t>Total IBNR Plus</w:t>
            </w:r>
          </w:p>
        </w:tc>
        <w:tc>
          <w:tcPr>
            <w:tcW w:w="960" w:type="dxa"/>
            <w:vAlign w:val="bottom"/>
          </w:tcPr>
          <w:p>
            <w:pPr>
              <w:jc w:val="center"/>
              <w:spacing w:after="0"/>
              <w:rPr>
                <w:sz w:val="20"/>
                <w:szCs w:val="20"/>
                <w:color w:val="auto"/>
              </w:rPr>
            </w:pPr>
            <w:r>
              <w:rPr>
                <w:rFonts w:ascii="Arial" w:cs="Arial" w:eastAsia="Arial" w:hAnsi="Arial"/>
                <w:sz w:val="13"/>
                <w:szCs w:val="13"/>
                <w:color w:val="auto"/>
              </w:rPr>
              <w:t>Cumulative</w:t>
            </w:r>
          </w:p>
        </w:tc>
        <w:tc>
          <w:tcPr>
            <w:tcW w:w="0" w:type="dxa"/>
            <w:vAlign w:val="bottom"/>
          </w:tcPr>
          <w:p>
            <w:pPr>
              <w:spacing w:after="0"/>
              <w:rPr>
                <w:sz w:val="1"/>
                <w:szCs w:val="1"/>
                <w:color w:val="auto"/>
              </w:rPr>
            </w:pPr>
          </w:p>
        </w:tc>
      </w:tr>
      <w:tr>
        <w:trPr>
          <w:trHeight w:val="54"/>
        </w:trPr>
        <w:tc>
          <w:tcPr>
            <w:tcW w:w="1000" w:type="dxa"/>
            <w:vAlign w:val="bottom"/>
            <w:gridSpan w:val="3"/>
            <w:vMerge w:val="restart"/>
          </w:tcPr>
          <w:p>
            <w:pPr>
              <w:jc w:val="center"/>
              <w:ind w:right="80"/>
              <w:spacing w:after="0"/>
              <w:rPr>
                <w:sz w:val="20"/>
                <w:szCs w:val="20"/>
                <w:color w:val="auto"/>
              </w:rPr>
            </w:pPr>
            <w:r>
              <w:rPr>
                <w:rFonts w:ascii="Arial" w:cs="Arial" w:eastAsia="Arial" w:hAnsi="Arial"/>
                <w:sz w:val="14"/>
                <w:szCs w:val="14"/>
                <w:color w:val="auto"/>
              </w:rPr>
              <w:t>Accident</w:t>
            </w: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gridSpan w:val="4"/>
            <w:vMerge w:val="restart"/>
          </w:tcPr>
          <w:p>
            <w:pPr>
              <w:jc w:val="center"/>
              <w:ind w:right="240"/>
              <w:spacing w:after="0" w:line="109" w:lineRule="exact"/>
              <w:rPr>
                <w:sz w:val="20"/>
                <w:szCs w:val="20"/>
                <w:color w:val="auto"/>
              </w:rPr>
            </w:pPr>
            <w:r>
              <w:rPr>
                <w:rFonts w:ascii="Arial" w:cs="Arial" w:eastAsia="Arial" w:hAnsi="Arial"/>
                <w:sz w:val="12"/>
                <w:szCs w:val="12"/>
                <w:color w:val="auto"/>
              </w:rPr>
              <w:t>Expected</w:t>
            </w:r>
          </w:p>
        </w:tc>
        <w:tc>
          <w:tcPr>
            <w:tcW w:w="960" w:type="dxa"/>
            <w:vAlign w:val="bottom"/>
            <w:vMerge w:val="restart"/>
          </w:tcPr>
          <w:p>
            <w:pPr>
              <w:jc w:val="center"/>
              <w:spacing w:after="0" w:line="109" w:lineRule="exact"/>
              <w:rPr>
                <w:sz w:val="20"/>
                <w:szCs w:val="20"/>
                <w:color w:val="auto"/>
              </w:rPr>
            </w:pPr>
            <w:r>
              <w:rPr>
                <w:rFonts w:ascii="Arial" w:cs="Arial" w:eastAsia="Arial" w:hAnsi="Arial"/>
                <w:sz w:val="12"/>
                <w:szCs w:val="12"/>
                <w:color w:val="auto"/>
              </w:rPr>
              <w:t>Number of</w:t>
            </w:r>
          </w:p>
        </w:tc>
        <w:tc>
          <w:tcPr>
            <w:tcW w:w="0" w:type="dxa"/>
            <w:vAlign w:val="bottom"/>
          </w:tcPr>
          <w:p>
            <w:pPr>
              <w:spacing w:after="0"/>
              <w:rPr>
                <w:sz w:val="1"/>
                <w:szCs w:val="1"/>
                <w:color w:val="auto"/>
              </w:rPr>
            </w:pPr>
          </w:p>
        </w:tc>
      </w:tr>
      <w:tr>
        <w:trPr>
          <w:trHeight w:val="35"/>
        </w:trPr>
        <w:tc>
          <w:tcPr>
            <w:tcW w:w="100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gridSpan w:val="4"/>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10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ind w:right="108"/>
              <w:spacing w:after="0"/>
              <w:rPr>
                <w:sz w:val="20"/>
                <w:szCs w:val="20"/>
                <w:color w:val="auto"/>
              </w:rPr>
            </w:pPr>
            <w:r>
              <w:rPr>
                <w:rFonts w:ascii="Arial" w:cs="Arial" w:eastAsia="Arial" w:hAnsi="Arial"/>
                <w:sz w:val="14"/>
                <w:szCs w:val="14"/>
                <w:color w:val="auto"/>
              </w:rPr>
              <w:t>2014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4"/>
                <w:szCs w:val="14"/>
                <w:color w:val="auto"/>
              </w:rPr>
              <w:t>2015</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vMerge w:val="restart"/>
          </w:tcPr>
          <w:p>
            <w:pPr>
              <w:jc w:val="right"/>
              <w:ind w:right="10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ind w:right="108"/>
              <w:spacing w:after="0"/>
              <w:rPr>
                <w:sz w:val="20"/>
                <w:szCs w:val="20"/>
                <w:color w:val="auto"/>
              </w:rPr>
            </w:pPr>
            <w:r>
              <w:rPr>
                <w:rFonts w:ascii="Arial" w:cs="Arial" w:eastAsia="Arial" w:hAnsi="Arial"/>
                <w:sz w:val="14"/>
                <w:szCs w:val="14"/>
                <w:color w:val="auto"/>
              </w:rPr>
              <w:t>2017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vMerge w:val="restart"/>
          </w:tcPr>
          <w:p>
            <w:pPr>
              <w:jc w:val="right"/>
              <w:ind w:right="128"/>
              <w:spacing w:after="0"/>
              <w:rPr>
                <w:sz w:val="20"/>
                <w:szCs w:val="20"/>
                <w:color w:val="auto"/>
              </w:rPr>
            </w:pPr>
            <w:r>
              <w:rPr>
                <w:rFonts w:ascii="Arial" w:cs="Arial" w:eastAsia="Arial" w:hAnsi="Arial"/>
                <w:sz w:val="14"/>
                <w:szCs w:val="14"/>
                <w:color w:val="auto"/>
              </w:rPr>
              <w:t>2018</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gridSpan w:val="2"/>
            <w:vMerge w:val="restart"/>
          </w:tcPr>
          <w:p>
            <w:pPr>
              <w:jc w:val="right"/>
              <w:ind w:right="108"/>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1"/>
                <w:szCs w:val="11"/>
                <w:color w:val="auto"/>
              </w:rPr>
            </w:pPr>
          </w:p>
        </w:tc>
        <w:tc>
          <w:tcPr>
            <w:tcW w:w="640" w:type="dxa"/>
            <w:vAlign w:val="bottom"/>
            <w:gridSpan w:val="3"/>
            <w:vMerge w:val="restart"/>
          </w:tcPr>
          <w:p>
            <w:pPr>
              <w:jc w:val="right"/>
              <w:ind w:right="68"/>
              <w:spacing w:after="0"/>
              <w:rPr>
                <w:sz w:val="20"/>
                <w:szCs w:val="20"/>
                <w:color w:val="auto"/>
              </w:rPr>
            </w:pPr>
            <w:r>
              <w:rPr>
                <w:rFonts w:ascii="Arial" w:cs="Arial" w:eastAsia="Arial" w:hAnsi="Arial"/>
                <w:sz w:val="14"/>
                <w:szCs w:val="14"/>
                <w:color w:val="auto"/>
              </w:rPr>
              <w:t>2020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gridSpan w:val="3"/>
            <w:vMerge w:val="restart"/>
          </w:tcPr>
          <w:p>
            <w:pPr>
              <w:jc w:val="right"/>
              <w:ind w:right="48"/>
              <w:spacing w:after="0"/>
              <w:rPr>
                <w:sz w:val="20"/>
                <w:szCs w:val="20"/>
                <w:color w:val="auto"/>
              </w:rPr>
            </w:pPr>
            <w:r>
              <w:rPr>
                <w:rFonts w:ascii="Arial" w:cs="Arial" w:eastAsia="Arial" w:hAnsi="Arial"/>
                <w:sz w:val="14"/>
                <w:szCs w:val="14"/>
                <w:color w:val="auto"/>
              </w:rPr>
              <w:t>2021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gridSpan w:val="3"/>
            <w:vMerge w:val="restart"/>
          </w:tcPr>
          <w:p>
            <w:pPr>
              <w:jc w:val="right"/>
              <w:ind w:right="108"/>
              <w:spacing w:after="0"/>
              <w:rPr>
                <w:sz w:val="20"/>
                <w:szCs w:val="20"/>
                <w:color w:val="auto"/>
              </w:rPr>
            </w:pPr>
            <w:r>
              <w:rPr>
                <w:rFonts w:ascii="Arial" w:cs="Arial" w:eastAsia="Arial" w:hAnsi="Arial"/>
                <w:sz w:val="14"/>
                <w:szCs w:val="14"/>
                <w:color w:val="auto"/>
                <w:w w:val="96"/>
              </w:rPr>
              <w:t>2022</w:t>
            </w:r>
          </w:p>
        </w:tc>
        <w:tc>
          <w:tcPr>
            <w:tcW w:w="100" w:type="dxa"/>
            <w:vAlign w:val="bottom"/>
            <w:vMerge w:val="restart"/>
          </w:tcPr>
          <w:p>
            <w:pPr>
              <w:spacing w:after="0"/>
              <w:rPr>
                <w:sz w:val="11"/>
                <w:szCs w:val="11"/>
                <w:color w:val="auto"/>
              </w:rPr>
            </w:pPr>
          </w:p>
        </w:tc>
        <w:tc>
          <w:tcPr>
            <w:tcW w:w="720" w:type="dxa"/>
            <w:vAlign w:val="bottom"/>
            <w:gridSpan w:val="4"/>
            <w:vMerge w:val="restart"/>
          </w:tcPr>
          <w:p>
            <w:pPr>
              <w:jc w:val="right"/>
              <w:ind w:right="128"/>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4"/>
          </w:tcPr>
          <w:p>
            <w:pPr>
              <w:jc w:val="center"/>
              <w:ind w:right="220"/>
              <w:spacing w:after="0" w:line="135" w:lineRule="exact"/>
              <w:rPr>
                <w:sz w:val="20"/>
                <w:szCs w:val="20"/>
                <w:color w:val="auto"/>
              </w:rPr>
            </w:pPr>
            <w:r>
              <w:rPr>
                <w:rFonts w:ascii="Arial" w:cs="Arial" w:eastAsia="Arial" w:hAnsi="Arial"/>
                <w:sz w:val="13"/>
                <w:szCs w:val="13"/>
                <w:color w:val="auto"/>
              </w:rPr>
              <w:t>Development on</w:t>
            </w:r>
          </w:p>
        </w:tc>
        <w:tc>
          <w:tcPr>
            <w:tcW w:w="960" w:type="dxa"/>
            <w:vAlign w:val="bottom"/>
          </w:tcPr>
          <w:p>
            <w:pPr>
              <w:jc w:val="center"/>
              <w:spacing w:after="0" w:line="135" w:lineRule="exact"/>
              <w:rPr>
                <w:sz w:val="20"/>
                <w:szCs w:val="20"/>
                <w:color w:val="auto"/>
              </w:rPr>
            </w:pPr>
            <w:r>
              <w:rPr>
                <w:rFonts w:ascii="Arial" w:cs="Arial" w:eastAsia="Arial" w:hAnsi="Arial"/>
                <w:sz w:val="13"/>
                <w:szCs w:val="13"/>
                <w:color w:val="auto"/>
              </w:rPr>
              <w:t>Reported</w:t>
            </w:r>
          </w:p>
        </w:tc>
        <w:tc>
          <w:tcPr>
            <w:tcW w:w="0" w:type="dxa"/>
            <w:vAlign w:val="bottom"/>
          </w:tcPr>
          <w:p>
            <w:pPr>
              <w:spacing w:after="0"/>
              <w:rPr>
                <w:sz w:val="1"/>
                <w:szCs w:val="1"/>
                <w:color w:val="auto"/>
              </w:rPr>
            </w:pPr>
          </w:p>
        </w:tc>
      </w:tr>
      <w:tr>
        <w:trPr>
          <w:trHeight w:val="188"/>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Year</w:t>
            </w:r>
          </w:p>
        </w:tc>
        <w:tc>
          <w:tcPr>
            <w:tcW w:w="80" w:type="dxa"/>
            <w:vAlign w:val="bottom"/>
            <w:tcBorders>
              <w:bottom w:val="single" w:sz="8" w:color="CCEEFF"/>
            </w:tcBorders>
            <w:gridSpan w:val="2"/>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720" w:type="dxa"/>
            <w:vAlign w:val="bottom"/>
            <w:tcBorders>
              <w:bottom w:val="single" w:sz="8" w:color="auto"/>
            </w:tcBorders>
            <w:gridSpan w:val="4"/>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68"/>
              <w:spacing w:after="0"/>
              <w:rPr>
                <w:sz w:val="20"/>
                <w:szCs w:val="20"/>
                <w:color w:val="auto"/>
              </w:rPr>
            </w:pPr>
            <w:r>
              <w:rPr>
                <w:rFonts w:ascii="Arial" w:cs="Arial" w:eastAsia="Arial" w:hAnsi="Arial"/>
                <w:sz w:val="13"/>
                <w:szCs w:val="13"/>
                <w:color w:val="auto"/>
              </w:rPr>
              <w:t>Reported Claims</w:t>
            </w:r>
          </w:p>
        </w:tc>
        <w:tc>
          <w:tcPr>
            <w:tcW w:w="100" w:type="dxa"/>
            <w:vAlign w:val="bottom"/>
            <w:tcBorders>
              <w:bottom w:val="single" w:sz="8" w:color="CCEEFF"/>
            </w:tcBorders>
            <w:gridSpan w:val="2"/>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Claims (a)</w:t>
            </w:r>
          </w:p>
        </w:tc>
        <w:tc>
          <w:tcPr>
            <w:tcW w:w="0" w:type="dxa"/>
            <w:vAlign w:val="bottom"/>
          </w:tcPr>
          <w:p>
            <w:pPr>
              <w:spacing w:after="0"/>
              <w:rPr>
                <w:sz w:val="1"/>
                <w:szCs w:val="1"/>
                <w:color w:val="auto"/>
              </w:rPr>
            </w:pPr>
          </w:p>
        </w:tc>
      </w:tr>
      <w:tr>
        <w:trPr>
          <w:trHeight w:val="196"/>
        </w:trPr>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60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3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920" w:type="dxa"/>
            <w:vAlign w:val="bottom"/>
          </w:tcPr>
          <w:p>
            <w:pPr>
              <w:jc w:val="center"/>
              <w:spacing w:after="0"/>
              <w:rPr>
                <w:sz w:val="20"/>
                <w:szCs w:val="20"/>
                <w:color w:val="auto"/>
              </w:rPr>
            </w:pPr>
            <w:r>
              <w:rPr>
                <w:rFonts w:ascii="Arial" w:cs="Arial" w:eastAsia="Arial" w:hAnsi="Arial"/>
                <w:sz w:val="14"/>
                <w:szCs w:val="14"/>
                <w:color w:val="auto"/>
              </w:rPr>
              <w:t>2015</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59</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63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ind w:left="340"/>
              <w:spacing w:after="0"/>
              <w:rPr>
                <w:sz w:val="20"/>
                <w:szCs w:val="20"/>
                <w:color w:val="auto"/>
              </w:rPr>
            </w:pPr>
            <w:r>
              <w:rPr>
                <w:rFonts w:ascii="Arial" w:cs="Arial" w:eastAsia="Arial" w:hAnsi="Arial"/>
                <w:sz w:val="14"/>
                <w:szCs w:val="14"/>
                <w:color w:val="auto"/>
              </w:rPr>
              <w:t>66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2"/>
          </w:tcPr>
          <w:p>
            <w:pPr>
              <w:jc w:val="right"/>
              <w:ind w:right="8"/>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82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gridSpan w:val="3"/>
          </w:tcPr>
          <w:p>
            <w:pPr>
              <w:jc w:val="right"/>
              <w:spacing w:after="0"/>
              <w:rPr>
                <w:sz w:val="20"/>
                <w:szCs w:val="20"/>
                <w:color w:val="auto"/>
              </w:rPr>
            </w:pPr>
            <w:r>
              <w:rPr>
                <w:rFonts w:ascii="Arial" w:cs="Arial" w:eastAsia="Arial" w:hAnsi="Arial"/>
                <w:sz w:val="14"/>
                <w:szCs w:val="14"/>
                <w:color w:val="auto"/>
              </w:rPr>
              <w:t>84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gridSpan w:val="3"/>
          </w:tcPr>
          <w:p>
            <w:pPr>
              <w:jc w:val="right"/>
              <w:spacing w:after="0"/>
              <w:rPr>
                <w:sz w:val="20"/>
                <w:szCs w:val="20"/>
                <w:color w:val="auto"/>
              </w:rPr>
            </w:pPr>
            <w:r>
              <w:rPr>
                <w:rFonts w:ascii="Arial" w:cs="Arial" w:eastAsia="Arial" w:hAnsi="Arial"/>
                <w:sz w:val="14"/>
                <w:szCs w:val="14"/>
                <w:color w:val="auto"/>
              </w:rPr>
              <w:t>87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ind w:left="7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2016</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65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920" w:type="dxa"/>
            <w:vAlign w:val="bottom"/>
          </w:tcPr>
          <w:p>
            <w:pPr>
              <w:jc w:val="center"/>
              <w:spacing w:after="0"/>
              <w:rPr>
                <w:sz w:val="20"/>
                <w:szCs w:val="20"/>
                <w:color w:val="auto"/>
              </w:rPr>
            </w:pPr>
            <w:r>
              <w:rPr>
                <w:rFonts w:ascii="Arial" w:cs="Arial" w:eastAsia="Arial" w:hAnsi="Arial"/>
                <w:sz w:val="14"/>
                <w:szCs w:val="14"/>
                <w:color w:val="auto"/>
              </w:rPr>
              <w:t>2017</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63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ind w:left="340"/>
              <w:spacing w:after="0"/>
              <w:rPr>
                <w:sz w:val="20"/>
                <w:szCs w:val="20"/>
                <w:color w:val="auto"/>
              </w:rPr>
            </w:pPr>
            <w:r>
              <w:rPr>
                <w:rFonts w:ascii="Arial" w:cs="Arial" w:eastAsia="Arial" w:hAnsi="Arial"/>
                <w:sz w:val="14"/>
                <w:szCs w:val="14"/>
                <w:color w:val="auto"/>
              </w:rPr>
              <w:t>65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2"/>
          </w:tcPr>
          <w:p>
            <w:pPr>
              <w:jc w:val="right"/>
              <w:ind w:right="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81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gridSpan w:val="3"/>
          </w:tcPr>
          <w:p>
            <w:pPr>
              <w:jc w:val="right"/>
              <w:spacing w:after="0"/>
              <w:rPr>
                <w:sz w:val="20"/>
                <w:szCs w:val="20"/>
                <w:color w:val="auto"/>
              </w:rPr>
            </w:pPr>
            <w:r>
              <w:rPr>
                <w:rFonts w:ascii="Arial" w:cs="Arial" w:eastAsia="Arial" w:hAnsi="Arial"/>
                <w:sz w:val="14"/>
                <w:szCs w:val="14"/>
                <w:color w:val="auto"/>
              </w:rPr>
              <w:t>88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gridSpan w:val="3"/>
          </w:tcPr>
          <w:p>
            <w:pPr>
              <w:jc w:val="right"/>
              <w:spacing w:after="0"/>
              <w:rPr>
                <w:sz w:val="20"/>
                <w:szCs w:val="20"/>
                <w:color w:val="auto"/>
              </w:rPr>
            </w:pPr>
            <w:r>
              <w:rPr>
                <w:rFonts w:ascii="Arial" w:cs="Arial" w:eastAsia="Arial" w:hAnsi="Arial"/>
                <w:sz w:val="14"/>
                <w:szCs w:val="14"/>
                <w:color w:val="auto"/>
              </w:rPr>
              <w:t>97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ind w:left="7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2018</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86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920" w:type="dxa"/>
            <w:vAlign w:val="bottom"/>
          </w:tcPr>
          <w:p>
            <w:pPr>
              <w:jc w:val="center"/>
              <w:spacing w:after="0"/>
              <w:rPr>
                <w:sz w:val="20"/>
                <w:szCs w:val="20"/>
                <w:color w:val="auto"/>
              </w:rPr>
            </w:pPr>
            <w:r>
              <w:rPr>
                <w:rFonts w:ascii="Arial" w:cs="Arial" w:eastAsia="Arial" w:hAnsi="Arial"/>
                <w:sz w:val="14"/>
                <w:szCs w:val="14"/>
                <w:color w:val="auto"/>
              </w:rPr>
              <w:t>2019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2"/>
          </w:tcPr>
          <w:p>
            <w:pPr>
              <w:jc w:val="right"/>
              <w:ind w:right="8"/>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107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gridSpan w:val="3"/>
          </w:tcPr>
          <w:p>
            <w:pPr>
              <w:jc w:val="right"/>
              <w:spacing w:after="0"/>
              <w:rPr>
                <w:sz w:val="20"/>
                <w:szCs w:val="20"/>
                <w:color w:val="auto"/>
              </w:rPr>
            </w:pPr>
            <w:r>
              <w:rPr>
                <w:rFonts w:ascii="Arial" w:cs="Arial" w:eastAsia="Arial" w:hAnsi="Arial"/>
                <w:sz w:val="14"/>
                <w:szCs w:val="14"/>
                <w:color w:val="auto"/>
              </w:rPr>
              <w:t>108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gridSpan w:val="3"/>
          </w:tcPr>
          <w:p>
            <w:pPr>
              <w:jc w:val="right"/>
              <w:spacing w:after="0"/>
              <w:rPr>
                <w:sz w:val="20"/>
                <w:szCs w:val="20"/>
                <w:color w:val="auto"/>
              </w:rPr>
            </w:pPr>
            <w:r>
              <w:rPr>
                <w:rFonts w:ascii="Arial" w:cs="Arial" w:eastAsia="Arial" w:hAnsi="Arial"/>
                <w:sz w:val="14"/>
                <w:szCs w:val="14"/>
                <w:color w:val="auto"/>
              </w:rPr>
              <w:t>119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ind w:left="7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2020</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920" w:type="dxa"/>
            <w:vAlign w:val="bottom"/>
          </w:tcPr>
          <w:p>
            <w:pPr>
              <w:jc w:val="center"/>
              <w:spacing w:after="0"/>
              <w:rPr>
                <w:sz w:val="20"/>
                <w:szCs w:val="20"/>
                <w:color w:val="auto"/>
              </w:rPr>
            </w:pPr>
            <w:r>
              <w:rPr>
                <w:rFonts w:ascii="Arial" w:cs="Arial" w:eastAsia="Arial" w:hAnsi="Arial"/>
                <w:sz w:val="14"/>
                <w:szCs w:val="14"/>
                <w:color w:val="auto"/>
              </w:rPr>
              <w:t>2021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gridSpan w:val="3"/>
          </w:tcPr>
          <w:p>
            <w:pPr>
              <w:jc w:val="right"/>
              <w:spacing w:after="0"/>
              <w:rPr>
                <w:sz w:val="20"/>
                <w:szCs w:val="20"/>
                <w:color w:val="auto"/>
              </w:rPr>
            </w:pPr>
            <w:r>
              <w:rPr>
                <w:rFonts w:ascii="Arial" w:cs="Arial" w:eastAsia="Arial" w:hAnsi="Arial"/>
                <w:sz w:val="14"/>
                <w:szCs w:val="14"/>
                <w:color w:val="auto"/>
              </w:rPr>
              <w:t>135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gridSpan w:val="3"/>
          </w:tcPr>
          <w:p>
            <w:pPr>
              <w:jc w:val="right"/>
              <w:spacing w:after="0"/>
              <w:rPr>
                <w:sz w:val="20"/>
                <w:szCs w:val="20"/>
                <w:color w:val="auto"/>
              </w:rPr>
            </w:pPr>
            <w:r>
              <w:rPr>
                <w:rFonts w:ascii="Arial" w:cs="Arial" w:eastAsia="Arial" w:hAnsi="Arial"/>
                <w:sz w:val="14"/>
                <w:szCs w:val="14"/>
                <w:color w:val="auto"/>
              </w:rPr>
              <w:t>138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69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ind w:left="7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2022</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9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2023</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201</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137</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ind w:left="7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Total</w:t>
            </w:r>
          </w:p>
        </w:tc>
        <w:tc>
          <w:tcPr>
            <w:tcW w:w="3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1,180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6"/>
        </w:trPr>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80" w:type="dxa"/>
            <w:vAlign w:val="bottom"/>
            <w:gridSpan w:val="24"/>
          </w:tcPr>
          <w:p>
            <w:pPr>
              <w:jc w:val="center"/>
              <w:spacing w:after="0"/>
              <w:rPr>
                <w:sz w:val="20"/>
                <w:szCs w:val="20"/>
                <w:color w:val="auto"/>
              </w:rPr>
            </w:pPr>
            <w:r>
              <w:rPr>
                <w:rFonts w:ascii="Arial" w:cs="Arial" w:eastAsia="Arial" w:hAnsi="Arial"/>
                <w:sz w:val="14"/>
                <w:szCs w:val="14"/>
                <w:color w:val="auto"/>
              </w:rPr>
              <w:t>Cumulative Paid Claims and Allocated LAE, Net of Reinsurance</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00" w:type="dxa"/>
            <w:vAlign w:val="bottom"/>
            <w:gridSpan w:val="3"/>
          </w:tcPr>
          <w:p>
            <w:pPr>
              <w:jc w:val="center"/>
              <w:ind w:right="80"/>
              <w:spacing w:after="0"/>
              <w:rPr>
                <w:sz w:val="20"/>
                <w:szCs w:val="20"/>
                <w:color w:val="auto"/>
              </w:rPr>
            </w:pPr>
            <w:r>
              <w:rPr>
                <w:rFonts w:ascii="Arial" w:cs="Arial" w:eastAsia="Arial" w:hAnsi="Arial"/>
                <w:sz w:val="14"/>
                <w:szCs w:val="14"/>
                <w:color w:val="auto"/>
              </w:rPr>
              <w:t>Accident</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80" w:type="dxa"/>
            <w:vAlign w:val="bottom"/>
            <w:tcBorders>
              <w:bottom w:val="single" w:sz="8" w:color="auto"/>
            </w:tcBorders>
            <w:gridSpan w:val="32"/>
          </w:tcPr>
          <w:p>
            <w:pPr>
              <w:jc w:val="center"/>
              <w:ind w:left="328"/>
              <w:spacing w:after="0"/>
              <w:rPr>
                <w:sz w:val="20"/>
                <w:szCs w:val="20"/>
                <w:color w:val="auto"/>
              </w:rPr>
            </w:pPr>
            <w:r>
              <w:rPr>
                <w:rFonts w:ascii="Arial" w:cs="Arial" w:eastAsia="Arial" w:hAnsi="Arial"/>
                <w:sz w:val="14"/>
                <w:szCs w:val="14"/>
                <w:color w:val="auto"/>
              </w:rPr>
              <w:t>For the Years Ended (2014–2022 is Supplementary Information and Unaudited)</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Year</w:t>
            </w:r>
          </w:p>
        </w:tc>
        <w:tc>
          <w:tcPr>
            <w:tcW w:w="80" w:type="dxa"/>
            <w:vAlign w:val="bottom"/>
            <w:tcBorders>
              <w:bottom w:val="single" w:sz="8" w:color="CCEEFF"/>
            </w:tcBorders>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2014</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2015</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2017</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color w:val="auto"/>
              </w:rPr>
              <w:t>2018</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color w:val="auto"/>
              </w:rPr>
              <w:t>2020</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color w:val="auto"/>
              </w:rPr>
              <w:t>2021</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color w:val="auto"/>
                <w:w w:val="96"/>
              </w:rPr>
              <w:t>2022</w:t>
            </w: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gridSpan w:val="4"/>
          </w:tcPr>
          <w:p>
            <w:pPr>
              <w:jc w:val="right"/>
              <w:ind w:right="128"/>
              <w:spacing w:after="0"/>
              <w:rPr>
                <w:sz w:val="20"/>
                <w:szCs w:val="20"/>
                <w:color w:val="auto"/>
              </w:rPr>
            </w:pPr>
            <w:r>
              <w:rPr>
                <w:rFonts w:ascii="Arial" w:cs="Arial" w:eastAsia="Arial" w:hAnsi="Arial"/>
                <w:sz w:val="14"/>
                <w:szCs w:val="14"/>
                <w:color w:val="auto"/>
              </w:rPr>
              <w:t>2023</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4"/>
                <w:szCs w:val="14"/>
                <w:color w:val="auto"/>
              </w:rPr>
              <w:t>% (b)</w:t>
            </w:r>
          </w:p>
        </w:tc>
        <w:tc>
          <w:tcPr>
            <w:tcW w:w="2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43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3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6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60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83.3 %</w:t>
            </w: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20" w:type="dxa"/>
            <w:vAlign w:val="bottom"/>
          </w:tcPr>
          <w:p>
            <w:pPr>
              <w:jc w:val="center"/>
              <w:spacing w:after="0"/>
              <w:rPr>
                <w:sz w:val="20"/>
                <w:szCs w:val="20"/>
                <w:color w:val="auto"/>
              </w:rPr>
            </w:pPr>
            <w:r>
              <w:rPr>
                <w:rFonts w:ascii="Arial" w:cs="Arial" w:eastAsia="Arial" w:hAnsi="Arial"/>
                <w:sz w:val="14"/>
                <w:szCs w:val="14"/>
                <w:color w:val="auto"/>
              </w:rPr>
              <w:t>2015</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ind w:left="340"/>
              <w:spacing w:after="0"/>
              <w:rPr>
                <w:sz w:val="20"/>
                <w:szCs w:val="20"/>
                <w:color w:val="auto"/>
              </w:rPr>
            </w:pPr>
            <w:r>
              <w:rPr>
                <w:rFonts w:ascii="Arial" w:cs="Arial" w:eastAsia="Arial" w:hAnsi="Arial"/>
                <w:sz w:val="14"/>
                <w:szCs w:val="14"/>
                <w:color w:val="auto"/>
              </w:rPr>
              <w:t>50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2"/>
          </w:tcPr>
          <w:p>
            <w:pPr>
              <w:jc w:val="right"/>
              <w:ind w:right="8"/>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69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gridSpan w:val="3"/>
          </w:tcPr>
          <w:p>
            <w:pPr>
              <w:jc w:val="right"/>
              <w:spacing w:after="0"/>
              <w:rPr>
                <w:sz w:val="20"/>
                <w:szCs w:val="20"/>
                <w:color w:val="auto"/>
              </w:rPr>
            </w:pPr>
            <w:r>
              <w:rPr>
                <w:rFonts w:ascii="Arial" w:cs="Arial" w:eastAsia="Arial" w:hAnsi="Arial"/>
                <w:sz w:val="14"/>
                <w:szCs w:val="14"/>
                <w:color w:val="auto"/>
              </w:rPr>
              <w:t>75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gridSpan w:val="3"/>
          </w:tcPr>
          <w:p>
            <w:pPr>
              <w:jc w:val="right"/>
              <w:ind w:right="8"/>
              <w:spacing w:after="0"/>
              <w:rPr>
                <w:sz w:val="20"/>
                <w:szCs w:val="20"/>
                <w:color w:val="auto"/>
              </w:rPr>
            </w:pPr>
            <w:r>
              <w:rPr>
                <w:rFonts w:ascii="Arial" w:cs="Arial" w:eastAsia="Arial" w:hAnsi="Arial"/>
                <w:sz w:val="14"/>
                <w:szCs w:val="14"/>
                <w:color w:val="auto"/>
              </w:rPr>
              <w:t>81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4"/>
                <w:szCs w:val="14"/>
                <w:color w:val="auto"/>
              </w:rPr>
              <w:t>93.1 %</w:t>
            </w: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2016</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31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66</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85.7 %</w:t>
            </w: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20" w:type="dxa"/>
            <w:vAlign w:val="bottom"/>
          </w:tcPr>
          <w:p>
            <w:pPr>
              <w:jc w:val="center"/>
              <w:spacing w:after="0"/>
              <w:rPr>
                <w:sz w:val="20"/>
                <w:szCs w:val="20"/>
                <w:color w:val="auto"/>
              </w:rPr>
            </w:pPr>
            <w:r>
              <w:rPr>
                <w:rFonts w:ascii="Arial" w:cs="Arial" w:eastAsia="Arial" w:hAnsi="Arial"/>
                <w:sz w:val="14"/>
                <w:szCs w:val="14"/>
                <w:color w:val="auto"/>
              </w:rPr>
              <w:t>2017</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ind w:left="340"/>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2"/>
          </w:tcPr>
          <w:p>
            <w:pPr>
              <w:jc w:val="right"/>
              <w:ind w:right="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52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gridSpan w:val="3"/>
          </w:tcPr>
          <w:p>
            <w:pPr>
              <w:jc w:val="right"/>
              <w:spacing w:after="0"/>
              <w:rPr>
                <w:sz w:val="20"/>
                <w:szCs w:val="20"/>
                <w:color w:val="auto"/>
              </w:rPr>
            </w:pPr>
            <w:r>
              <w:rPr>
                <w:rFonts w:ascii="Arial" w:cs="Arial" w:eastAsia="Arial" w:hAnsi="Arial"/>
                <w:sz w:val="14"/>
                <w:szCs w:val="14"/>
                <w:color w:val="auto"/>
              </w:rPr>
              <w:t>63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gridSpan w:val="3"/>
          </w:tcPr>
          <w:p>
            <w:pPr>
              <w:jc w:val="right"/>
              <w:ind w:right="8"/>
              <w:spacing w:after="0"/>
              <w:rPr>
                <w:sz w:val="20"/>
                <w:szCs w:val="20"/>
                <w:color w:val="auto"/>
              </w:rPr>
            </w:pPr>
            <w:r>
              <w:rPr>
                <w:rFonts w:ascii="Arial" w:cs="Arial" w:eastAsia="Arial" w:hAnsi="Arial"/>
                <w:sz w:val="14"/>
                <w:szCs w:val="14"/>
                <w:color w:val="auto"/>
              </w:rPr>
              <w:t>83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4"/>
                <w:szCs w:val="14"/>
                <w:color w:val="auto"/>
              </w:rPr>
              <w:t>85.6 %</w:t>
            </w: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2018</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77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69.4 %</w:t>
            </w: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20" w:type="dxa"/>
            <w:vAlign w:val="bottom"/>
          </w:tcPr>
          <w:p>
            <w:pPr>
              <w:jc w:val="center"/>
              <w:spacing w:after="0"/>
              <w:rPr>
                <w:sz w:val="20"/>
                <w:szCs w:val="20"/>
                <w:color w:val="auto"/>
              </w:rPr>
            </w:pPr>
            <w:r>
              <w:rPr>
                <w:rFonts w:ascii="Arial" w:cs="Arial" w:eastAsia="Arial" w:hAnsi="Arial"/>
                <w:sz w:val="14"/>
                <w:szCs w:val="14"/>
                <w:color w:val="auto"/>
              </w:rPr>
              <w:t>2019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2"/>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24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gridSpan w:val="3"/>
          </w:tcPr>
          <w:p>
            <w:pPr>
              <w:jc w:val="right"/>
              <w:spacing w:after="0"/>
              <w:rPr>
                <w:sz w:val="20"/>
                <w:szCs w:val="20"/>
                <w:color w:val="auto"/>
              </w:rPr>
            </w:pPr>
            <w:r>
              <w:rPr>
                <w:rFonts w:ascii="Arial" w:cs="Arial" w:eastAsia="Arial" w:hAnsi="Arial"/>
                <w:sz w:val="14"/>
                <w:szCs w:val="14"/>
                <w:color w:val="auto"/>
              </w:rPr>
              <w:t>49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gridSpan w:val="3"/>
          </w:tcPr>
          <w:p>
            <w:pPr>
              <w:jc w:val="right"/>
              <w:ind w:right="8"/>
              <w:spacing w:after="0"/>
              <w:rPr>
                <w:sz w:val="20"/>
                <w:szCs w:val="20"/>
                <w:color w:val="auto"/>
              </w:rPr>
            </w:pPr>
            <w:r>
              <w:rPr>
                <w:rFonts w:ascii="Arial" w:cs="Arial" w:eastAsia="Arial" w:hAnsi="Arial"/>
                <w:sz w:val="14"/>
                <w:szCs w:val="14"/>
                <w:color w:val="auto"/>
              </w:rPr>
              <w:t>79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4"/>
                <w:szCs w:val="14"/>
                <w:color w:val="auto"/>
              </w:rPr>
              <w:t>66.4 %</w:t>
            </w: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2020</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66</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52.4 %</w:t>
            </w: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20" w:type="dxa"/>
            <w:vAlign w:val="bottom"/>
          </w:tcPr>
          <w:p>
            <w:pPr>
              <w:jc w:val="center"/>
              <w:spacing w:after="0"/>
              <w:rPr>
                <w:sz w:val="20"/>
                <w:szCs w:val="20"/>
                <w:color w:val="auto"/>
              </w:rPr>
            </w:pPr>
            <w:r>
              <w:rPr>
                <w:rFonts w:ascii="Arial" w:cs="Arial" w:eastAsia="Arial" w:hAnsi="Arial"/>
                <w:sz w:val="14"/>
                <w:szCs w:val="14"/>
                <w:color w:val="auto"/>
              </w:rPr>
              <w:t>2021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gridSpan w:val="3"/>
          </w:tcPr>
          <w:p>
            <w:pPr>
              <w:jc w:val="right"/>
              <w:spacing w:after="0"/>
              <w:rPr>
                <w:sz w:val="20"/>
                <w:szCs w:val="20"/>
                <w:color w:val="auto"/>
              </w:rPr>
            </w:pPr>
            <w:r>
              <w:rPr>
                <w:rFonts w:ascii="Arial" w:cs="Arial" w:eastAsia="Arial" w:hAnsi="Arial"/>
                <w:sz w:val="14"/>
                <w:szCs w:val="14"/>
                <w:color w:val="auto"/>
              </w:rPr>
              <w:t>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gridSpan w:val="3"/>
          </w:tcPr>
          <w:p>
            <w:pPr>
              <w:jc w:val="right"/>
              <w:ind w:right="8"/>
              <w:spacing w:after="0"/>
              <w:rPr>
                <w:sz w:val="20"/>
                <w:szCs w:val="20"/>
                <w:color w:val="auto"/>
              </w:rPr>
            </w:pPr>
            <w:r>
              <w:rPr>
                <w:rFonts w:ascii="Arial" w:cs="Arial" w:eastAsia="Arial" w:hAnsi="Arial"/>
                <w:sz w:val="14"/>
                <w:szCs w:val="14"/>
                <w:color w:val="auto"/>
              </w:rPr>
              <w:t>49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4"/>
                <w:szCs w:val="14"/>
                <w:color w:val="auto"/>
              </w:rPr>
              <w:t>35.5 %</w:t>
            </w: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2022</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23.0 %</w:t>
            </w: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2023</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29</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300" w:type="dxa"/>
            <w:vAlign w:val="bottom"/>
            <w:tcBorders>
              <w:bottom w:val="single" w:sz="8" w:color="CCEEFF"/>
            </w:tcBorders>
            <w:gridSpan w:val="3"/>
          </w:tcPr>
          <w:p>
            <w:pPr>
              <w:jc w:val="right"/>
              <w:ind w:right="20"/>
              <w:spacing w:after="0"/>
              <w:rPr>
                <w:sz w:val="20"/>
                <w:szCs w:val="20"/>
                <w:color w:val="auto"/>
              </w:rPr>
            </w:pPr>
            <w:r>
              <w:rPr>
                <w:rFonts w:ascii="Arial" w:cs="Arial" w:eastAsia="Arial" w:hAnsi="Arial"/>
                <w:sz w:val="14"/>
                <w:szCs w:val="14"/>
                <w:color w:val="auto"/>
              </w:rPr>
              <w:t>14.4 %</w:t>
            </w:r>
          </w:p>
        </w:tc>
        <w:tc>
          <w:tcPr>
            <w:tcW w:w="2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Total</w:t>
            </w:r>
          </w:p>
        </w:tc>
        <w:tc>
          <w:tcPr>
            <w:tcW w:w="3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6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625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20" w:type="dxa"/>
            <w:vAlign w:val="bottom"/>
            <w:gridSpan w:val="21"/>
          </w:tcPr>
          <w:p>
            <w:pPr>
              <w:jc w:val="right"/>
              <w:spacing w:after="0"/>
              <w:rPr>
                <w:sz w:val="20"/>
                <w:szCs w:val="20"/>
                <w:color w:val="auto"/>
              </w:rPr>
            </w:pPr>
            <w:r>
              <w:rPr>
                <w:rFonts w:ascii="Arial" w:cs="Arial" w:eastAsia="Arial" w:hAnsi="Arial"/>
                <w:sz w:val="14"/>
                <w:szCs w:val="14"/>
                <w:color w:val="auto"/>
              </w:rPr>
              <w:t>Unpaid losses and LAE — years 2014 through 2023</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gridSpan w:val="3"/>
          </w:tcPr>
          <w:p>
            <w:pPr>
              <w:jc w:val="right"/>
              <w:ind w:right="8"/>
              <w:spacing w:after="0"/>
              <w:rPr>
                <w:sz w:val="20"/>
                <w:szCs w:val="20"/>
                <w:color w:val="auto"/>
              </w:rPr>
            </w:pPr>
            <w:r>
              <w:rPr>
                <w:rFonts w:ascii="Arial" w:cs="Arial" w:eastAsia="Arial" w:hAnsi="Arial"/>
                <w:sz w:val="14"/>
                <w:szCs w:val="14"/>
                <w:color w:val="auto"/>
              </w:rPr>
              <w:t>555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20" w:type="dxa"/>
            <w:vAlign w:val="bottom"/>
            <w:gridSpan w:val="30"/>
            <w:shd w:val="clear" w:color="auto" w:fill="CCEEFF"/>
          </w:tcPr>
          <w:p>
            <w:pPr>
              <w:jc w:val="right"/>
              <w:spacing w:after="0"/>
              <w:rPr>
                <w:sz w:val="20"/>
                <w:szCs w:val="20"/>
                <w:color w:val="auto"/>
              </w:rPr>
            </w:pPr>
            <w:r>
              <w:rPr>
                <w:rFonts w:ascii="Arial" w:cs="Arial" w:eastAsia="Arial" w:hAnsi="Arial"/>
                <w:sz w:val="14"/>
                <w:szCs w:val="14"/>
                <w:color w:val="auto"/>
              </w:rPr>
              <w:t>Unpaid losses and LAE — 11th year and prior (excluding unallocated LAE)</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gridSpan w:val="3"/>
            <w:shd w:val="clear" w:color="auto" w:fill="CCEEFF"/>
          </w:tcPr>
          <w:p>
            <w:pPr>
              <w:jc w:val="right"/>
              <w:ind w:right="8"/>
              <w:spacing w:after="0"/>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80" w:type="dxa"/>
            <w:vAlign w:val="bottom"/>
            <w:gridSpan w:val="28"/>
          </w:tcPr>
          <w:p>
            <w:pPr>
              <w:jc w:val="right"/>
              <w:spacing w:after="0"/>
              <w:rPr>
                <w:sz w:val="20"/>
                <w:szCs w:val="20"/>
                <w:color w:val="auto"/>
              </w:rPr>
            </w:pPr>
            <w:r>
              <w:rPr>
                <w:rFonts w:ascii="Arial" w:cs="Arial" w:eastAsia="Arial" w:hAnsi="Arial"/>
                <w:sz w:val="14"/>
                <w:szCs w:val="14"/>
                <w:color w:val="auto"/>
              </w:rPr>
              <w:t>Unpaid losses and LAE, net of reinsurance (excluding unallocated LAE)</w:t>
            </w:r>
          </w:p>
        </w:tc>
        <w:tc>
          <w:tcPr>
            <w:tcW w:w="3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460" w:type="dxa"/>
            <w:vAlign w:val="bottom"/>
            <w:gridSpan w:val="3"/>
          </w:tcPr>
          <w:p>
            <w:pPr>
              <w:jc w:val="right"/>
              <w:ind w:right="8"/>
              <w:spacing w:after="0"/>
              <w:rPr>
                <w:sz w:val="20"/>
                <w:szCs w:val="20"/>
                <w:color w:val="auto"/>
              </w:rPr>
            </w:pPr>
            <w:r>
              <w:rPr>
                <w:rFonts w:ascii="Arial" w:cs="Arial" w:eastAsia="Arial" w:hAnsi="Arial"/>
                <w:sz w:val="14"/>
                <w:szCs w:val="14"/>
                <w:color w:val="auto"/>
              </w:rPr>
              <w:t>580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40" w:type="dxa"/>
            <w:vAlign w:val="bottom"/>
            <w:gridSpan w:val="34"/>
            <w:vMerge w:val="restart"/>
          </w:tcPr>
          <w:p>
            <w:pPr>
              <w:jc w:val="right"/>
              <w:ind w:right="88"/>
              <w:spacing w:after="0"/>
              <w:rPr>
                <w:sz w:val="20"/>
                <w:szCs w:val="20"/>
                <w:color w:val="auto"/>
              </w:rPr>
            </w:pPr>
            <w:r>
              <w:rPr>
                <w:rFonts w:ascii="Arial" w:cs="Arial" w:eastAsia="Arial" w:hAnsi="Arial"/>
                <w:sz w:val="14"/>
                <w:szCs w:val="14"/>
                <w:color w:val="auto"/>
              </w:rPr>
              <w:t>Average Annual Percentage Payout of Incurred Claims by Age, Net of Reinsurance</w:t>
            </w: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4"/>
        </w:trPr>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40" w:type="dxa"/>
            <w:vAlign w:val="bottom"/>
            <w:gridSpan w:val="34"/>
            <w:vMerge w:val="continue"/>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16"/>
          </w:tcPr>
          <w:p>
            <w:pPr>
              <w:jc w:val="right"/>
              <w:ind w:right="80"/>
              <w:spacing w:after="0"/>
              <w:rPr>
                <w:sz w:val="20"/>
                <w:szCs w:val="20"/>
                <w:color w:val="auto"/>
              </w:rPr>
            </w:pPr>
            <w:r>
              <w:rPr>
                <w:rFonts w:ascii="Arial" w:cs="Arial" w:eastAsia="Arial" w:hAnsi="Arial"/>
                <w:sz w:val="14"/>
                <w:szCs w:val="14"/>
                <w:color w:val="auto"/>
              </w:rPr>
              <w:t>(Supplementary Information and Unaudited)</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Year 1</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Year 2</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color w:val="auto"/>
              </w:rPr>
              <w:t>Year 3</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Year 4</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w w:val="92"/>
              </w:rPr>
              <w:t>Year 5</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color w:val="auto"/>
              </w:rPr>
              <w:t>Year 6</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color w:val="auto"/>
              </w:rPr>
              <w:t>Year 7</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rPr>
              <w:t>Year 8</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Year 9</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gridSpan w:val="5"/>
          </w:tcPr>
          <w:p>
            <w:pPr>
              <w:jc w:val="right"/>
              <w:ind w:right="69"/>
              <w:spacing w:after="0"/>
              <w:rPr>
                <w:sz w:val="20"/>
                <w:szCs w:val="20"/>
                <w:color w:val="auto"/>
              </w:rPr>
            </w:pPr>
            <w:r>
              <w:rPr>
                <w:rFonts w:ascii="Arial" w:cs="Arial" w:eastAsia="Arial" w:hAnsi="Arial"/>
                <w:sz w:val="14"/>
                <w:szCs w:val="14"/>
                <w:color w:val="auto"/>
              </w:rPr>
              <w:t>Year 10</w:t>
            </w:r>
          </w:p>
        </w:tc>
        <w:tc>
          <w:tcPr>
            <w:tcW w:w="1040" w:type="dxa"/>
            <w:vAlign w:val="bottom"/>
            <w:tcBorders>
              <w:bottom w:val="single" w:sz="8" w:color="CCEEFF"/>
            </w:tcBorders>
            <w:gridSpan w:val="3"/>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0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Annual</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10.5 %</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12.6 %</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13.6 %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16.0 %</w:t>
            </w:r>
          </w:p>
        </w:tc>
        <w:tc>
          <w:tcPr>
            <w:tcW w:w="820" w:type="dxa"/>
            <w:vAlign w:val="bottom"/>
            <w:gridSpan w:val="4"/>
            <w:shd w:val="clear" w:color="auto" w:fill="CCEEFF"/>
          </w:tcPr>
          <w:p>
            <w:pPr>
              <w:ind w:left="360"/>
              <w:spacing w:after="0"/>
              <w:rPr>
                <w:sz w:val="20"/>
                <w:szCs w:val="20"/>
                <w:color w:val="auto"/>
              </w:rPr>
            </w:pPr>
            <w:r>
              <w:rPr>
                <w:rFonts w:ascii="Arial" w:cs="Arial" w:eastAsia="Arial" w:hAnsi="Arial"/>
                <w:sz w:val="14"/>
                <w:szCs w:val="14"/>
                <w:color w:val="auto"/>
              </w:rPr>
              <w:t>12.0 %</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11.1 %</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5.9 %</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4.3 %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5.6 %</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000" w:type="dxa"/>
            <w:vAlign w:val="bottom"/>
            <w:gridSpan w:val="3"/>
          </w:tcPr>
          <w:p>
            <w:pPr>
              <w:ind w:left="20"/>
              <w:spacing w:after="0"/>
              <w:rPr>
                <w:sz w:val="20"/>
                <w:szCs w:val="20"/>
                <w:color w:val="auto"/>
              </w:rPr>
            </w:pPr>
            <w:r>
              <w:rPr>
                <w:rFonts w:ascii="Arial" w:cs="Arial" w:eastAsia="Arial" w:hAnsi="Arial"/>
                <w:sz w:val="13"/>
                <w:szCs w:val="13"/>
                <w:color w:val="auto"/>
              </w:rPr>
              <w:t>Cumulative</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10.5 %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23.1 %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36.7 %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52.7 %</w:t>
            </w:r>
          </w:p>
        </w:tc>
        <w:tc>
          <w:tcPr>
            <w:tcW w:w="820" w:type="dxa"/>
            <w:vAlign w:val="bottom"/>
            <w:gridSpan w:val="4"/>
          </w:tcPr>
          <w:p>
            <w:pPr>
              <w:ind w:left="360"/>
              <w:spacing w:after="0"/>
              <w:rPr>
                <w:sz w:val="20"/>
                <w:szCs w:val="20"/>
                <w:color w:val="auto"/>
              </w:rPr>
            </w:pPr>
            <w:r>
              <w:rPr>
                <w:rFonts w:ascii="Arial" w:cs="Arial" w:eastAsia="Arial" w:hAnsi="Arial"/>
                <w:sz w:val="14"/>
                <w:szCs w:val="14"/>
                <w:color w:val="auto"/>
              </w:rPr>
              <w:t>64.7 %</w:t>
            </w: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75.8 %</w:t>
            </w:r>
          </w:p>
        </w:tc>
        <w:tc>
          <w:tcPr>
            <w:tcW w:w="100" w:type="dxa"/>
            <w:vAlign w:val="bottom"/>
          </w:tcPr>
          <w:p>
            <w:pPr>
              <w:spacing w:after="0"/>
              <w:rPr>
                <w:sz w:val="16"/>
                <w:szCs w:val="16"/>
                <w:color w:val="auto"/>
              </w:rPr>
            </w:pPr>
          </w:p>
        </w:tc>
        <w:tc>
          <w:tcPr>
            <w:tcW w:w="740" w:type="dxa"/>
            <w:vAlign w:val="bottom"/>
            <w:gridSpan w:val="5"/>
          </w:tcPr>
          <w:p>
            <w:pPr>
              <w:jc w:val="right"/>
              <w:spacing w:after="0"/>
              <w:rPr>
                <w:sz w:val="20"/>
                <w:szCs w:val="20"/>
                <w:color w:val="auto"/>
              </w:rPr>
            </w:pPr>
            <w:r>
              <w:rPr>
                <w:rFonts w:ascii="Arial" w:cs="Arial" w:eastAsia="Arial" w:hAnsi="Arial"/>
                <w:sz w:val="14"/>
                <w:szCs w:val="14"/>
                <w:color w:val="auto"/>
              </w:rPr>
              <w:t>81.7 %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gridSpan w:val="4"/>
          </w:tcPr>
          <w:p>
            <w:pPr>
              <w:jc w:val="right"/>
              <w:spacing w:after="0"/>
              <w:rPr>
                <w:sz w:val="20"/>
                <w:szCs w:val="20"/>
                <w:color w:val="auto"/>
              </w:rPr>
            </w:pPr>
            <w:r>
              <w:rPr>
                <w:rFonts w:ascii="Arial" w:cs="Arial" w:eastAsia="Arial" w:hAnsi="Arial"/>
                <w:sz w:val="14"/>
                <w:szCs w:val="14"/>
                <w:color w:val="auto"/>
              </w:rPr>
              <w:t>83.4 %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gridSpan w:val="3"/>
          </w:tcPr>
          <w:p>
            <w:pPr>
              <w:jc w:val="right"/>
              <w:spacing w:after="0"/>
              <w:rPr>
                <w:sz w:val="20"/>
                <w:szCs w:val="20"/>
                <w:color w:val="auto"/>
              </w:rPr>
            </w:pPr>
            <w:r>
              <w:rPr>
                <w:rFonts w:ascii="Arial" w:cs="Arial" w:eastAsia="Arial" w:hAnsi="Arial"/>
                <w:sz w:val="14"/>
                <w:szCs w:val="14"/>
                <w:color w:val="auto"/>
              </w:rPr>
              <w:t>87.7 %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gridSpan w:val="4"/>
          </w:tcPr>
          <w:p>
            <w:pPr>
              <w:jc w:val="right"/>
              <w:spacing w:after="0"/>
              <w:rPr>
                <w:sz w:val="20"/>
                <w:szCs w:val="20"/>
                <w:color w:val="auto"/>
              </w:rPr>
            </w:pPr>
            <w:r>
              <w:rPr>
                <w:rFonts w:ascii="Arial" w:cs="Arial" w:eastAsia="Arial" w:hAnsi="Arial"/>
                <w:sz w:val="14"/>
                <w:szCs w:val="14"/>
                <w:color w:val="auto"/>
              </w:rPr>
              <w:t>93.3 %</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20" w:right="160" w:hanging="412"/>
        <w:spacing w:after="0" w:line="260" w:lineRule="auto"/>
        <w:tabs>
          <w:tab w:leader="none" w:pos="413"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amounts shown in Other specialty represent business assumed by AFG’s internal reinsurance program from the operations that make up AFG’s other Specialty property and casualty insurance sub-segments. Accordingly, the liability for incurred claims and allocated LAE represents additional reserves held on claims counted in the tables provided for the other sub-segments (above).</w:t>
      </w:r>
    </w:p>
    <w:p>
      <w:pPr>
        <w:spacing w:after="0" w:line="1" w:lineRule="exact"/>
        <w:rPr>
          <w:rFonts w:ascii="Arial" w:cs="Arial" w:eastAsia="Arial" w:hAnsi="Arial"/>
          <w:sz w:val="17"/>
          <w:szCs w:val="17"/>
          <w:color w:val="auto"/>
        </w:rPr>
      </w:pPr>
    </w:p>
    <w:p>
      <w:pPr>
        <w:ind w:left="400" w:hanging="392"/>
        <w:spacing w:after="0"/>
        <w:tabs>
          <w:tab w:leader="none" w:pos="4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Represents the cumulative percentage paid of incurred claims and allocated LAE (net of reinsurance, as estimated at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0" w:name="page131"/>
    <w:bookmarkEnd w:id="13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AMERICAN FINANCIAL GROUP,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NOTES TO CONSOLIDATED FINANCIAL STATEMENTS — CONTINUED</w:t>
      </w: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00274E"/>
        </w:rPr>
        <w:t>Total Specialty Group</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(Dollars in Millions)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20" w:type="dxa"/>
            <w:vAlign w:val="bottom"/>
            <w:gridSpan w:val="29"/>
          </w:tcPr>
          <w:p>
            <w:pPr>
              <w:jc w:val="center"/>
              <w:ind w:left="328"/>
              <w:spacing w:after="0"/>
              <w:rPr>
                <w:sz w:val="20"/>
                <w:szCs w:val="20"/>
                <w:color w:val="auto"/>
              </w:rPr>
            </w:pPr>
            <w:r>
              <w:rPr>
                <w:rFonts w:ascii="Arial" w:cs="Arial" w:eastAsia="Arial" w:hAnsi="Arial"/>
                <w:sz w:val="14"/>
                <w:szCs w:val="14"/>
                <w:color w:val="auto"/>
              </w:rPr>
              <w:t>Incurred Claims and Allocated LAE, Net of Reinsurance</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4"/>
                <w:szCs w:val="14"/>
                <w:color w:val="auto"/>
              </w:rPr>
              <w:t>As of December 31, 2023</w:t>
            </w: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520" w:type="dxa"/>
            <w:vAlign w:val="bottom"/>
            <w:gridSpan w:val="40"/>
          </w:tcPr>
          <w:p>
            <w:pPr>
              <w:jc w:val="center"/>
              <w:ind w:left="388"/>
              <w:spacing w:after="0"/>
              <w:rPr>
                <w:sz w:val="20"/>
                <w:szCs w:val="20"/>
                <w:color w:val="auto"/>
              </w:rPr>
            </w:pPr>
            <w:r>
              <w:rPr>
                <w:rFonts w:ascii="Arial" w:cs="Arial" w:eastAsia="Arial" w:hAnsi="Arial"/>
                <w:sz w:val="14"/>
                <w:szCs w:val="14"/>
                <w:color w:val="auto"/>
              </w:rPr>
              <w:t>For the Years Ended (2014–2022 is Supplementary Information and Unaudited)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4"/>
          </w:tcPr>
          <w:p>
            <w:pPr>
              <w:jc w:val="center"/>
              <w:ind w:right="220"/>
              <w:spacing w:after="0"/>
              <w:rPr>
                <w:sz w:val="20"/>
                <w:szCs w:val="20"/>
                <w:color w:val="auto"/>
              </w:rPr>
            </w:pPr>
            <w:r>
              <w:rPr>
                <w:rFonts w:ascii="Arial" w:cs="Arial" w:eastAsia="Arial" w:hAnsi="Arial"/>
                <w:sz w:val="13"/>
                <w:szCs w:val="13"/>
                <w:color w:val="auto"/>
              </w:rPr>
              <w:t>Total IBNR Plus</w:t>
            </w:r>
          </w:p>
        </w:tc>
        <w:tc>
          <w:tcPr>
            <w:tcW w:w="940" w:type="dxa"/>
            <w:vAlign w:val="bottom"/>
          </w:tcPr>
          <w:p>
            <w:pPr>
              <w:jc w:val="center"/>
              <w:spacing w:after="0"/>
              <w:rPr>
                <w:sz w:val="20"/>
                <w:szCs w:val="20"/>
                <w:color w:val="auto"/>
              </w:rPr>
            </w:pPr>
            <w:r>
              <w:rPr>
                <w:rFonts w:ascii="Arial" w:cs="Arial" w:eastAsia="Arial" w:hAnsi="Arial"/>
                <w:sz w:val="13"/>
                <w:szCs w:val="13"/>
                <w:color w:val="auto"/>
              </w:rPr>
              <w:t>Cumulative</w:t>
            </w:r>
          </w:p>
        </w:tc>
        <w:tc>
          <w:tcPr>
            <w:tcW w:w="0" w:type="dxa"/>
            <w:vAlign w:val="bottom"/>
          </w:tcPr>
          <w:p>
            <w:pPr>
              <w:spacing w:after="0"/>
              <w:rPr>
                <w:sz w:val="1"/>
                <w:szCs w:val="1"/>
                <w:color w:val="auto"/>
              </w:rPr>
            </w:pPr>
          </w:p>
        </w:tc>
      </w:tr>
      <w:tr>
        <w:trPr>
          <w:trHeight w:val="54"/>
        </w:trPr>
        <w:tc>
          <w:tcPr>
            <w:tcW w:w="980" w:type="dxa"/>
            <w:vAlign w:val="bottom"/>
            <w:gridSpan w:val="4"/>
            <w:vMerge w:val="restart"/>
          </w:tcPr>
          <w:p>
            <w:pPr>
              <w:jc w:val="center"/>
              <w:ind w:right="80"/>
              <w:spacing w:after="0"/>
              <w:rPr>
                <w:sz w:val="20"/>
                <w:szCs w:val="20"/>
                <w:color w:val="auto"/>
              </w:rPr>
            </w:pPr>
            <w:r>
              <w:rPr>
                <w:rFonts w:ascii="Arial" w:cs="Arial" w:eastAsia="Arial" w:hAnsi="Arial"/>
                <w:sz w:val="14"/>
                <w:szCs w:val="14"/>
                <w:color w:val="auto"/>
              </w:rPr>
              <w:t>Accident</w:t>
            </w:r>
          </w:p>
        </w:tc>
        <w:tc>
          <w:tcPr>
            <w:tcW w:w="7800" w:type="dxa"/>
            <w:vAlign w:val="bottom"/>
            <w:tcBorders>
              <w:bottom w:val="single" w:sz="8" w:color="auto"/>
            </w:tcBorders>
            <w:gridSpan w:val="59"/>
          </w:tcPr>
          <w:p>
            <w:pPr>
              <w:spacing w:after="0"/>
              <w:rPr>
                <w:sz w:val="4"/>
                <w:szCs w:val="4"/>
                <w:color w:val="auto"/>
              </w:rPr>
            </w:pPr>
          </w:p>
        </w:tc>
        <w:tc>
          <w:tcPr>
            <w:tcW w:w="220" w:type="dxa"/>
            <w:vAlign w:val="bottom"/>
            <w:gridSpan w:val="4"/>
          </w:tcPr>
          <w:p>
            <w:pPr>
              <w:spacing w:after="0"/>
              <w:rPr>
                <w:sz w:val="4"/>
                <w:szCs w:val="4"/>
                <w:color w:val="auto"/>
              </w:rPr>
            </w:pPr>
          </w:p>
        </w:tc>
        <w:tc>
          <w:tcPr>
            <w:tcW w:w="260" w:type="dxa"/>
            <w:vAlign w:val="bottom"/>
            <w:vMerge w:val="restart"/>
          </w:tcPr>
          <w:p>
            <w:pPr>
              <w:spacing w:after="0"/>
              <w:rPr>
                <w:sz w:val="4"/>
                <w:szCs w:val="4"/>
                <w:color w:val="auto"/>
              </w:rPr>
            </w:pPr>
          </w:p>
        </w:tc>
        <w:tc>
          <w:tcPr>
            <w:tcW w:w="1040" w:type="dxa"/>
            <w:vAlign w:val="bottom"/>
            <w:gridSpan w:val="3"/>
            <w:vMerge w:val="restart"/>
          </w:tcPr>
          <w:p>
            <w:pPr>
              <w:jc w:val="center"/>
              <w:ind w:right="480"/>
              <w:spacing w:after="0" w:line="109" w:lineRule="exact"/>
              <w:rPr>
                <w:sz w:val="20"/>
                <w:szCs w:val="20"/>
                <w:color w:val="auto"/>
              </w:rPr>
            </w:pPr>
            <w:r>
              <w:rPr>
                <w:rFonts w:ascii="Arial" w:cs="Arial" w:eastAsia="Arial" w:hAnsi="Arial"/>
                <w:sz w:val="12"/>
                <w:szCs w:val="12"/>
                <w:color w:val="auto"/>
              </w:rPr>
              <w:t>Expected</w:t>
            </w:r>
          </w:p>
        </w:tc>
        <w:tc>
          <w:tcPr>
            <w:tcW w:w="940" w:type="dxa"/>
            <w:vAlign w:val="bottom"/>
            <w:vMerge w:val="restart"/>
          </w:tcPr>
          <w:p>
            <w:pPr>
              <w:jc w:val="center"/>
              <w:spacing w:after="0" w:line="109" w:lineRule="exact"/>
              <w:rPr>
                <w:sz w:val="20"/>
                <w:szCs w:val="20"/>
                <w:color w:val="auto"/>
              </w:rPr>
            </w:pPr>
            <w:r>
              <w:rPr>
                <w:rFonts w:ascii="Arial" w:cs="Arial" w:eastAsia="Arial" w:hAnsi="Arial"/>
                <w:sz w:val="12"/>
                <w:szCs w:val="12"/>
                <w:color w:val="auto"/>
              </w:rPr>
              <w:t>Number of</w:t>
            </w:r>
          </w:p>
        </w:tc>
        <w:tc>
          <w:tcPr>
            <w:tcW w:w="0" w:type="dxa"/>
            <w:vAlign w:val="bottom"/>
          </w:tcPr>
          <w:p>
            <w:pPr>
              <w:spacing w:after="0"/>
              <w:rPr>
                <w:sz w:val="1"/>
                <w:szCs w:val="1"/>
                <w:color w:val="auto"/>
              </w:rPr>
            </w:pPr>
          </w:p>
        </w:tc>
      </w:tr>
      <w:tr>
        <w:trPr>
          <w:trHeight w:val="35"/>
        </w:trPr>
        <w:tc>
          <w:tcPr>
            <w:tcW w:w="980" w:type="dxa"/>
            <w:vAlign w:val="bottom"/>
            <w:gridSpan w:val="4"/>
            <w:vMerge w:val="continue"/>
          </w:tcPr>
          <w:p>
            <w:pPr>
              <w:spacing w:after="0"/>
              <w:rPr>
                <w:sz w:val="3"/>
                <w:szCs w:val="3"/>
                <w:color w:val="auto"/>
              </w:rPr>
            </w:pPr>
          </w:p>
        </w:tc>
        <w:tc>
          <w:tcPr>
            <w:tcW w:w="8020" w:type="dxa"/>
            <w:vAlign w:val="bottom"/>
            <w:gridSpan w:val="63"/>
          </w:tcPr>
          <w:p>
            <w:pPr>
              <w:spacing w:after="0"/>
              <w:rPr>
                <w:sz w:val="3"/>
                <w:szCs w:val="3"/>
                <w:color w:val="auto"/>
              </w:rPr>
            </w:pPr>
          </w:p>
        </w:tc>
        <w:tc>
          <w:tcPr>
            <w:tcW w:w="260" w:type="dxa"/>
            <w:vAlign w:val="bottom"/>
            <w:vMerge w:val="continue"/>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980" w:type="dxa"/>
            <w:vAlign w:val="bottom"/>
            <w:gridSpan w:val="4"/>
            <w:vMerge w:val="continue"/>
          </w:tcPr>
          <w:p>
            <w:pPr>
              <w:spacing w:after="0"/>
              <w:rPr>
                <w:sz w:val="11"/>
                <w:szCs w:val="11"/>
                <w:color w:val="auto"/>
              </w:rPr>
            </w:pPr>
          </w:p>
        </w:tc>
        <w:tc>
          <w:tcPr>
            <w:tcW w:w="120" w:type="dxa"/>
            <w:vAlign w:val="bottom"/>
            <w:gridSpan w:val="2"/>
          </w:tcPr>
          <w:p>
            <w:pPr>
              <w:spacing w:after="0"/>
              <w:rPr>
                <w:sz w:val="11"/>
                <w:szCs w:val="11"/>
                <w:color w:val="auto"/>
              </w:rPr>
            </w:pPr>
          </w:p>
        </w:tc>
        <w:tc>
          <w:tcPr>
            <w:tcW w:w="560" w:type="dxa"/>
            <w:vAlign w:val="bottom"/>
            <w:vMerge w:val="restart"/>
          </w:tcPr>
          <w:p>
            <w:pPr>
              <w:jc w:val="center"/>
              <w:ind w:right="48"/>
              <w:spacing w:after="0"/>
              <w:rPr>
                <w:sz w:val="20"/>
                <w:szCs w:val="20"/>
                <w:color w:val="auto"/>
              </w:rPr>
            </w:pPr>
            <w:r>
              <w:rPr>
                <w:rFonts w:ascii="Arial" w:cs="Arial" w:eastAsia="Arial" w:hAnsi="Arial"/>
                <w:sz w:val="14"/>
                <w:szCs w:val="14"/>
                <w:color w:val="auto"/>
              </w:rPr>
              <w:t>2014</w:t>
            </w:r>
          </w:p>
        </w:tc>
        <w:tc>
          <w:tcPr>
            <w:tcW w:w="240" w:type="dxa"/>
            <w:vAlign w:val="bottom"/>
            <w:gridSpan w:val="5"/>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4"/>
                <w:szCs w:val="14"/>
                <w:color w:val="auto"/>
              </w:rPr>
              <w:t>2015</w:t>
            </w:r>
          </w:p>
        </w:tc>
        <w:tc>
          <w:tcPr>
            <w:tcW w:w="240" w:type="dxa"/>
            <w:vAlign w:val="bottom"/>
            <w:gridSpan w:val="5"/>
          </w:tcPr>
          <w:p>
            <w:pPr>
              <w:spacing w:after="0"/>
              <w:rPr>
                <w:sz w:val="11"/>
                <w:szCs w:val="11"/>
                <w:color w:val="auto"/>
              </w:rPr>
            </w:pPr>
          </w:p>
        </w:tc>
        <w:tc>
          <w:tcPr>
            <w:tcW w:w="540" w:type="dxa"/>
            <w:vAlign w:val="bottom"/>
            <w:vMerge w:val="restart"/>
          </w:tcPr>
          <w:p>
            <w:pPr>
              <w:jc w:val="right"/>
              <w:ind w:right="108"/>
              <w:spacing w:after="0"/>
              <w:rPr>
                <w:sz w:val="20"/>
                <w:szCs w:val="20"/>
                <w:color w:val="auto"/>
              </w:rPr>
            </w:pPr>
            <w:r>
              <w:rPr>
                <w:rFonts w:ascii="Arial" w:cs="Arial" w:eastAsia="Arial" w:hAnsi="Arial"/>
                <w:sz w:val="14"/>
                <w:szCs w:val="14"/>
                <w:color w:val="auto"/>
              </w:rPr>
              <w:t>2016</w:t>
            </w:r>
          </w:p>
        </w:tc>
        <w:tc>
          <w:tcPr>
            <w:tcW w:w="220" w:type="dxa"/>
            <w:vAlign w:val="bottom"/>
            <w:gridSpan w:val="4"/>
          </w:tcPr>
          <w:p>
            <w:pPr>
              <w:spacing w:after="0"/>
              <w:rPr>
                <w:sz w:val="11"/>
                <w:szCs w:val="11"/>
                <w:color w:val="auto"/>
              </w:rPr>
            </w:pPr>
          </w:p>
        </w:tc>
        <w:tc>
          <w:tcPr>
            <w:tcW w:w="560" w:type="dxa"/>
            <w:vAlign w:val="bottom"/>
            <w:vMerge w:val="restart"/>
          </w:tcPr>
          <w:p>
            <w:pPr>
              <w:jc w:val="right"/>
              <w:ind w:right="108"/>
              <w:spacing w:after="0"/>
              <w:rPr>
                <w:sz w:val="20"/>
                <w:szCs w:val="20"/>
                <w:color w:val="auto"/>
              </w:rPr>
            </w:pPr>
            <w:r>
              <w:rPr>
                <w:rFonts w:ascii="Arial" w:cs="Arial" w:eastAsia="Arial" w:hAnsi="Arial"/>
                <w:sz w:val="14"/>
                <w:szCs w:val="14"/>
                <w:color w:val="auto"/>
              </w:rPr>
              <w:t>2017</w:t>
            </w:r>
          </w:p>
        </w:tc>
        <w:tc>
          <w:tcPr>
            <w:tcW w:w="280" w:type="dxa"/>
            <w:vAlign w:val="bottom"/>
            <w:gridSpan w:val="5"/>
          </w:tcPr>
          <w:p>
            <w:pPr>
              <w:spacing w:after="0"/>
              <w:rPr>
                <w:sz w:val="11"/>
                <w:szCs w:val="11"/>
                <w:color w:val="auto"/>
              </w:rPr>
            </w:pPr>
          </w:p>
        </w:tc>
        <w:tc>
          <w:tcPr>
            <w:tcW w:w="500" w:type="dxa"/>
            <w:vAlign w:val="bottom"/>
            <w:vMerge w:val="restart"/>
          </w:tcPr>
          <w:p>
            <w:pPr>
              <w:jc w:val="right"/>
              <w:ind w:right="108"/>
              <w:spacing w:after="0"/>
              <w:rPr>
                <w:sz w:val="20"/>
                <w:szCs w:val="20"/>
                <w:color w:val="auto"/>
              </w:rPr>
            </w:pPr>
            <w:r>
              <w:rPr>
                <w:rFonts w:ascii="Arial" w:cs="Arial" w:eastAsia="Arial" w:hAnsi="Arial"/>
                <w:sz w:val="14"/>
                <w:szCs w:val="14"/>
                <w:color w:val="auto"/>
                <w:w w:val="96"/>
              </w:rPr>
              <w:t>2018</w:t>
            </w:r>
          </w:p>
        </w:tc>
        <w:tc>
          <w:tcPr>
            <w:tcW w:w="240" w:type="dxa"/>
            <w:vAlign w:val="bottom"/>
            <w:gridSpan w:val="4"/>
          </w:tcPr>
          <w:p>
            <w:pPr>
              <w:spacing w:after="0"/>
              <w:rPr>
                <w:sz w:val="11"/>
                <w:szCs w:val="11"/>
                <w:color w:val="auto"/>
              </w:rPr>
            </w:pPr>
          </w:p>
        </w:tc>
        <w:tc>
          <w:tcPr>
            <w:tcW w:w="540" w:type="dxa"/>
            <w:vAlign w:val="bottom"/>
            <w:gridSpan w:val="2"/>
            <w:vMerge w:val="restart"/>
          </w:tcPr>
          <w:p>
            <w:pPr>
              <w:jc w:val="right"/>
              <w:ind w:right="108"/>
              <w:spacing w:after="0"/>
              <w:rPr>
                <w:sz w:val="20"/>
                <w:szCs w:val="20"/>
                <w:color w:val="auto"/>
              </w:rPr>
            </w:pPr>
            <w:r>
              <w:rPr>
                <w:rFonts w:ascii="Arial" w:cs="Arial" w:eastAsia="Arial" w:hAnsi="Arial"/>
                <w:sz w:val="14"/>
                <w:szCs w:val="14"/>
                <w:color w:val="auto"/>
              </w:rPr>
              <w:t>2019</w:t>
            </w:r>
          </w:p>
        </w:tc>
        <w:tc>
          <w:tcPr>
            <w:tcW w:w="280" w:type="dxa"/>
            <w:vAlign w:val="bottom"/>
            <w:gridSpan w:val="4"/>
          </w:tcPr>
          <w:p>
            <w:pPr>
              <w:spacing w:after="0"/>
              <w:rPr>
                <w:sz w:val="11"/>
                <w:szCs w:val="11"/>
                <w:color w:val="auto"/>
              </w:rPr>
            </w:pPr>
          </w:p>
        </w:tc>
        <w:tc>
          <w:tcPr>
            <w:tcW w:w="460" w:type="dxa"/>
            <w:vAlign w:val="bottom"/>
            <w:gridSpan w:val="3"/>
            <w:vMerge w:val="restart"/>
          </w:tcPr>
          <w:p>
            <w:pPr>
              <w:jc w:val="right"/>
              <w:ind w:right="68"/>
              <w:spacing w:after="0"/>
              <w:rPr>
                <w:sz w:val="20"/>
                <w:szCs w:val="20"/>
                <w:color w:val="auto"/>
              </w:rPr>
            </w:pPr>
            <w:r>
              <w:rPr>
                <w:rFonts w:ascii="Arial" w:cs="Arial" w:eastAsia="Arial" w:hAnsi="Arial"/>
                <w:sz w:val="14"/>
                <w:szCs w:val="14"/>
                <w:color w:val="auto"/>
                <w:w w:val="96"/>
              </w:rPr>
              <w:t>2020</w:t>
            </w:r>
          </w:p>
        </w:tc>
        <w:tc>
          <w:tcPr>
            <w:tcW w:w="60" w:type="dxa"/>
            <w:vAlign w:val="bottom"/>
            <w:vMerge w:val="restart"/>
          </w:tcPr>
          <w:p>
            <w:pPr>
              <w:spacing w:after="0"/>
              <w:rPr>
                <w:sz w:val="11"/>
                <w:szCs w:val="11"/>
                <w:color w:val="auto"/>
              </w:rPr>
            </w:pPr>
          </w:p>
        </w:tc>
        <w:tc>
          <w:tcPr>
            <w:tcW w:w="80" w:type="dxa"/>
            <w:vAlign w:val="bottom"/>
            <w:vMerge w:val="restart"/>
          </w:tcPr>
          <w:p>
            <w:pPr>
              <w:spacing w:after="0"/>
              <w:rPr>
                <w:sz w:val="11"/>
                <w:szCs w:val="11"/>
                <w:color w:val="auto"/>
              </w:rPr>
            </w:pPr>
          </w:p>
        </w:tc>
        <w:tc>
          <w:tcPr>
            <w:tcW w:w="700" w:type="dxa"/>
            <w:vAlign w:val="bottom"/>
            <w:gridSpan w:val="4"/>
            <w:vMerge w:val="restart"/>
          </w:tcPr>
          <w:p>
            <w:pPr>
              <w:jc w:val="right"/>
              <w:ind w:right="108"/>
              <w:spacing w:after="0"/>
              <w:rPr>
                <w:sz w:val="20"/>
                <w:szCs w:val="20"/>
                <w:color w:val="auto"/>
              </w:rPr>
            </w:pPr>
            <w:r>
              <w:rPr>
                <w:rFonts w:ascii="Arial" w:cs="Arial" w:eastAsia="Arial" w:hAnsi="Arial"/>
                <w:sz w:val="14"/>
                <w:szCs w:val="14"/>
                <w:color w:val="auto"/>
              </w:rPr>
              <w:t>2021</w:t>
            </w:r>
          </w:p>
        </w:tc>
        <w:tc>
          <w:tcPr>
            <w:tcW w:w="280" w:type="dxa"/>
            <w:vAlign w:val="bottom"/>
            <w:gridSpan w:val="3"/>
          </w:tcPr>
          <w:p>
            <w:pPr>
              <w:spacing w:after="0"/>
              <w:rPr>
                <w:sz w:val="11"/>
                <w:szCs w:val="11"/>
                <w:color w:val="auto"/>
              </w:rPr>
            </w:pPr>
          </w:p>
        </w:tc>
        <w:tc>
          <w:tcPr>
            <w:tcW w:w="460" w:type="dxa"/>
            <w:vAlign w:val="bottom"/>
            <w:gridSpan w:val="3"/>
            <w:vMerge w:val="restart"/>
          </w:tcPr>
          <w:p>
            <w:pPr>
              <w:jc w:val="right"/>
              <w:ind w:right="68"/>
              <w:spacing w:after="0"/>
              <w:rPr>
                <w:sz w:val="20"/>
                <w:szCs w:val="20"/>
                <w:color w:val="auto"/>
              </w:rPr>
            </w:pPr>
            <w:r>
              <w:rPr>
                <w:rFonts w:ascii="Arial" w:cs="Arial" w:eastAsia="Arial" w:hAnsi="Arial"/>
                <w:sz w:val="14"/>
                <w:szCs w:val="14"/>
                <w:color w:val="auto"/>
                <w:w w:val="96"/>
              </w:rPr>
              <w:t>2022</w:t>
            </w:r>
          </w:p>
        </w:tc>
        <w:tc>
          <w:tcPr>
            <w:tcW w:w="340" w:type="dxa"/>
            <w:vAlign w:val="bottom"/>
            <w:gridSpan w:val="5"/>
          </w:tcPr>
          <w:p>
            <w:pPr>
              <w:spacing w:after="0"/>
              <w:rPr>
                <w:sz w:val="11"/>
                <w:szCs w:val="11"/>
                <w:color w:val="auto"/>
              </w:rPr>
            </w:pPr>
          </w:p>
        </w:tc>
        <w:tc>
          <w:tcPr>
            <w:tcW w:w="560" w:type="dxa"/>
            <w:vAlign w:val="bottom"/>
            <w:gridSpan w:val="3"/>
            <w:vMerge w:val="restart"/>
          </w:tcPr>
          <w:p>
            <w:pPr>
              <w:jc w:val="right"/>
              <w:ind w:right="148"/>
              <w:spacing w:after="0"/>
              <w:rPr>
                <w:sz w:val="20"/>
                <w:szCs w:val="20"/>
                <w:color w:val="auto"/>
              </w:rPr>
            </w:pPr>
            <w:r>
              <w:rPr>
                <w:rFonts w:ascii="Arial" w:cs="Arial" w:eastAsia="Arial" w:hAnsi="Arial"/>
                <w:sz w:val="14"/>
                <w:szCs w:val="14"/>
                <w:color w:val="auto"/>
              </w:rPr>
              <w:t>2023</w:t>
            </w:r>
          </w:p>
        </w:tc>
        <w:tc>
          <w:tcPr>
            <w:tcW w:w="1520" w:type="dxa"/>
            <w:vAlign w:val="bottom"/>
            <w:gridSpan w:val="8"/>
          </w:tcPr>
          <w:p>
            <w:pPr>
              <w:spacing w:after="0"/>
              <w:rPr>
                <w:sz w:val="20"/>
                <w:szCs w:val="20"/>
                <w:color w:val="auto"/>
              </w:rPr>
            </w:pPr>
            <w:r>
              <w:rPr>
                <w:rFonts w:ascii="Arial" w:cs="Arial" w:eastAsia="Arial" w:hAnsi="Arial"/>
                <w:sz w:val="13"/>
                <w:szCs w:val="13"/>
                <w:color w:val="auto"/>
              </w:rPr>
              <w:t>Development on</w:t>
            </w:r>
          </w:p>
        </w:tc>
        <w:tc>
          <w:tcPr>
            <w:tcW w:w="940" w:type="dxa"/>
            <w:vAlign w:val="bottom"/>
          </w:tcPr>
          <w:p>
            <w:pPr>
              <w:jc w:val="center"/>
              <w:spacing w:after="0" w:line="135" w:lineRule="exact"/>
              <w:rPr>
                <w:sz w:val="20"/>
                <w:szCs w:val="20"/>
                <w:color w:val="auto"/>
              </w:rPr>
            </w:pPr>
            <w:r>
              <w:rPr>
                <w:rFonts w:ascii="Arial" w:cs="Arial" w:eastAsia="Arial" w:hAnsi="Arial"/>
                <w:sz w:val="13"/>
                <w:szCs w:val="13"/>
                <w:color w:val="auto"/>
              </w:rPr>
              <w:t>Reported</w:t>
            </w:r>
          </w:p>
        </w:tc>
        <w:tc>
          <w:tcPr>
            <w:tcW w:w="0" w:type="dxa"/>
            <w:vAlign w:val="bottom"/>
          </w:tcPr>
          <w:p>
            <w:pPr>
              <w:spacing w:after="0"/>
              <w:rPr>
                <w:sz w:val="1"/>
                <w:szCs w:val="1"/>
                <w:color w:val="auto"/>
              </w:rPr>
            </w:pPr>
          </w:p>
        </w:tc>
      </w:tr>
      <w:tr>
        <w:trPr>
          <w:trHeight w:val="188"/>
        </w:trPr>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Year</w:t>
            </w:r>
          </w:p>
        </w:tc>
        <w:tc>
          <w:tcPr>
            <w:tcW w:w="100" w:type="dxa"/>
            <w:vAlign w:val="bottom"/>
            <w:tcBorders>
              <w:bottom w:val="single" w:sz="8" w:color="CCEEFF"/>
            </w:tcBorders>
            <w:gridSpan w:val="3"/>
          </w:tcPr>
          <w:p>
            <w:pPr>
              <w:spacing w:after="0"/>
              <w:rPr>
                <w:sz w:val="16"/>
                <w:szCs w:val="16"/>
                <w:color w:val="auto"/>
              </w:rPr>
            </w:pPr>
          </w:p>
        </w:tc>
        <w:tc>
          <w:tcPr>
            <w:tcW w:w="120" w:type="dxa"/>
            <w:vAlign w:val="bottom"/>
            <w:tcBorders>
              <w:bottom w:val="single" w:sz="8" w:color="auto"/>
            </w:tcBorders>
            <w:gridSpan w:val="2"/>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gridSpan w:val="2"/>
          </w:tcPr>
          <w:p>
            <w:pPr>
              <w:spacing w:after="0"/>
              <w:rPr>
                <w:sz w:val="16"/>
                <w:szCs w:val="16"/>
                <w:color w:val="auto"/>
              </w:rPr>
            </w:pPr>
          </w:p>
        </w:tc>
        <w:tc>
          <w:tcPr>
            <w:tcW w:w="160" w:type="dxa"/>
            <w:vAlign w:val="bottom"/>
            <w:tcBorders>
              <w:bottom w:val="single" w:sz="8" w:color="auto"/>
            </w:tcBorders>
            <w:gridSpan w:val="3"/>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3"/>
          </w:tcPr>
          <w:p>
            <w:pPr>
              <w:spacing w:after="0"/>
              <w:rPr>
                <w:sz w:val="16"/>
                <w:szCs w:val="16"/>
                <w:color w:val="auto"/>
              </w:rPr>
            </w:pPr>
          </w:p>
        </w:tc>
        <w:tc>
          <w:tcPr>
            <w:tcW w:w="140" w:type="dxa"/>
            <w:vAlign w:val="bottom"/>
            <w:tcBorders>
              <w:bottom w:val="single" w:sz="8" w:color="auto"/>
            </w:tcBorders>
            <w:gridSpan w:val="2"/>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tcPr>
          <w:p>
            <w:pPr>
              <w:spacing w:after="0"/>
              <w:rPr>
                <w:sz w:val="16"/>
                <w:szCs w:val="16"/>
                <w:color w:val="auto"/>
              </w:rPr>
            </w:pPr>
          </w:p>
        </w:tc>
        <w:tc>
          <w:tcPr>
            <w:tcW w:w="120" w:type="dxa"/>
            <w:vAlign w:val="bottom"/>
            <w:tcBorders>
              <w:bottom w:val="single" w:sz="8" w:color="auto"/>
            </w:tcBorders>
            <w:gridSpan w:val="2"/>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tcPr>
          <w:p>
            <w:pPr>
              <w:spacing w:after="0"/>
              <w:rPr>
                <w:sz w:val="16"/>
                <w:szCs w:val="16"/>
                <w:color w:val="auto"/>
              </w:rPr>
            </w:pPr>
          </w:p>
        </w:tc>
        <w:tc>
          <w:tcPr>
            <w:tcW w:w="180" w:type="dxa"/>
            <w:vAlign w:val="bottom"/>
            <w:tcBorders>
              <w:bottom w:val="single" w:sz="8" w:color="auto"/>
            </w:tcBorders>
            <w:gridSpan w:val="3"/>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tcPr>
          <w:p>
            <w:pPr>
              <w:spacing w:after="0"/>
              <w:rPr>
                <w:sz w:val="16"/>
                <w:szCs w:val="16"/>
                <w:color w:val="auto"/>
              </w:rPr>
            </w:pPr>
          </w:p>
        </w:tc>
        <w:tc>
          <w:tcPr>
            <w:tcW w:w="140" w:type="dxa"/>
            <w:vAlign w:val="bottom"/>
            <w:tcBorders>
              <w:bottom w:val="single" w:sz="8" w:color="auto"/>
            </w:tcBorders>
            <w:gridSpan w:val="2"/>
          </w:tcPr>
          <w:p>
            <w:pPr>
              <w:spacing w:after="0"/>
              <w:rPr>
                <w:sz w:val="16"/>
                <w:szCs w:val="16"/>
                <w:color w:val="auto"/>
              </w:rPr>
            </w:pPr>
          </w:p>
        </w:tc>
        <w:tc>
          <w:tcPr>
            <w:tcW w:w="5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gridSpan w:val="2"/>
          </w:tcPr>
          <w:p>
            <w:pPr>
              <w:spacing w:after="0"/>
              <w:rPr>
                <w:sz w:val="16"/>
                <w:szCs w:val="16"/>
                <w:color w:val="auto"/>
              </w:rPr>
            </w:pPr>
          </w:p>
        </w:tc>
        <w:tc>
          <w:tcPr>
            <w:tcW w:w="180" w:type="dxa"/>
            <w:vAlign w:val="bottom"/>
            <w:tcBorders>
              <w:bottom w:val="single" w:sz="8" w:color="auto"/>
            </w:tcBorders>
            <w:gridSpan w:val="2"/>
          </w:tcPr>
          <w:p>
            <w:pPr>
              <w:spacing w:after="0"/>
              <w:rPr>
                <w:sz w:val="16"/>
                <w:szCs w:val="16"/>
                <w:color w:val="auto"/>
              </w:rPr>
            </w:pPr>
          </w:p>
        </w:tc>
        <w:tc>
          <w:tcPr>
            <w:tcW w:w="460" w:type="dxa"/>
            <w:vAlign w:val="bottom"/>
            <w:tcBorders>
              <w:bottom w:val="single" w:sz="8" w:color="auto"/>
            </w:tcBorders>
            <w:gridSpan w:val="3"/>
            <w:vMerge w:val="continue"/>
          </w:tcPr>
          <w:p>
            <w:pPr>
              <w:spacing w:after="0"/>
              <w:rPr>
                <w:sz w:val="16"/>
                <w:szCs w:val="16"/>
                <w:color w:val="auto"/>
              </w:rPr>
            </w:pPr>
          </w:p>
        </w:tc>
        <w:tc>
          <w:tcPr>
            <w:tcW w:w="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70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gridSpan w:val="2"/>
          </w:tcPr>
          <w:p>
            <w:pPr>
              <w:spacing w:after="0"/>
              <w:rPr>
                <w:sz w:val="16"/>
                <w:szCs w:val="16"/>
                <w:color w:val="auto"/>
              </w:rPr>
            </w:pPr>
          </w:p>
        </w:tc>
        <w:tc>
          <w:tcPr>
            <w:tcW w:w="46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gridSpan w:val="2"/>
          </w:tcPr>
          <w:p>
            <w:pPr>
              <w:spacing w:after="0"/>
              <w:rPr>
                <w:sz w:val="16"/>
                <w:szCs w:val="16"/>
                <w:color w:val="auto"/>
              </w:rPr>
            </w:pPr>
          </w:p>
        </w:tc>
        <w:tc>
          <w:tcPr>
            <w:tcW w:w="200" w:type="dxa"/>
            <w:vAlign w:val="bottom"/>
            <w:tcBorders>
              <w:bottom w:val="single" w:sz="8" w:color="auto"/>
            </w:tcBorders>
            <w:gridSpan w:val="2"/>
          </w:tcPr>
          <w:p>
            <w:pPr>
              <w:spacing w:after="0"/>
              <w:rPr>
                <w:sz w:val="16"/>
                <w:szCs w:val="16"/>
                <w:color w:val="auto"/>
              </w:rPr>
            </w:pPr>
          </w:p>
        </w:tc>
        <w:tc>
          <w:tcPr>
            <w:tcW w:w="56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gridSpan w:val="2"/>
          </w:tcPr>
          <w:p>
            <w:pPr>
              <w:spacing w:after="0"/>
              <w:rPr>
                <w:sz w:val="16"/>
                <w:szCs w:val="16"/>
                <w:color w:val="auto"/>
              </w:rPr>
            </w:pPr>
          </w:p>
        </w:tc>
        <w:tc>
          <w:tcPr>
            <w:tcW w:w="1320" w:type="dxa"/>
            <w:vAlign w:val="bottom"/>
            <w:tcBorders>
              <w:bottom w:val="single" w:sz="8" w:color="auto"/>
            </w:tcBorders>
            <w:gridSpan w:val="4"/>
          </w:tcPr>
          <w:p>
            <w:pPr>
              <w:spacing w:after="0"/>
              <w:rPr>
                <w:sz w:val="20"/>
                <w:szCs w:val="20"/>
                <w:color w:val="auto"/>
              </w:rPr>
            </w:pPr>
            <w:r>
              <w:rPr>
                <w:rFonts w:ascii="Arial" w:cs="Arial" w:eastAsia="Arial" w:hAnsi="Arial"/>
                <w:sz w:val="13"/>
                <w:szCs w:val="13"/>
                <w:color w:val="auto"/>
              </w:rPr>
              <w:t>Reported Claims</w:t>
            </w:r>
          </w:p>
        </w:tc>
        <w:tc>
          <w:tcPr>
            <w:tcW w:w="100" w:type="dxa"/>
            <w:vAlign w:val="bottom"/>
            <w:tcBorders>
              <w:bottom w:val="single" w:sz="8" w:color="CCEEFF"/>
            </w:tcBorders>
            <w:gridSpan w:val="2"/>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Claims</w:t>
            </w:r>
          </w:p>
        </w:tc>
        <w:tc>
          <w:tcPr>
            <w:tcW w:w="0" w:type="dxa"/>
            <w:vAlign w:val="bottom"/>
          </w:tcPr>
          <w:p>
            <w:pPr>
              <w:spacing w:after="0"/>
              <w:rPr>
                <w:sz w:val="1"/>
                <w:szCs w:val="1"/>
                <w:color w:val="auto"/>
              </w:rPr>
            </w:pPr>
          </w:p>
        </w:tc>
      </w:tr>
      <w:tr>
        <w:trPr>
          <w:trHeight w:val="196"/>
        </w:trPr>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2014</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2,083</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2,050</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1,978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1,957</w:t>
            </w:r>
          </w:p>
        </w:tc>
        <w:tc>
          <w:tcPr>
            <w:tcW w:w="400" w:type="dxa"/>
            <w:vAlign w:val="bottom"/>
            <w:gridSpan w:val="4"/>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w w:val="96"/>
              </w:rPr>
              <w:t>1,954</w:t>
            </w:r>
          </w:p>
        </w:tc>
        <w:tc>
          <w:tcPr>
            <w:tcW w:w="28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1,958</w:t>
            </w:r>
          </w:p>
        </w:tc>
        <w:tc>
          <w:tcPr>
            <w:tcW w:w="40" w:type="dxa"/>
            <w:vAlign w:val="bottom"/>
            <w:shd w:val="clear" w:color="auto" w:fill="CCEEFF"/>
          </w:tcPr>
          <w:p>
            <w:pPr>
              <w:spacing w:after="0"/>
              <w:rPr>
                <w:sz w:val="17"/>
                <w:szCs w:val="17"/>
                <w:color w:val="auto"/>
              </w:rPr>
            </w:pPr>
          </w:p>
        </w:tc>
        <w:tc>
          <w:tcPr>
            <w:tcW w:w="300" w:type="dxa"/>
            <w:vAlign w:val="bottom"/>
            <w:gridSpan w:val="4"/>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1,957</w:t>
            </w:r>
          </w:p>
        </w:tc>
        <w:tc>
          <w:tcPr>
            <w:tcW w:w="2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220,128</w:t>
            </w:r>
          </w:p>
        </w:tc>
        <w:tc>
          <w:tcPr>
            <w:tcW w:w="0" w:type="dxa"/>
            <w:vAlign w:val="bottom"/>
          </w:tcPr>
          <w:p>
            <w:pPr>
              <w:spacing w:after="0"/>
              <w:rPr>
                <w:sz w:val="1"/>
                <w:szCs w:val="1"/>
                <w:color w:val="auto"/>
              </w:rPr>
            </w:pPr>
          </w:p>
        </w:tc>
      </w:tr>
      <w:tr>
        <w:trPr>
          <w:trHeight w:val="198"/>
        </w:trPr>
        <w:tc>
          <w:tcPr>
            <w:tcW w:w="1900" w:type="dxa"/>
            <w:vAlign w:val="bottom"/>
            <w:gridSpan w:val="12"/>
          </w:tcPr>
          <w:p>
            <w:pPr>
              <w:jc w:val="center"/>
              <w:ind w:right="1020"/>
              <w:spacing w:after="0"/>
              <w:rPr>
                <w:sz w:val="20"/>
                <w:szCs w:val="20"/>
                <w:color w:val="auto"/>
              </w:rPr>
            </w:pPr>
            <w:r>
              <w:rPr>
                <w:rFonts w:ascii="Arial" w:cs="Arial" w:eastAsia="Arial" w:hAnsi="Arial"/>
                <w:sz w:val="14"/>
                <w:szCs w:val="14"/>
                <w:color w:val="auto"/>
              </w:rPr>
              <w:t>2015</w:t>
            </w:r>
          </w:p>
        </w:tc>
        <w:tc>
          <w:tcPr>
            <w:tcW w:w="780" w:type="dxa"/>
            <w:vAlign w:val="bottom"/>
            <w:gridSpan w:val="6"/>
          </w:tcPr>
          <w:p>
            <w:pPr>
              <w:jc w:val="right"/>
              <w:ind w:right="300"/>
              <w:spacing w:after="0"/>
              <w:rPr>
                <w:sz w:val="20"/>
                <w:szCs w:val="20"/>
                <w:color w:val="auto"/>
              </w:rPr>
            </w:pPr>
            <w:r>
              <w:rPr>
                <w:rFonts w:ascii="Arial" w:cs="Arial" w:eastAsia="Arial" w:hAnsi="Arial"/>
                <w:sz w:val="14"/>
                <w:szCs w:val="14"/>
                <w:color w:val="auto"/>
              </w:rPr>
              <w:t>2,114</w:t>
            </w:r>
          </w:p>
        </w:tc>
        <w:tc>
          <w:tcPr>
            <w:tcW w:w="760" w:type="dxa"/>
            <w:vAlign w:val="bottom"/>
            <w:gridSpan w:val="5"/>
          </w:tcPr>
          <w:p>
            <w:pPr>
              <w:jc w:val="right"/>
              <w:ind w:right="208"/>
              <w:spacing w:after="0"/>
              <w:rPr>
                <w:sz w:val="20"/>
                <w:szCs w:val="20"/>
                <w:color w:val="auto"/>
              </w:rPr>
            </w:pPr>
            <w:r>
              <w:rPr>
                <w:rFonts w:ascii="Arial" w:cs="Arial" w:eastAsia="Arial" w:hAnsi="Arial"/>
                <w:sz w:val="14"/>
                <w:szCs w:val="14"/>
                <w:color w:val="auto"/>
              </w:rPr>
              <w:t>2,047</w:t>
            </w:r>
          </w:p>
        </w:tc>
        <w:tc>
          <w:tcPr>
            <w:tcW w:w="840" w:type="dxa"/>
            <w:vAlign w:val="bottom"/>
            <w:gridSpan w:val="6"/>
          </w:tcPr>
          <w:p>
            <w:pPr>
              <w:jc w:val="right"/>
              <w:ind w:right="340"/>
              <w:spacing w:after="0"/>
              <w:rPr>
                <w:sz w:val="20"/>
                <w:szCs w:val="20"/>
                <w:color w:val="auto"/>
              </w:rPr>
            </w:pPr>
            <w:r>
              <w:rPr>
                <w:rFonts w:ascii="Arial" w:cs="Arial" w:eastAsia="Arial" w:hAnsi="Arial"/>
                <w:sz w:val="14"/>
                <w:szCs w:val="14"/>
                <w:color w:val="auto"/>
              </w:rPr>
              <w:t>2,041</w:t>
            </w:r>
          </w:p>
        </w:tc>
        <w:tc>
          <w:tcPr>
            <w:tcW w:w="740" w:type="dxa"/>
            <w:vAlign w:val="bottom"/>
            <w:gridSpan w:val="5"/>
          </w:tcPr>
          <w:p>
            <w:pPr>
              <w:jc w:val="right"/>
              <w:ind w:right="228"/>
              <w:spacing w:after="0"/>
              <w:rPr>
                <w:sz w:val="20"/>
                <w:szCs w:val="20"/>
                <w:color w:val="auto"/>
              </w:rPr>
            </w:pPr>
            <w:r>
              <w:rPr>
                <w:rFonts w:ascii="Arial" w:cs="Arial" w:eastAsia="Arial" w:hAnsi="Arial"/>
                <w:sz w:val="14"/>
                <w:szCs w:val="14"/>
                <w:color w:val="auto"/>
              </w:rPr>
              <w:t>2,038</w:t>
            </w:r>
          </w:p>
        </w:tc>
        <w:tc>
          <w:tcPr>
            <w:tcW w:w="820" w:type="dxa"/>
            <w:vAlign w:val="bottom"/>
            <w:gridSpan w:val="6"/>
          </w:tcPr>
          <w:p>
            <w:pPr>
              <w:jc w:val="right"/>
              <w:ind w:right="268"/>
              <w:spacing w:after="0"/>
              <w:rPr>
                <w:sz w:val="20"/>
                <w:szCs w:val="20"/>
                <w:color w:val="auto"/>
              </w:rPr>
            </w:pPr>
            <w:r>
              <w:rPr>
                <w:rFonts w:ascii="Arial" w:cs="Arial" w:eastAsia="Arial" w:hAnsi="Arial"/>
                <w:sz w:val="14"/>
                <w:szCs w:val="14"/>
                <w:color w:val="auto"/>
              </w:rPr>
              <w:t>2,022</w:t>
            </w:r>
          </w:p>
        </w:tc>
        <w:tc>
          <w:tcPr>
            <w:tcW w:w="860" w:type="dxa"/>
            <w:vAlign w:val="bottom"/>
            <w:gridSpan w:val="7"/>
          </w:tcPr>
          <w:p>
            <w:pPr>
              <w:jc w:val="right"/>
              <w:ind w:right="348"/>
              <w:spacing w:after="0"/>
              <w:rPr>
                <w:sz w:val="20"/>
                <w:szCs w:val="20"/>
                <w:color w:val="auto"/>
              </w:rPr>
            </w:pPr>
            <w:r>
              <w:rPr>
                <w:rFonts w:ascii="Arial" w:cs="Arial" w:eastAsia="Arial" w:hAnsi="Arial"/>
                <w:sz w:val="14"/>
                <w:szCs w:val="14"/>
                <w:color w:val="auto"/>
              </w:rPr>
              <w:t>2,013</w:t>
            </w:r>
          </w:p>
        </w:tc>
        <w:tc>
          <w:tcPr>
            <w:tcW w:w="720" w:type="dxa"/>
            <w:vAlign w:val="bottom"/>
            <w:gridSpan w:val="5"/>
          </w:tcPr>
          <w:p>
            <w:pPr>
              <w:jc w:val="right"/>
              <w:ind w:right="288"/>
              <w:spacing w:after="0"/>
              <w:rPr>
                <w:sz w:val="20"/>
                <w:szCs w:val="20"/>
                <w:color w:val="auto"/>
              </w:rPr>
            </w:pPr>
            <w:r>
              <w:rPr>
                <w:rFonts w:ascii="Arial" w:cs="Arial" w:eastAsia="Arial" w:hAnsi="Arial"/>
                <w:sz w:val="14"/>
                <w:szCs w:val="14"/>
                <w:color w:val="auto"/>
                <w:w w:val="96"/>
              </w:rPr>
              <w:t>2,003</w:t>
            </w:r>
          </w:p>
        </w:tc>
        <w:tc>
          <w:tcPr>
            <w:tcW w:w="800" w:type="dxa"/>
            <w:vAlign w:val="bottom"/>
            <w:gridSpan w:val="8"/>
          </w:tcPr>
          <w:p>
            <w:pPr>
              <w:jc w:val="right"/>
              <w:ind w:right="288"/>
              <w:spacing w:after="0"/>
              <w:rPr>
                <w:sz w:val="20"/>
                <w:szCs w:val="20"/>
                <w:color w:val="auto"/>
              </w:rPr>
            </w:pPr>
            <w:r>
              <w:rPr>
                <w:rFonts w:ascii="Arial" w:cs="Arial" w:eastAsia="Arial" w:hAnsi="Arial"/>
                <w:sz w:val="14"/>
                <w:szCs w:val="14"/>
                <w:color w:val="auto"/>
              </w:rPr>
              <w:t>1,998</w:t>
            </w:r>
          </w:p>
        </w:tc>
        <w:tc>
          <w:tcPr>
            <w:tcW w:w="780" w:type="dxa"/>
            <w:vAlign w:val="bottom"/>
            <w:gridSpan w:val="7"/>
          </w:tcPr>
          <w:p>
            <w:pPr>
              <w:jc w:val="right"/>
              <w:ind w:right="208"/>
              <w:spacing w:after="0"/>
              <w:rPr>
                <w:sz w:val="20"/>
                <w:szCs w:val="20"/>
                <w:color w:val="auto"/>
              </w:rPr>
            </w:pPr>
            <w:r>
              <w:rPr>
                <w:rFonts w:ascii="Arial" w:cs="Arial" w:eastAsia="Arial" w:hAnsi="Arial"/>
                <w:sz w:val="14"/>
                <w:szCs w:val="14"/>
                <w:color w:val="auto"/>
              </w:rPr>
              <w:t>1,991</w:t>
            </w:r>
          </w:p>
        </w:tc>
        <w:tc>
          <w:tcPr>
            <w:tcW w:w="1300" w:type="dxa"/>
            <w:vAlign w:val="bottom"/>
            <w:gridSpan w:val="4"/>
          </w:tcPr>
          <w:p>
            <w:pPr>
              <w:jc w:val="right"/>
              <w:ind w:right="160"/>
              <w:spacing w:after="0"/>
              <w:rPr>
                <w:sz w:val="20"/>
                <w:szCs w:val="20"/>
                <w:color w:val="auto"/>
              </w:rPr>
            </w:pPr>
            <w:r>
              <w:rPr>
                <w:rFonts w:ascii="Arial" w:cs="Arial" w:eastAsia="Arial" w:hAnsi="Arial"/>
                <w:sz w:val="14"/>
                <w:szCs w:val="14"/>
                <w:color w:val="auto"/>
              </w:rPr>
              <w:t>45</w:t>
            </w:r>
          </w:p>
        </w:tc>
        <w:tc>
          <w:tcPr>
            <w:tcW w:w="940" w:type="dxa"/>
            <w:vAlign w:val="bottom"/>
          </w:tcPr>
          <w:p>
            <w:pPr>
              <w:jc w:val="right"/>
              <w:spacing w:after="0"/>
              <w:rPr>
                <w:sz w:val="20"/>
                <w:szCs w:val="20"/>
                <w:color w:val="auto"/>
              </w:rPr>
            </w:pPr>
            <w:r>
              <w:rPr>
                <w:rFonts w:ascii="Arial" w:cs="Arial" w:eastAsia="Arial" w:hAnsi="Arial"/>
                <w:sz w:val="14"/>
                <w:szCs w:val="14"/>
                <w:color w:val="auto"/>
              </w:rPr>
              <w:t>231,168</w:t>
            </w:r>
          </w:p>
        </w:tc>
        <w:tc>
          <w:tcPr>
            <w:tcW w:w="0" w:type="dxa"/>
            <w:vAlign w:val="bottom"/>
          </w:tcPr>
          <w:p>
            <w:pPr>
              <w:spacing w:after="0"/>
              <w:rPr>
                <w:sz w:val="1"/>
                <w:szCs w:val="1"/>
                <w:color w:val="auto"/>
              </w:rPr>
            </w:pPr>
          </w:p>
        </w:tc>
      </w:tr>
      <w:tr>
        <w:trPr>
          <w:trHeight w:val="207"/>
        </w:trPr>
        <w:tc>
          <w:tcPr>
            <w:tcW w:w="2680" w:type="dxa"/>
            <w:vAlign w:val="bottom"/>
            <w:gridSpan w:val="18"/>
            <w:shd w:val="clear" w:color="auto" w:fill="CCEEFF"/>
          </w:tcPr>
          <w:p>
            <w:pPr>
              <w:jc w:val="center"/>
              <w:ind w:right="1800"/>
              <w:spacing w:after="0"/>
              <w:rPr>
                <w:sz w:val="20"/>
                <w:szCs w:val="20"/>
                <w:color w:val="auto"/>
              </w:rPr>
            </w:pPr>
            <w:r>
              <w:rPr>
                <w:rFonts w:ascii="Arial" w:cs="Arial" w:eastAsia="Arial" w:hAnsi="Arial"/>
                <w:sz w:val="14"/>
                <w:szCs w:val="14"/>
                <w:color w:val="auto"/>
              </w:rPr>
              <w:t>2016</w:t>
            </w:r>
          </w:p>
        </w:tc>
        <w:tc>
          <w:tcPr>
            <w:tcW w:w="760" w:type="dxa"/>
            <w:vAlign w:val="bottom"/>
            <w:gridSpan w:val="5"/>
            <w:shd w:val="clear" w:color="auto" w:fill="CCEEFF"/>
          </w:tcPr>
          <w:p>
            <w:pPr>
              <w:jc w:val="right"/>
              <w:ind w:right="208"/>
              <w:spacing w:after="0"/>
              <w:rPr>
                <w:sz w:val="20"/>
                <w:szCs w:val="20"/>
                <w:color w:val="auto"/>
              </w:rPr>
            </w:pPr>
            <w:r>
              <w:rPr>
                <w:rFonts w:ascii="Arial" w:cs="Arial" w:eastAsia="Arial" w:hAnsi="Arial"/>
                <w:sz w:val="14"/>
                <w:szCs w:val="14"/>
                <w:color w:val="auto"/>
              </w:rPr>
              <w:t>2,117</w:t>
            </w:r>
          </w:p>
        </w:tc>
        <w:tc>
          <w:tcPr>
            <w:tcW w:w="840" w:type="dxa"/>
            <w:vAlign w:val="bottom"/>
            <w:gridSpan w:val="6"/>
            <w:shd w:val="clear" w:color="auto" w:fill="CCEEFF"/>
          </w:tcPr>
          <w:p>
            <w:pPr>
              <w:jc w:val="right"/>
              <w:ind w:right="340"/>
              <w:spacing w:after="0"/>
              <w:rPr>
                <w:sz w:val="20"/>
                <w:szCs w:val="20"/>
                <w:color w:val="auto"/>
              </w:rPr>
            </w:pPr>
            <w:r>
              <w:rPr>
                <w:rFonts w:ascii="Arial" w:cs="Arial" w:eastAsia="Arial" w:hAnsi="Arial"/>
                <w:sz w:val="14"/>
                <w:szCs w:val="14"/>
                <w:color w:val="auto"/>
              </w:rPr>
              <w:t>2,083</w:t>
            </w:r>
          </w:p>
        </w:tc>
        <w:tc>
          <w:tcPr>
            <w:tcW w:w="740" w:type="dxa"/>
            <w:vAlign w:val="bottom"/>
            <w:gridSpan w:val="5"/>
            <w:shd w:val="clear" w:color="auto" w:fill="CCEEFF"/>
          </w:tcPr>
          <w:p>
            <w:pPr>
              <w:jc w:val="right"/>
              <w:ind w:right="228"/>
              <w:spacing w:after="0"/>
              <w:rPr>
                <w:sz w:val="20"/>
                <w:szCs w:val="20"/>
                <w:color w:val="auto"/>
              </w:rPr>
            </w:pPr>
            <w:r>
              <w:rPr>
                <w:rFonts w:ascii="Arial" w:cs="Arial" w:eastAsia="Arial" w:hAnsi="Arial"/>
                <w:sz w:val="14"/>
                <w:szCs w:val="14"/>
                <w:color w:val="auto"/>
              </w:rPr>
              <w:t>2,082</w:t>
            </w:r>
          </w:p>
        </w:tc>
        <w:tc>
          <w:tcPr>
            <w:tcW w:w="820" w:type="dxa"/>
            <w:vAlign w:val="bottom"/>
            <w:gridSpan w:val="6"/>
            <w:shd w:val="clear" w:color="auto" w:fill="CCEEFF"/>
          </w:tcPr>
          <w:p>
            <w:pPr>
              <w:jc w:val="right"/>
              <w:ind w:right="268"/>
              <w:spacing w:after="0"/>
              <w:rPr>
                <w:sz w:val="20"/>
                <w:szCs w:val="20"/>
                <w:color w:val="auto"/>
              </w:rPr>
            </w:pPr>
            <w:r>
              <w:rPr>
                <w:rFonts w:ascii="Arial" w:cs="Arial" w:eastAsia="Arial" w:hAnsi="Arial"/>
                <w:sz w:val="14"/>
                <w:szCs w:val="14"/>
                <w:color w:val="auto"/>
              </w:rPr>
              <w:t>2,060</w:t>
            </w:r>
          </w:p>
        </w:tc>
        <w:tc>
          <w:tcPr>
            <w:tcW w:w="860" w:type="dxa"/>
            <w:vAlign w:val="bottom"/>
            <w:gridSpan w:val="7"/>
            <w:shd w:val="clear" w:color="auto" w:fill="CCEEFF"/>
          </w:tcPr>
          <w:p>
            <w:pPr>
              <w:jc w:val="right"/>
              <w:ind w:right="348"/>
              <w:spacing w:after="0"/>
              <w:rPr>
                <w:sz w:val="20"/>
                <w:szCs w:val="20"/>
                <w:color w:val="auto"/>
              </w:rPr>
            </w:pPr>
            <w:r>
              <w:rPr>
                <w:rFonts w:ascii="Arial" w:cs="Arial" w:eastAsia="Arial" w:hAnsi="Arial"/>
                <w:sz w:val="14"/>
                <w:szCs w:val="14"/>
                <w:color w:val="auto"/>
              </w:rPr>
              <w:t>2,034</w:t>
            </w:r>
          </w:p>
        </w:tc>
        <w:tc>
          <w:tcPr>
            <w:tcW w:w="720" w:type="dxa"/>
            <w:vAlign w:val="bottom"/>
            <w:gridSpan w:val="5"/>
            <w:shd w:val="clear" w:color="auto" w:fill="CCEEFF"/>
          </w:tcPr>
          <w:p>
            <w:pPr>
              <w:jc w:val="right"/>
              <w:ind w:right="288"/>
              <w:spacing w:after="0"/>
              <w:rPr>
                <w:sz w:val="20"/>
                <w:szCs w:val="20"/>
                <w:color w:val="auto"/>
              </w:rPr>
            </w:pPr>
            <w:r>
              <w:rPr>
                <w:rFonts w:ascii="Arial" w:cs="Arial" w:eastAsia="Arial" w:hAnsi="Arial"/>
                <w:sz w:val="14"/>
                <w:szCs w:val="14"/>
                <w:color w:val="auto"/>
                <w:w w:val="96"/>
              </w:rPr>
              <w:t>2,004</w:t>
            </w:r>
          </w:p>
        </w:tc>
        <w:tc>
          <w:tcPr>
            <w:tcW w:w="800" w:type="dxa"/>
            <w:vAlign w:val="bottom"/>
            <w:gridSpan w:val="8"/>
            <w:shd w:val="clear" w:color="auto" w:fill="CCEEFF"/>
          </w:tcPr>
          <w:p>
            <w:pPr>
              <w:jc w:val="right"/>
              <w:ind w:right="288"/>
              <w:spacing w:after="0"/>
              <w:rPr>
                <w:sz w:val="20"/>
                <w:szCs w:val="20"/>
                <w:color w:val="auto"/>
              </w:rPr>
            </w:pPr>
            <w:r>
              <w:rPr>
                <w:rFonts w:ascii="Arial" w:cs="Arial" w:eastAsia="Arial" w:hAnsi="Arial"/>
                <w:sz w:val="14"/>
                <w:szCs w:val="14"/>
                <w:color w:val="auto"/>
              </w:rPr>
              <w:t>1,986</w:t>
            </w:r>
          </w:p>
        </w:tc>
        <w:tc>
          <w:tcPr>
            <w:tcW w:w="780" w:type="dxa"/>
            <w:vAlign w:val="bottom"/>
            <w:gridSpan w:val="7"/>
            <w:shd w:val="clear" w:color="auto" w:fill="CCEEFF"/>
          </w:tcPr>
          <w:p>
            <w:pPr>
              <w:jc w:val="right"/>
              <w:ind w:right="208"/>
              <w:spacing w:after="0"/>
              <w:rPr>
                <w:sz w:val="20"/>
                <w:szCs w:val="20"/>
                <w:color w:val="auto"/>
              </w:rPr>
            </w:pPr>
            <w:r>
              <w:rPr>
                <w:rFonts w:ascii="Arial" w:cs="Arial" w:eastAsia="Arial" w:hAnsi="Arial"/>
                <w:sz w:val="14"/>
                <w:szCs w:val="14"/>
                <w:color w:val="auto"/>
              </w:rPr>
              <w:t>1,974</w:t>
            </w: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80</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223,280</w:t>
            </w:r>
          </w:p>
        </w:tc>
        <w:tc>
          <w:tcPr>
            <w:tcW w:w="0" w:type="dxa"/>
            <w:vAlign w:val="bottom"/>
          </w:tcPr>
          <w:p>
            <w:pPr>
              <w:spacing w:after="0"/>
              <w:rPr>
                <w:sz w:val="1"/>
                <w:szCs w:val="1"/>
                <w:color w:val="auto"/>
              </w:rPr>
            </w:pPr>
          </w:p>
        </w:tc>
      </w:tr>
      <w:tr>
        <w:trPr>
          <w:trHeight w:val="198"/>
        </w:trPr>
        <w:tc>
          <w:tcPr>
            <w:tcW w:w="3440" w:type="dxa"/>
            <w:vAlign w:val="bottom"/>
            <w:gridSpan w:val="23"/>
          </w:tcPr>
          <w:p>
            <w:pPr>
              <w:jc w:val="center"/>
              <w:ind w:right="2488"/>
              <w:spacing w:after="0"/>
              <w:rPr>
                <w:sz w:val="20"/>
                <w:szCs w:val="20"/>
                <w:color w:val="auto"/>
              </w:rPr>
            </w:pPr>
            <w:r>
              <w:rPr>
                <w:rFonts w:ascii="Arial" w:cs="Arial" w:eastAsia="Arial" w:hAnsi="Arial"/>
                <w:sz w:val="14"/>
                <w:szCs w:val="14"/>
                <w:color w:val="auto"/>
              </w:rPr>
              <w:t>2017</w:t>
            </w:r>
          </w:p>
        </w:tc>
        <w:tc>
          <w:tcPr>
            <w:tcW w:w="840" w:type="dxa"/>
            <w:vAlign w:val="bottom"/>
            <w:gridSpan w:val="6"/>
          </w:tcPr>
          <w:p>
            <w:pPr>
              <w:jc w:val="right"/>
              <w:ind w:right="340"/>
              <w:spacing w:after="0"/>
              <w:rPr>
                <w:sz w:val="20"/>
                <w:szCs w:val="20"/>
                <w:color w:val="auto"/>
              </w:rPr>
            </w:pPr>
            <w:r>
              <w:rPr>
                <w:rFonts w:ascii="Arial" w:cs="Arial" w:eastAsia="Arial" w:hAnsi="Arial"/>
                <w:sz w:val="14"/>
                <w:szCs w:val="14"/>
                <w:color w:val="auto"/>
              </w:rPr>
              <w:t>2,375</w:t>
            </w:r>
          </w:p>
        </w:tc>
        <w:tc>
          <w:tcPr>
            <w:tcW w:w="740" w:type="dxa"/>
            <w:vAlign w:val="bottom"/>
            <w:gridSpan w:val="5"/>
          </w:tcPr>
          <w:p>
            <w:pPr>
              <w:jc w:val="right"/>
              <w:ind w:right="228"/>
              <w:spacing w:after="0"/>
              <w:rPr>
                <w:sz w:val="20"/>
                <w:szCs w:val="20"/>
                <w:color w:val="auto"/>
              </w:rPr>
            </w:pPr>
            <w:r>
              <w:rPr>
                <w:rFonts w:ascii="Arial" w:cs="Arial" w:eastAsia="Arial" w:hAnsi="Arial"/>
                <w:sz w:val="14"/>
                <w:szCs w:val="14"/>
                <w:color w:val="auto"/>
              </w:rPr>
              <w:t>2,348</w:t>
            </w:r>
          </w:p>
        </w:tc>
        <w:tc>
          <w:tcPr>
            <w:tcW w:w="820" w:type="dxa"/>
            <w:vAlign w:val="bottom"/>
            <w:gridSpan w:val="6"/>
          </w:tcPr>
          <w:p>
            <w:pPr>
              <w:jc w:val="right"/>
              <w:ind w:right="268"/>
              <w:spacing w:after="0"/>
              <w:rPr>
                <w:sz w:val="20"/>
                <w:szCs w:val="20"/>
                <w:color w:val="auto"/>
              </w:rPr>
            </w:pPr>
            <w:r>
              <w:rPr>
                <w:rFonts w:ascii="Arial" w:cs="Arial" w:eastAsia="Arial" w:hAnsi="Arial"/>
                <w:sz w:val="14"/>
                <w:szCs w:val="14"/>
                <w:color w:val="auto"/>
              </w:rPr>
              <w:t>2,329</w:t>
            </w:r>
          </w:p>
        </w:tc>
        <w:tc>
          <w:tcPr>
            <w:tcW w:w="860" w:type="dxa"/>
            <w:vAlign w:val="bottom"/>
            <w:gridSpan w:val="7"/>
          </w:tcPr>
          <w:p>
            <w:pPr>
              <w:jc w:val="right"/>
              <w:ind w:right="348"/>
              <w:spacing w:after="0"/>
              <w:rPr>
                <w:sz w:val="20"/>
                <w:szCs w:val="20"/>
                <w:color w:val="auto"/>
              </w:rPr>
            </w:pPr>
            <w:r>
              <w:rPr>
                <w:rFonts w:ascii="Arial" w:cs="Arial" w:eastAsia="Arial" w:hAnsi="Arial"/>
                <w:sz w:val="14"/>
                <w:szCs w:val="14"/>
                <w:color w:val="auto"/>
              </w:rPr>
              <w:t>2,301</w:t>
            </w:r>
          </w:p>
        </w:tc>
        <w:tc>
          <w:tcPr>
            <w:tcW w:w="720" w:type="dxa"/>
            <w:vAlign w:val="bottom"/>
            <w:gridSpan w:val="5"/>
          </w:tcPr>
          <w:p>
            <w:pPr>
              <w:jc w:val="right"/>
              <w:ind w:right="288"/>
              <w:spacing w:after="0"/>
              <w:rPr>
                <w:sz w:val="20"/>
                <w:szCs w:val="20"/>
                <w:color w:val="auto"/>
              </w:rPr>
            </w:pPr>
            <w:r>
              <w:rPr>
                <w:rFonts w:ascii="Arial" w:cs="Arial" w:eastAsia="Arial" w:hAnsi="Arial"/>
                <w:sz w:val="14"/>
                <w:szCs w:val="14"/>
                <w:color w:val="auto"/>
                <w:w w:val="96"/>
              </w:rPr>
              <w:t>2,269</w:t>
            </w:r>
          </w:p>
        </w:tc>
        <w:tc>
          <w:tcPr>
            <w:tcW w:w="800" w:type="dxa"/>
            <w:vAlign w:val="bottom"/>
            <w:gridSpan w:val="8"/>
          </w:tcPr>
          <w:p>
            <w:pPr>
              <w:jc w:val="right"/>
              <w:ind w:right="288"/>
              <w:spacing w:after="0"/>
              <w:rPr>
                <w:sz w:val="20"/>
                <w:szCs w:val="20"/>
                <w:color w:val="auto"/>
              </w:rPr>
            </w:pPr>
            <w:r>
              <w:rPr>
                <w:rFonts w:ascii="Arial" w:cs="Arial" w:eastAsia="Arial" w:hAnsi="Arial"/>
                <w:sz w:val="14"/>
                <w:szCs w:val="14"/>
                <w:color w:val="auto"/>
              </w:rPr>
              <w:t>2,256</w:t>
            </w:r>
          </w:p>
        </w:tc>
        <w:tc>
          <w:tcPr>
            <w:tcW w:w="780" w:type="dxa"/>
            <w:vAlign w:val="bottom"/>
            <w:gridSpan w:val="7"/>
          </w:tcPr>
          <w:p>
            <w:pPr>
              <w:jc w:val="right"/>
              <w:ind w:right="208"/>
              <w:spacing w:after="0"/>
              <w:rPr>
                <w:sz w:val="20"/>
                <w:szCs w:val="20"/>
                <w:color w:val="auto"/>
              </w:rPr>
            </w:pPr>
            <w:r>
              <w:rPr>
                <w:rFonts w:ascii="Arial" w:cs="Arial" w:eastAsia="Arial" w:hAnsi="Arial"/>
                <w:sz w:val="14"/>
                <w:szCs w:val="14"/>
                <w:color w:val="auto"/>
              </w:rPr>
              <w:t>2,266</w:t>
            </w:r>
          </w:p>
        </w:tc>
        <w:tc>
          <w:tcPr>
            <w:tcW w:w="1300" w:type="dxa"/>
            <w:vAlign w:val="bottom"/>
            <w:gridSpan w:val="4"/>
          </w:tcPr>
          <w:p>
            <w:pPr>
              <w:jc w:val="right"/>
              <w:ind w:right="160"/>
              <w:spacing w:after="0"/>
              <w:rPr>
                <w:sz w:val="20"/>
                <w:szCs w:val="20"/>
                <w:color w:val="auto"/>
              </w:rPr>
            </w:pPr>
            <w:r>
              <w:rPr>
                <w:rFonts w:ascii="Arial" w:cs="Arial" w:eastAsia="Arial" w:hAnsi="Arial"/>
                <w:sz w:val="14"/>
                <w:szCs w:val="14"/>
                <w:color w:val="auto"/>
              </w:rPr>
              <w:t>134</w:t>
            </w:r>
          </w:p>
        </w:tc>
        <w:tc>
          <w:tcPr>
            <w:tcW w:w="940" w:type="dxa"/>
            <w:vAlign w:val="bottom"/>
          </w:tcPr>
          <w:p>
            <w:pPr>
              <w:jc w:val="right"/>
              <w:spacing w:after="0"/>
              <w:rPr>
                <w:sz w:val="20"/>
                <w:szCs w:val="20"/>
                <w:color w:val="auto"/>
              </w:rPr>
            </w:pPr>
            <w:r>
              <w:rPr>
                <w:rFonts w:ascii="Arial" w:cs="Arial" w:eastAsia="Arial" w:hAnsi="Arial"/>
                <w:sz w:val="14"/>
                <w:szCs w:val="14"/>
                <w:color w:val="auto"/>
              </w:rPr>
              <w:t>247,224</w:t>
            </w:r>
          </w:p>
        </w:tc>
        <w:tc>
          <w:tcPr>
            <w:tcW w:w="0" w:type="dxa"/>
            <w:vAlign w:val="bottom"/>
          </w:tcPr>
          <w:p>
            <w:pPr>
              <w:spacing w:after="0"/>
              <w:rPr>
                <w:sz w:val="1"/>
                <w:szCs w:val="1"/>
                <w:color w:val="auto"/>
              </w:rPr>
            </w:pPr>
          </w:p>
        </w:tc>
      </w:tr>
      <w:tr>
        <w:trPr>
          <w:trHeight w:val="207"/>
        </w:trPr>
        <w:tc>
          <w:tcPr>
            <w:tcW w:w="4280" w:type="dxa"/>
            <w:vAlign w:val="bottom"/>
            <w:gridSpan w:val="29"/>
            <w:shd w:val="clear" w:color="auto" w:fill="CCEEFF"/>
          </w:tcPr>
          <w:p>
            <w:pPr>
              <w:jc w:val="center"/>
              <w:ind w:right="3400"/>
              <w:spacing w:after="0"/>
              <w:rPr>
                <w:sz w:val="20"/>
                <w:szCs w:val="20"/>
                <w:color w:val="auto"/>
              </w:rPr>
            </w:pPr>
            <w:r>
              <w:rPr>
                <w:rFonts w:ascii="Arial" w:cs="Arial" w:eastAsia="Arial" w:hAnsi="Arial"/>
                <w:sz w:val="14"/>
                <w:szCs w:val="14"/>
                <w:color w:val="auto"/>
              </w:rPr>
              <w:t>2018</w:t>
            </w:r>
          </w:p>
        </w:tc>
        <w:tc>
          <w:tcPr>
            <w:tcW w:w="740" w:type="dxa"/>
            <w:vAlign w:val="bottom"/>
            <w:gridSpan w:val="5"/>
            <w:shd w:val="clear" w:color="auto" w:fill="CCEEFF"/>
          </w:tcPr>
          <w:p>
            <w:pPr>
              <w:jc w:val="right"/>
              <w:ind w:right="228"/>
              <w:spacing w:after="0"/>
              <w:rPr>
                <w:sz w:val="20"/>
                <w:szCs w:val="20"/>
                <w:color w:val="auto"/>
              </w:rPr>
            </w:pPr>
            <w:r>
              <w:rPr>
                <w:rFonts w:ascii="Arial" w:cs="Arial" w:eastAsia="Arial" w:hAnsi="Arial"/>
                <w:sz w:val="14"/>
                <w:szCs w:val="14"/>
                <w:color w:val="auto"/>
              </w:rPr>
              <w:t>2,507</w:t>
            </w:r>
          </w:p>
        </w:tc>
        <w:tc>
          <w:tcPr>
            <w:tcW w:w="820" w:type="dxa"/>
            <w:vAlign w:val="bottom"/>
            <w:gridSpan w:val="6"/>
            <w:shd w:val="clear" w:color="auto" w:fill="CCEEFF"/>
          </w:tcPr>
          <w:p>
            <w:pPr>
              <w:jc w:val="right"/>
              <w:ind w:right="268"/>
              <w:spacing w:after="0"/>
              <w:rPr>
                <w:sz w:val="20"/>
                <w:szCs w:val="20"/>
                <w:color w:val="auto"/>
              </w:rPr>
            </w:pPr>
            <w:r>
              <w:rPr>
                <w:rFonts w:ascii="Arial" w:cs="Arial" w:eastAsia="Arial" w:hAnsi="Arial"/>
                <w:sz w:val="14"/>
                <w:szCs w:val="14"/>
                <w:color w:val="auto"/>
              </w:rPr>
              <w:t>2,516</w:t>
            </w:r>
          </w:p>
        </w:tc>
        <w:tc>
          <w:tcPr>
            <w:tcW w:w="860" w:type="dxa"/>
            <w:vAlign w:val="bottom"/>
            <w:gridSpan w:val="7"/>
            <w:shd w:val="clear" w:color="auto" w:fill="CCEEFF"/>
          </w:tcPr>
          <w:p>
            <w:pPr>
              <w:jc w:val="right"/>
              <w:ind w:right="348"/>
              <w:spacing w:after="0"/>
              <w:rPr>
                <w:sz w:val="20"/>
                <w:szCs w:val="20"/>
                <w:color w:val="auto"/>
              </w:rPr>
            </w:pPr>
            <w:r>
              <w:rPr>
                <w:rFonts w:ascii="Arial" w:cs="Arial" w:eastAsia="Arial" w:hAnsi="Arial"/>
                <w:sz w:val="14"/>
                <w:szCs w:val="14"/>
                <w:color w:val="auto"/>
              </w:rPr>
              <w:t>2,499</w:t>
            </w:r>
          </w:p>
        </w:tc>
        <w:tc>
          <w:tcPr>
            <w:tcW w:w="720" w:type="dxa"/>
            <w:vAlign w:val="bottom"/>
            <w:gridSpan w:val="5"/>
            <w:shd w:val="clear" w:color="auto" w:fill="CCEEFF"/>
          </w:tcPr>
          <w:p>
            <w:pPr>
              <w:jc w:val="right"/>
              <w:ind w:right="288"/>
              <w:spacing w:after="0"/>
              <w:rPr>
                <w:sz w:val="20"/>
                <w:szCs w:val="20"/>
                <w:color w:val="auto"/>
              </w:rPr>
            </w:pPr>
            <w:r>
              <w:rPr>
                <w:rFonts w:ascii="Arial" w:cs="Arial" w:eastAsia="Arial" w:hAnsi="Arial"/>
                <w:sz w:val="14"/>
                <w:szCs w:val="14"/>
                <w:color w:val="auto"/>
                <w:w w:val="96"/>
              </w:rPr>
              <w:t>2,439</w:t>
            </w:r>
          </w:p>
        </w:tc>
        <w:tc>
          <w:tcPr>
            <w:tcW w:w="800" w:type="dxa"/>
            <w:vAlign w:val="bottom"/>
            <w:gridSpan w:val="8"/>
            <w:shd w:val="clear" w:color="auto" w:fill="CCEEFF"/>
          </w:tcPr>
          <w:p>
            <w:pPr>
              <w:jc w:val="right"/>
              <w:ind w:right="288"/>
              <w:spacing w:after="0"/>
              <w:rPr>
                <w:sz w:val="20"/>
                <w:szCs w:val="20"/>
                <w:color w:val="auto"/>
              </w:rPr>
            </w:pPr>
            <w:r>
              <w:rPr>
                <w:rFonts w:ascii="Arial" w:cs="Arial" w:eastAsia="Arial" w:hAnsi="Arial"/>
                <w:sz w:val="14"/>
                <w:szCs w:val="14"/>
                <w:color w:val="auto"/>
              </w:rPr>
              <w:t>2,452</w:t>
            </w:r>
          </w:p>
        </w:tc>
        <w:tc>
          <w:tcPr>
            <w:tcW w:w="780" w:type="dxa"/>
            <w:vAlign w:val="bottom"/>
            <w:gridSpan w:val="7"/>
            <w:shd w:val="clear" w:color="auto" w:fill="CCEEFF"/>
          </w:tcPr>
          <w:p>
            <w:pPr>
              <w:jc w:val="right"/>
              <w:ind w:right="208"/>
              <w:spacing w:after="0"/>
              <w:rPr>
                <w:sz w:val="20"/>
                <w:szCs w:val="20"/>
                <w:color w:val="auto"/>
              </w:rPr>
            </w:pPr>
            <w:r>
              <w:rPr>
                <w:rFonts w:ascii="Arial" w:cs="Arial" w:eastAsia="Arial" w:hAnsi="Arial"/>
                <w:sz w:val="14"/>
                <w:szCs w:val="14"/>
                <w:color w:val="auto"/>
              </w:rPr>
              <w:t>2,449</w:t>
            </w: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211</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236,982</w:t>
            </w:r>
          </w:p>
        </w:tc>
        <w:tc>
          <w:tcPr>
            <w:tcW w:w="0" w:type="dxa"/>
            <w:vAlign w:val="bottom"/>
          </w:tcPr>
          <w:p>
            <w:pPr>
              <w:spacing w:after="0"/>
              <w:rPr>
                <w:sz w:val="1"/>
                <w:szCs w:val="1"/>
                <w:color w:val="auto"/>
              </w:rPr>
            </w:pPr>
          </w:p>
        </w:tc>
      </w:tr>
      <w:tr>
        <w:trPr>
          <w:trHeight w:val="198"/>
        </w:trPr>
        <w:tc>
          <w:tcPr>
            <w:tcW w:w="5020" w:type="dxa"/>
            <w:vAlign w:val="bottom"/>
            <w:gridSpan w:val="34"/>
          </w:tcPr>
          <w:p>
            <w:pPr>
              <w:jc w:val="center"/>
              <w:ind w:right="4068"/>
              <w:spacing w:after="0"/>
              <w:rPr>
                <w:sz w:val="20"/>
                <w:szCs w:val="20"/>
                <w:color w:val="auto"/>
              </w:rPr>
            </w:pPr>
            <w:r>
              <w:rPr>
                <w:rFonts w:ascii="Arial" w:cs="Arial" w:eastAsia="Arial" w:hAnsi="Arial"/>
                <w:sz w:val="14"/>
                <w:szCs w:val="14"/>
                <w:color w:val="auto"/>
              </w:rPr>
              <w:t>2019</w:t>
            </w:r>
          </w:p>
        </w:tc>
        <w:tc>
          <w:tcPr>
            <w:tcW w:w="820" w:type="dxa"/>
            <w:vAlign w:val="bottom"/>
            <w:gridSpan w:val="6"/>
          </w:tcPr>
          <w:p>
            <w:pPr>
              <w:jc w:val="right"/>
              <w:ind w:right="268"/>
              <w:spacing w:after="0"/>
              <w:rPr>
                <w:sz w:val="20"/>
                <w:szCs w:val="20"/>
                <w:color w:val="auto"/>
              </w:rPr>
            </w:pPr>
            <w:r>
              <w:rPr>
                <w:rFonts w:ascii="Arial" w:cs="Arial" w:eastAsia="Arial" w:hAnsi="Arial"/>
                <w:sz w:val="14"/>
                <w:szCs w:val="14"/>
                <w:color w:val="auto"/>
              </w:rPr>
              <w:t>2,721</w:t>
            </w:r>
          </w:p>
        </w:tc>
        <w:tc>
          <w:tcPr>
            <w:tcW w:w="860" w:type="dxa"/>
            <w:vAlign w:val="bottom"/>
            <w:gridSpan w:val="7"/>
          </w:tcPr>
          <w:p>
            <w:pPr>
              <w:jc w:val="right"/>
              <w:ind w:right="348"/>
              <w:spacing w:after="0"/>
              <w:rPr>
                <w:sz w:val="20"/>
                <w:szCs w:val="20"/>
                <w:color w:val="auto"/>
              </w:rPr>
            </w:pPr>
            <w:r>
              <w:rPr>
                <w:rFonts w:ascii="Arial" w:cs="Arial" w:eastAsia="Arial" w:hAnsi="Arial"/>
                <w:sz w:val="14"/>
                <w:szCs w:val="14"/>
                <w:color w:val="auto"/>
              </w:rPr>
              <w:t>2,674</w:t>
            </w:r>
          </w:p>
        </w:tc>
        <w:tc>
          <w:tcPr>
            <w:tcW w:w="720" w:type="dxa"/>
            <w:vAlign w:val="bottom"/>
            <w:gridSpan w:val="5"/>
          </w:tcPr>
          <w:p>
            <w:pPr>
              <w:jc w:val="right"/>
              <w:ind w:right="288"/>
              <w:spacing w:after="0"/>
              <w:rPr>
                <w:sz w:val="20"/>
                <w:szCs w:val="20"/>
                <w:color w:val="auto"/>
              </w:rPr>
            </w:pPr>
            <w:r>
              <w:rPr>
                <w:rFonts w:ascii="Arial" w:cs="Arial" w:eastAsia="Arial" w:hAnsi="Arial"/>
                <w:sz w:val="14"/>
                <w:szCs w:val="14"/>
                <w:color w:val="auto"/>
                <w:w w:val="96"/>
              </w:rPr>
              <w:t>2,672</w:t>
            </w:r>
          </w:p>
        </w:tc>
        <w:tc>
          <w:tcPr>
            <w:tcW w:w="800" w:type="dxa"/>
            <w:vAlign w:val="bottom"/>
            <w:gridSpan w:val="8"/>
          </w:tcPr>
          <w:p>
            <w:pPr>
              <w:jc w:val="right"/>
              <w:ind w:right="288"/>
              <w:spacing w:after="0"/>
              <w:rPr>
                <w:sz w:val="20"/>
                <w:szCs w:val="20"/>
                <w:color w:val="auto"/>
              </w:rPr>
            </w:pPr>
            <w:r>
              <w:rPr>
                <w:rFonts w:ascii="Arial" w:cs="Arial" w:eastAsia="Arial" w:hAnsi="Arial"/>
                <w:sz w:val="14"/>
                <w:szCs w:val="14"/>
                <w:color w:val="auto"/>
              </w:rPr>
              <w:t>2,632</w:t>
            </w:r>
          </w:p>
        </w:tc>
        <w:tc>
          <w:tcPr>
            <w:tcW w:w="780" w:type="dxa"/>
            <w:vAlign w:val="bottom"/>
            <w:gridSpan w:val="7"/>
          </w:tcPr>
          <w:p>
            <w:pPr>
              <w:jc w:val="right"/>
              <w:ind w:right="208"/>
              <w:spacing w:after="0"/>
              <w:rPr>
                <w:sz w:val="20"/>
                <w:szCs w:val="20"/>
                <w:color w:val="auto"/>
              </w:rPr>
            </w:pPr>
            <w:r>
              <w:rPr>
                <w:rFonts w:ascii="Arial" w:cs="Arial" w:eastAsia="Arial" w:hAnsi="Arial"/>
                <w:sz w:val="14"/>
                <w:szCs w:val="14"/>
                <w:color w:val="auto"/>
              </w:rPr>
              <w:t>2,642</w:t>
            </w:r>
          </w:p>
        </w:tc>
        <w:tc>
          <w:tcPr>
            <w:tcW w:w="1300" w:type="dxa"/>
            <w:vAlign w:val="bottom"/>
            <w:gridSpan w:val="4"/>
          </w:tcPr>
          <w:p>
            <w:pPr>
              <w:jc w:val="right"/>
              <w:ind w:right="160"/>
              <w:spacing w:after="0"/>
              <w:rPr>
                <w:sz w:val="20"/>
                <w:szCs w:val="20"/>
                <w:color w:val="auto"/>
              </w:rPr>
            </w:pPr>
            <w:r>
              <w:rPr>
                <w:rFonts w:ascii="Arial" w:cs="Arial" w:eastAsia="Arial" w:hAnsi="Arial"/>
                <w:sz w:val="14"/>
                <w:szCs w:val="14"/>
                <w:color w:val="auto"/>
              </w:rPr>
              <w:t>286</w:t>
            </w:r>
          </w:p>
        </w:tc>
        <w:tc>
          <w:tcPr>
            <w:tcW w:w="940" w:type="dxa"/>
            <w:vAlign w:val="bottom"/>
          </w:tcPr>
          <w:p>
            <w:pPr>
              <w:jc w:val="right"/>
              <w:spacing w:after="0"/>
              <w:rPr>
                <w:sz w:val="20"/>
                <w:szCs w:val="20"/>
                <w:color w:val="auto"/>
              </w:rPr>
            </w:pPr>
            <w:r>
              <w:rPr>
                <w:rFonts w:ascii="Arial" w:cs="Arial" w:eastAsia="Arial" w:hAnsi="Arial"/>
                <w:sz w:val="14"/>
                <w:szCs w:val="14"/>
                <w:color w:val="auto"/>
              </w:rPr>
              <w:t>255,871</w:t>
            </w:r>
          </w:p>
        </w:tc>
        <w:tc>
          <w:tcPr>
            <w:tcW w:w="0" w:type="dxa"/>
            <w:vAlign w:val="bottom"/>
          </w:tcPr>
          <w:p>
            <w:pPr>
              <w:spacing w:after="0"/>
              <w:rPr>
                <w:sz w:val="1"/>
                <w:szCs w:val="1"/>
                <w:color w:val="auto"/>
              </w:rPr>
            </w:pPr>
          </w:p>
        </w:tc>
      </w:tr>
      <w:tr>
        <w:trPr>
          <w:trHeight w:val="207"/>
        </w:trPr>
        <w:tc>
          <w:tcPr>
            <w:tcW w:w="5840" w:type="dxa"/>
            <w:vAlign w:val="bottom"/>
            <w:gridSpan w:val="40"/>
            <w:shd w:val="clear" w:color="auto" w:fill="CCEEFF"/>
          </w:tcPr>
          <w:p>
            <w:pPr>
              <w:jc w:val="center"/>
              <w:ind w:right="4888"/>
              <w:spacing w:after="0"/>
              <w:rPr>
                <w:sz w:val="20"/>
                <w:szCs w:val="20"/>
                <w:color w:val="auto"/>
              </w:rPr>
            </w:pPr>
            <w:r>
              <w:rPr>
                <w:rFonts w:ascii="Arial" w:cs="Arial" w:eastAsia="Arial" w:hAnsi="Arial"/>
                <w:sz w:val="14"/>
                <w:szCs w:val="14"/>
                <w:color w:val="auto"/>
              </w:rPr>
              <w:t>2020</w:t>
            </w:r>
          </w:p>
        </w:tc>
        <w:tc>
          <w:tcPr>
            <w:tcW w:w="860" w:type="dxa"/>
            <w:vAlign w:val="bottom"/>
            <w:gridSpan w:val="7"/>
            <w:shd w:val="clear" w:color="auto" w:fill="CCEEFF"/>
          </w:tcPr>
          <w:p>
            <w:pPr>
              <w:jc w:val="right"/>
              <w:ind w:right="348"/>
              <w:spacing w:after="0"/>
              <w:rPr>
                <w:sz w:val="20"/>
                <w:szCs w:val="20"/>
                <w:color w:val="auto"/>
              </w:rPr>
            </w:pPr>
            <w:r>
              <w:rPr>
                <w:rFonts w:ascii="Arial" w:cs="Arial" w:eastAsia="Arial" w:hAnsi="Arial"/>
                <w:sz w:val="14"/>
                <w:szCs w:val="14"/>
                <w:color w:val="auto"/>
              </w:rPr>
              <w:t>2,748</w:t>
            </w:r>
          </w:p>
        </w:tc>
        <w:tc>
          <w:tcPr>
            <w:tcW w:w="720" w:type="dxa"/>
            <w:vAlign w:val="bottom"/>
            <w:gridSpan w:val="5"/>
            <w:shd w:val="clear" w:color="auto" w:fill="CCEEFF"/>
          </w:tcPr>
          <w:p>
            <w:pPr>
              <w:jc w:val="right"/>
              <w:ind w:right="288"/>
              <w:spacing w:after="0"/>
              <w:rPr>
                <w:sz w:val="20"/>
                <w:szCs w:val="20"/>
                <w:color w:val="auto"/>
              </w:rPr>
            </w:pPr>
            <w:r>
              <w:rPr>
                <w:rFonts w:ascii="Arial" w:cs="Arial" w:eastAsia="Arial" w:hAnsi="Arial"/>
                <w:sz w:val="14"/>
                <w:szCs w:val="14"/>
                <w:color w:val="auto"/>
                <w:w w:val="96"/>
              </w:rPr>
              <w:t>2,635</w:t>
            </w:r>
          </w:p>
        </w:tc>
        <w:tc>
          <w:tcPr>
            <w:tcW w:w="800" w:type="dxa"/>
            <w:vAlign w:val="bottom"/>
            <w:gridSpan w:val="8"/>
            <w:shd w:val="clear" w:color="auto" w:fill="CCEEFF"/>
          </w:tcPr>
          <w:p>
            <w:pPr>
              <w:jc w:val="right"/>
              <w:ind w:right="288"/>
              <w:spacing w:after="0"/>
              <w:rPr>
                <w:sz w:val="20"/>
                <w:szCs w:val="20"/>
                <w:color w:val="auto"/>
              </w:rPr>
            </w:pPr>
            <w:r>
              <w:rPr>
                <w:rFonts w:ascii="Arial" w:cs="Arial" w:eastAsia="Arial" w:hAnsi="Arial"/>
                <w:sz w:val="14"/>
                <w:szCs w:val="14"/>
                <w:color w:val="auto"/>
              </w:rPr>
              <w:t>2,546</w:t>
            </w:r>
          </w:p>
        </w:tc>
        <w:tc>
          <w:tcPr>
            <w:tcW w:w="780" w:type="dxa"/>
            <w:vAlign w:val="bottom"/>
            <w:gridSpan w:val="7"/>
            <w:shd w:val="clear" w:color="auto" w:fill="CCEEFF"/>
          </w:tcPr>
          <w:p>
            <w:pPr>
              <w:jc w:val="right"/>
              <w:ind w:right="208"/>
              <w:spacing w:after="0"/>
              <w:rPr>
                <w:sz w:val="20"/>
                <w:szCs w:val="20"/>
                <w:color w:val="auto"/>
              </w:rPr>
            </w:pPr>
            <w:r>
              <w:rPr>
                <w:rFonts w:ascii="Arial" w:cs="Arial" w:eastAsia="Arial" w:hAnsi="Arial"/>
                <w:sz w:val="14"/>
                <w:szCs w:val="14"/>
                <w:color w:val="auto"/>
              </w:rPr>
              <w:t>2,500</w:t>
            </w: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406</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205,973</w:t>
            </w:r>
          </w:p>
        </w:tc>
        <w:tc>
          <w:tcPr>
            <w:tcW w:w="0" w:type="dxa"/>
            <w:vAlign w:val="bottom"/>
          </w:tcPr>
          <w:p>
            <w:pPr>
              <w:spacing w:after="0"/>
              <w:rPr>
                <w:sz w:val="1"/>
                <w:szCs w:val="1"/>
                <w:color w:val="auto"/>
              </w:rPr>
            </w:pPr>
          </w:p>
        </w:tc>
      </w:tr>
      <w:tr>
        <w:trPr>
          <w:trHeight w:val="198"/>
        </w:trPr>
        <w:tc>
          <w:tcPr>
            <w:tcW w:w="6700" w:type="dxa"/>
            <w:vAlign w:val="bottom"/>
            <w:gridSpan w:val="47"/>
          </w:tcPr>
          <w:p>
            <w:pPr>
              <w:jc w:val="center"/>
              <w:ind w:right="5748"/>
              <w:spacing w:after="0"/>
              <w:rPr>
                <w:sz w:val="20"/>
                <w:szCs w:val="20"/>
                <w:color w:val="auto"/>
              </w:rPr>
            </w:pPr>
            <w:r>
              <w:rPr>
                <w:rFonts w:ascii="Arial" w:cs="Arial" w:eastAsia="Arial" w:hAnsi="Arial"/>
                <w:sz w:val="14"/>
                <w:szCs w:val="14"/>
                <w:color w:val="auto"/>
              </w:rPr>
              <w:t>2021</w:t>
            </w:r>
          </w:p>
        </w:tc>
        <w:tc>
          <w:tcPr>
            <w:tcW w:w="720" w:type="dxa"/>
            <w:vAlign w:val="bottom"/>
            <w:gridSpan w:val="5"/>
          </w:tcPr>
          <w:p>
            <w:pPr>
              <w:jc w:val="right"/>
              <w:ind w:right="288"/>
              <w:spacing w:after="0"/>
              <w:rPr>
                <w:sz w:val="20"/>
                <w:szCs w:val="20"/>
                <w:color w:val="auto"/>
              </w:rPr>
            </w:pPr>
            <w:r>
              <w:rPr>
                <w:rFonts w:ascii="Arial" w:cs="Arial" w:eastAsia="Arial" w:hAnsi="Arial"/>
                <w:sz w:val="14"/>
                <w:szCs w:val="14"/>
                <w:color w:val="auto"/>
                <w:w w:val="96"/>
              </w:rPr>
              <w:t>2,861</w:t>
            </w:r>
          </w:p>
        </w:tc>
        <w:tc>
          <w:tcPr>
            <w:tcW w:w="800" w:type="dxa"/>
            <w:vAlign w:val="bottom"/>
            <w:gridSpan w:val="8"/>
          </w:tcPr>
          <w:p>
            <w:pPr>
              <w:jc w:val="right"/>
              <w:ind w:right="288"/>
              <w:spacing w:after="0"/>
              <w:rPr>
                <w:sz w:val="20"/>
                <w:szCs w:val="20"/>
                <w:color w:val="auto"/>
              </w:rPr>
            </w:pPr>
            <w:r>
              <w:rPr>
                <w:rFonts w:ascii="Arial" w:cs="Arial" w:eastAsia="Arial" w:hAnsi="Arial"/>
                <w:sz w:val="14"/>
                <w:szCs w:val="14"/>
                <w:color w:val="auto"/>
              </w:rPr>
              <w:t>2,754</w:t>
            </w:r>
          </w:p>
        </w:tc>
        <w:tc>
          <w:tcPr>
            <w:tcW w:w="780" w:type="dxa"/>
            <w:vAlign w:val="bottom"/>
            <w:gridSpan w:val="7"/>
          </w:tcPr>
          <w:p>
            <w:pPr>
              <w:jc w:val="right"/>
              <w:ind w:right="208"/>
              <w:spacing w:after="0"/>
              <w:rPr>
                <w:sz w:val="20"/>
                <w:szCs w:val="20"/>
                <w:color w:val="auto"/>
              </w:rPr>
            </w:pPr>
            <w:r>
              <w:rPr>
                <w:rFonts w:ascii="Arial" w:cs="Arial" w:eastAsia="Arial" w:hAnsi="Arial"/>
                <w:sz w:val="14"/>
                <w:szCs w:val="14"/>
                <w:color w:val="auto"/>
              </w:rPr>
              <w:t>2,689</w:t>
            </w:r>
          </w:p>
        </w:tc>
        <w:tc>
          <w:tcPr>
            <w:tcW w:w="1300" w:type="dxa"/>
            <w:vAlign w:val="bottom"/>
            <w:gridSpan w:val="4"/>
          </w:tcPr>
          <w:p>
            <w:pPr>
              <w:jc w:val="right"/>
              <w:ind w:right="160"/>
              <w:spacing w:after="0"/>
              <w:rPr>
                <w:sz w:val="20"/>
                <w:szCs w:val="20"/>
                <w:color w:val="auto"/>
              </w:rPr>
            </w:pPr>
            <w:r>
              <w:rPr>
                <w:rFonts w:ascii="Arial" w:cs="Arial" w:eastAsia="Arial" w:hAnsi="Arial"/>
                <w:sz w:val="14"/>
                <w:szCs w:val="14"/>
                <w:color w:val="auto"/>
              </w:rPr>
              <w:t>660</w:t>
            </w:r>
          </w:p>
        </w:tc>
        <w:tc>
          <w:tcPr>
            <w:tcW w:w="940" w:type="dxa"/>
            <w:vAlign w:val="bottom"/>
          </w:tcPr>
          <w:p>
            <w:pPr>
              <w:jc w:val="right"/>
              <w:spacing w:after="0"/>
              <w:rPr>
                <w:sz w:val="20"/>
                <w:szCs w:val="20"/>
                <w:color w:val="auto"/>
              </w:rPr>
            </w:pPr>
            <w:r>
              <w:rPr>
                <w:rFonts w:ascii="Arial" w:cs="Arial" w:eastAsia="Arial" w:hAnsi="Arial"/>
                <w:sz w:val="14"/>
                <w:szCs w:val="14"/>
                <w:color w:val="auto"/>
              </w:rPr>
              <w:t>206,733</w:t>
            </w:r>
          </w:p>
        </w:tc>
        <w:tc>
          <w:tcPr>
            <w:tcW w:w="0" w:type="dxa"/>
            <w:vAlign w:val="bottom"/>
          </w:tcPr>
          <w:p>
            <w:pPr>
              <w:spacing w:after="0"/>
              <w:rPr>
                <w:sz w:val="1"/>
                <w:szCs w:val="1"/>
                <w:color w:val="auto"/>
              </w:rPr>
            </w:pPr>
          </w:p>
        </w:tc>
      </w:tr>
      <w:tr>
        <w:trPr>
          <w:trHeight w:val="207"/>
        </w:trPr>
        <w:tc>
          <w:tcPr>
            <w:tcW w:w="7420" w:type="dxa"/>
            <w:vAlign w:val="bottom"/>
            <w:gridSpan w:val="52"/>
            <w:shd w:val="clear" w:color="auto" w:fill="CCEEFF"/>
          </w:tcPr>
          <w:p>
            <w:pPr>
              <w:jc w:val="center"/>
              <w:ind w:right="6468"/>
              <w:spacing w:after="0"/>
              <w:rPr>
                <w:sz w:val="20"/>
                <w:szCs w:val="20"/>
                <w:color w:val="auto"/>
              </w:rPr>
            </w:pPr>
            <w:r>
              <w:rPr>
                <w:rFonts w:ascii="Arial" w:cs="Arial" w:eastAsia="Arial" w:hAnsi="Arial"/>
                <w:sz w:val="14"/>
                <w:szCs w:val="14"/>
                <w:color w:val="auto"/>
              </w:rPr>
              <w:t>2022</w:t>
            </w:r>
          </w:p>
        </w:tc>
        <w:tc>
          <w:tcPr>
            <w:tcW w:w="800" w:type="dxa"/>
            <w:vAlign w:val="bottom"/>
            <w:gridSpan w:val="8"/>
            <w:shd w:val="clear" w:color="auto" w:fill="CCEEFF"/>
          </w:tcPr>
          <w:p>
            <w:pPr>
              <w:jc w:val="right"/>
              <w:ind w:right="288"/>
              <w:spacing w:after="0"/>
              <w:rPr>
                <w:sz w:val="20"/>
                <w:szCs w:val="20"/>
                <w:color w:val="auto"/>
              </w:rPr>
            </w:pPr>
            <w:r>
              <w:rPr>
                <w:rFonts w:ascii="Arial" w:cs="Arial" w:eastAsia="Arial" w:hAnsi="Arial"/>
                <w:sz w:val="14"/>
                <w:szCs w:val="14"/>
                <w:color w:val="auto"/>
              </w:rPr>
              <w:t>3,270</w:t>
            </w:r>
          </w:p>
        </w:tc>
        <w:tc>
          <w:tcPr>
            <w:tcW w:w="780" w:type="dxa"/>
            <w:vAlign w:val="bottom"/>
            <w:gridSpan w:val="7"/>
            <w:shd w:val="clear" w:color="auto" w:fill="CCEEFF"/>
          </w:tcPr>
          <w:p>
            <w:pPr>
              <w:jc w:val="right"/>
              <w:ind w:right="208"/>
              <w:spacing w:after="0"/>
              <w:rPr>
                <w:sz w:val="20"/>
                <w:szCs w:val="20"/>
                <w:color w:val="auto"/>
              </w:rPr>
            </w:pPr>
            <w:r>
              <w:rPr>
                <w:rFonts w:ascii="Arial" w:cs="Arial" w:eastAsia="Arial" w:hAnsi="Arial"/>
                <w:sz w:val="14"/>
                <w:szCs w:val="14"/>
                <w:color w:val="auto"/>
              </w:rPr>
              <w:t>3,205</w:t>
            </w:r>
          </w:p>
        </w:tc>
        <w:tc>
          <w:tcPr>
            <w:tcW w:w="130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1,000</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216,920</w:t>
            </w:r>
          </w:p>
        </w:tc>
        <w:tc>
          <w:tcPr>
            <w:tcW w:w="0" w:type="dxa"/>
            <w:vAlign w:val="bottom"/>
          </w:tcPr>
          <w:p>
            <w:pPr>
              <w:spacing w:after="0"/>
              <w:rPr>
                <w:sz w:val="1"/>
                <w:szCs w:val="1"/>
                <w:color w:val="auto"/>
              </w:rPr>
            </w:pPr>
          </w:p>
        </w:tc>
      </w:tr>
      <w:tr>
        <w:trPr>
          <w:trHeight w:val="198"/>
        </w:trPr>
        <w:tc>
          <w:tcPr>
            <w:tcW w:w="8020" w:type="dxa"/>
            <w:vAlign w:val="bottom"/>
            <w:tcBorders>
              <w:bottom w:val="single" w:sz="8" w:color="CCEEFF"/>
            </w:tcBorders>
            <w:gridSpan w:val="58"/>
          </w:tcPr>
          <w:p>
            <w:pPr>
              <w:jc w:val="center"/>
              <w:ind w:right="7140"/>
              <w:spacing w:after="0"/>
              <w:rPr>
                <w:sz w:val="20"/>
                <w:szCs w:val="20"/>
                <w:color w:val="auto"/>
              </w:rPr>
            </w:pPr>
            <w:r>
              <w:rPr>
                <w:rFonts w:ascii="Arial" w:cs="Arial" w:eastAsia="Arial" w:hAnsi="Arial"/>
                <w:sz w:val="14"/>
                <w:szCs w:val="14"/>
                <w:color w:val="auto"/>
              </w:rPr>
              <w:t>2023</w:t>
            </w:r>
          </w:p>
        </w:tc>
        <w:tc>
          <w:tcPr>
            <w:tcW w:w="760" w:type="dxa"/>
            <w:vAlign w:val="bottom"/>
            <w:tcBorders>
              <w:bottom w:val="single" w:sz="8" w:color="auto"/>
            </w:tcBorders>
            <w:gridSpan w:val="5"/>
          </w:tcPr>
          <w:p>
            <w:pPr>
              <w:jc w:val="right"/>
              <w:ind w:right="688"/>
              <w:spacing w:after="0"/>
              <w:rPr>
                <w:sz w:val="20"/>
                <w:szCs w:val="20"/>
                <w:color w:val="auto"/>
              </w:rPr>
            </w:pPr>
            <w:r>
              <w:rPr>
                <w:rFonts w:ascii="Arial" w:cs="Arial" w:eastAsia="Arial" w:hAnsi="Arial"/>
                <w:sz w:val="14"/>
                <w:szCs w:val="14"/>
                <w:color w:val="auto"/>
              </w:rPr>
              <w:t>3,631</w:t>
            </w:r>
          </w:p>
        </w:tc>
        <w:tc>
          <w:tcPr>
            <w:tcW w:w="1520" w:type="dxa"/>
            <w:vAlign w:val="bottom"/>
            <w:tcBorders>
              <w:bottom w:val="single" w:sz="8" w:color="CCEEFF"/>
            </w:tcBorders>
            <w:gridSpan w:val="8"/>
          </w:tcPr>
          <w:p>
            <w:pPr>
              <w:jc w:val="right"/>
              <w:ind w:right="1520"/>
              <w:spacing w:after="0"/>
              <w:rPr>
                <w:sz w:val="20"/>
                <w:szCs w:val="20"/>
                <w:color w:val="auto"/>
              </w:rPr>
            </w:pPr>
            <w:r>
              <w:rPr>
                <w:rFonts w:ascii="Arial" w:cs="Arial" w:eastAsia="Arial" w:hAnsi="Arial"/>
                <w:sz w:val="14"/>
                <w:szCs w:val="14"/>
                <w:color w:val="auto"/>
              </w:rPr>
              <w:t>1,731</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201,558</w:t>
            </w:r>
          </w:p>
        </w:tc>
        <w:tc>
          <w:tcPr>
            <w:tcW w:w="0" w:type="dxa"/>
            <w:vAlign w:val="bottom"/>
          </w:tcPr>
          <w:p>
            <w:pPr>
              <w:spacing w:after="0"/>
              <w:rPr>
                <w:sz w:val="1"/>
                <w:szCs w:val="1"/>
                <w:color w:val="auto"/>
              </w:rPr>
            </w:pPr>
          </w:p>
        </w:tc>
      </w:tr>
      <w:tr>
        <w:trPr>
          <w:trHeight w:val="200"/>
        </w:trPr>
        <w:tc>
          <w:tcPr>
            <w:tcW w:w="7920" w:type="dxa"/>
            <w:vAlign w:val="bottom"/>
            <w:gridSpan w:val="56"/>
            <w:shd w:val="clear" w:color="auto" w:fill="CCEEFF"/>
          </w:tcPr>
          <w:p>
            <w:pPr>
              <w:spacing w:after="0"/>
              <w:rPr>
                <w:sz w:val="20"/>
                <w:szCs w:val="20"/>
                <w:color w:val="auto"/>
              </w:rPr>
            </w:pPr>
            <w:r>
              <w:rPr>
                <w:rFonts w:ascii="Arial" w:cs="Arial" w:eastAsia="Arial" w:hAnsi="Arial"/>
                <w:sz w:val="14"/>
                <w:szCs w:val="14"/>
                <w:color w:val="auto"/>
              </w:rPr>
              <w:t>Total</w:t>
            </w:r>
          </w:p>
        </w:tc>
        <w:tc>
          <w:tcPr>
            <w:tcW w:w="300" w:type="dxa"/>
            <w:vAlign w:val="bottom"/>
            <w:gridSpan w:val="4"/>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20" w:type="dxa"/>
            <w:vAlign w:val="bottom"/>
            <w:gridSpan w:val="12"/>
            <w:shd w:val="clear" w:color="auto" w:fill="CCEEFF"/>
          </w:tcPr>
          <w:p>
            <w:pPr>
              <w:jc w:val="right"/>
              <w:ind w:right="2450"/>
              <w:spacing w:after="0"/>
              <w:rPr>
                <w:sz w:val="20"/>
                <w:szCs w:val="20"/>
                <w:color w:val="auto"/>
              </w:rPr>
            </w:pPr>
            <w:r>
              <w:rPr>
                <w:rFonts w:ascii="Arial" w:cs="Arial" w:eastAsia="Arial" w:hAnsi="Arial"/>
                <w:sz w:val="14"/>
                <w:szCs w:val="14"/>
                <w:color w:val="auto"/>
              </w:rPr>
              <w:t>25,304</w:t>
            </w:r>
          </w:p>
        </w:tc>
        <w:tc>
          <w:tcPr>
            <w:tcW w:w="0" w:type="dxa"/>
            <w:vAlign w:val="bottom"/>
          </w:tcPr>
          <w:p>
            <w:pPr>
              <w:spacing w:after="0"/>
              <w:rPr>
                <w:sz w:val="1"/>
                <w:szCs w:val="1"/>
                <w:color w:val="auto"/>
              </w:rPr>
            </w:pPr>
          </w:p>
        </w:tc>
      </w:tr>
      <w:tr>
        <w:trPr>
          <w:trHeight w:val="316"/>
        </w:trPr>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60" w:type="dxa"/>
            <w:vAlign w:val="bottom"/>
            <w:gridSpan w:val="31"/>
          </w:tcPr>
          <w:p>
            <w:pPr>
              <w:jc w:val="center"/>
              <w:spacing w:after="0"/>
              <w:rPr>
                <w:sz w:val="20"/>
                <w:szCs w:val="20"/>
                <w:color w:val="auto"/>
              </w:rPr>
            </w:pPr>
            <w:r>
              <w:rPr>
                <w:rFonts w:ascii="Arial" w:cs="Arial" w:eastAsia="Arial" w:hAnsi="Arial"/>
                <w:sz w:val="14"/>
                <w:szCs w:val="14"/>
                <w:color w:val="auto"/>
              </w:rPr>
              <w:t>Cumulative Paid Claims and Allocated LAE, Net of Reinsurance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980" w:type="dxa"/>
            <w:vAlign w:val="bottom"/>
            <w:gridSpan w:val="4"/>
          </w:tcPr>
          <w:p>
            <w:pPr>
              <w:jc w:val="center"/>
              <w:ind w:right="80"/>
              <w:spacing w:after="0"/>
              <w:rPr>
                <w:sz w:val="20"/>
                <w:szCs w:val="20"/>
                <w:color w:val="auto"/>
              </w:rPr>
            </w:pPr>
            <w:r>
              <w:rPr>
                <w:rFonts w:ascii="Arial" w:cs="Arial" w:eastAsia="Arial" w:hAnsi="Arial"/>
                <w:sz w:val="14"/>
                <w:szCs w:val="14"/>
                <w:color w:val="auto"/>
              </w:rPr>
              <w:t>Accident</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980" w:type="dxa"/>
            <w:vAlign w:val="bottom"/>
            <w:tcBorders>
              <w:bottom w:val="single" w:sz="8" w:color="auto"/>
            </w:tcBorders>
            <w:gridSpan w:val="43"/>
          </w:tcPr>
          <w:p>
            <w:pPr>
              <w:jc w:val="center"/>
              <w:spacing w:after="0"/>
              <w:rPr>
                <w:sz w:val="20"/>
                <w:szCs w:val="20"/>
                <w:color w:val="auto"/>
              </w:rPr>
            </w:pPr>
            <w:r>
              <w:rPr>
                <w:rFonts w:ascii="Arial" w:cs="Arial" w:eastAsia="Arial" w:hAnsi="Arial"/>
                <w:sz w:val="14"/>
                <w:szCs w:val="14"/>
                <w:color w:val="auto"/>
              </w:rPr>
              <w:t>For the Years Ended (2014–2022 is Supplementary Information and Unaudited)</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Year</w:t>
            </w:r>
          </w:p>
        </w:tc>
        <w:tc>
          <w:tcPr>
            <w:tcW w:w="100" w:type="dxa"/>
            <w:vAlign w:val="bottom"/>
            <w:tcBorders>
              <w:bottom w:val="single" w:sz="8" w:color="CCEEFF"/>
            </w:tcBorders>
            <w:gridSpan w:val="3"/>
          </w:tcPr>
          <w:p>
            <w:pPr>
              <w:spacing w:after="0"/>
              <w:rPr>
                <w:sz w:val="17"/>
                <w:szCs w:val="17"/>
                <w:color w:val="auto"/>
              </w:rPr>
            </w:pPr>
          </w:p>
        </w:tc>
        <w:tc>
          <w:tcPr>
            <w:tcW w:w="660" w:type="dxa"/>
            <w:vAlign w:val="bottom"/>
            <w:tcBorders>
              <w:bottom w:val="single" w:sz="8" w:color="auto"/>
            </w:tcBorders>
            <w:gridSpan w:val="2"/>
          </w:tcPr>
          <w:p>
            <w:pPr>
              <w:jc w:val="right"/>
              <w:ind w:right="588"/>
              <w:spacing w:after="0"/>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gridSpan w:val="3"/>
          </w:tcPr>
          <w:p>
            <w:pPr>
              <w:spacing w:after="0"/>
              <w:rPr>
                <w:sz w:val="17"/>
                <w:szCs w:val="17"/>
                <w:color w:val="auto"/>
              </w:rPr>
            </w:pPr>
          </w:p>
        </w:tc>
        <w:tc>
          <w:tcPr>
            <w:tcW w:w="70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color w:val="auto"/>
              </w:rPr>
              <w:t>2015</w:t>
            </w:r>
          </w:p>
        </w:tc>
        <w:tc>
          <w:tcPr>
            <w:tcW w:w="80" w:type="dxa"/>
            <w:vAlign w:val="bottom"/>
            <w:tcBorders>
              <w:bottom w:val="single" w:sz="8" w:color="CCEEFF"/>
            </w:tcBorders>
            <w:gridSpan w:val="2"/>
          </w:tcPr>
          <w:p>
            <w:pPr>
              <w:spacing w:after="0"/>
              <w:rPr>
                <w:sz w:val="17"/>
                <w:szCs w:val="17"/>
                <w:color w:val="auto"/>
              </w:rPr>
            </w:pPr>
          </w:p>
        </w:tc>
        <w:tc>
          <w:tcPr>
            <w:tcW w:w="70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color w:val="auto"/>
              </w:rPr>
              <w:t>2016</w:t>
            </w:r>
          </w:p>
        </w:tc>
        <w:tc>
          <w:tcPr>
            <w:tcW w:w="8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gridSpan w:val="2"/>
          </w:tcPr>
          <w:p>
            <w:pPr>
              <w:spacing w:after="0"/>
              <w:rPr>
                <w:sz w:val="17"/>
                <w:szCs w:val="17"/>
                <w:color w:val="auto"/>
              </w:rPr>
            </w:pPr>
          </w:p>
        </w:tc>
        <w:tc>
          <w:tcPr>
            <w:tcW w:w="68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gridSpan w:val="2"/>
          </w:tcPr>
          <w:p>
            <w:pPr>
              <w:spacing w:after="0"/>
              <w:rPr>
                <w:sz w:val="17"/>
                <w:szCs w:val="17"/>
                <w:color w:val="auto"/>
              </w:rPr>
            </w:pPr>
          </w:p>
        </w:tc>
        <w:tc>
          <w:tcPr>
            <w:tcW w:w="68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gridSpan w:val="2"/>
          </w:tcPr>
          <w:p>
            <w:pPr>
              <w:spacing w:after="0"/>
              <w:rPr>
                <w:sz w:val="17"/>
                <w:szCs w:val="17"/>
                <w:color w:val="auto"/>
              </w:rPr>
            </w:pPr>
          </w:p>
        </w:tc>
        <w:tc>
          <w:tcPr>
            <w:tcW w:w="680" w:type="dxa"/>
            <w:vAlign w:val="bottom"/>
            <w:tcBorders>
              <w:bottom w:val="single" w:sz="8" w:color="auto"/>
            </w:tcBorders>
            <w:gridSpan w:val="5"/>
          </w:tcPr>
          <w:p>
            <w:pPr>
              <w:jc w:val="right"/>
              <w:ind w:right="608"/>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gridSpan w:val="2"/>
          </w:tcPr>
          <w:p>
            <w:pPr>
              <w:spacing w:after="0"/>
              <w:rPr>
                <w:sz w:val="17"/>
                <w:szCs w:val="17"/>
                <w:color w:val="auto"/>
              </w:rPr>
            </w:pPr>
          </w:p>
        </w:tc>
        <w:tc>
          <w:tcPr>
            <w:tcW w:w="68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CCEEFF"/>
            </w:tcBorders>
            <w:gridSpan w:val="2"/>
          </w:tcPr>
          <w:p>
            <w:pPr>
              <w:spacing w:after="0"/>
              <w:rPr>
                <w:sz w:val="17"/>
                <w:szCs w:val="17"/>
                <w:color w:val="auto"/>
              </w:rPr>
            </w:pPr>
          </w:p>
        </w:tc>
        <w:tc>
          <w:tcPr>
            <w:tcW w:w="680" w:type="dxa"/>
            <w:vAlign w:val="bottom"/>
            <w:tcBorders>
              <w:bottom w:val="single" w:sz="8" w:color="auto"/>
            </w:tcBorders>
            <w:gridSpan w:val="6"/>
          </w:tcPr>
          <w:p>
            <w:pPr>
              <w:jc w:val="right"/>
              <w:ind w:right="608"/>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gridSpan w:val="2"/>
          </w:tcPr>
          <w:p>
            <w:pPr>
              <w:spacing w:after="0"/>
              <w:rPr>
                <w:sz w:val="17"/>
                <w:szCs w:val="17"/>
                <w:color w:val="auto"/>
              </w:rPr>
            </w:pPr>
          </w:p>
        </w:tc>
        <w:tc>
          <w:tcPr>
            <w:tcW w:w="760" w:type="dxa"/>
            <w:vAlign w:val="bottom"/>
            <w:tcBorders>
              <w:bottom w:val="single" w:sz="8" w:color="auto"/>
            </w:tcBorders>
            <w:gridSpan w:val="5"/>
          </w:tcPr>
          <w:p>
            <w:pPr>
              <w:jc w:val="right"/>
              <w:ind w:right="689"/>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gridSpan w:val="2"/>
          </w:tcPr>
          <w:p>
            <w:pPr>
              <w:spacing w:after="0"/>
              <w:rPr>
                <w:sz w:val="17"/>
                <w:szCs w:val="17"/>
                <w:color w:val="auto"/>
              </w:rPr>
            </w:pPr>
          </w:p>
        </w:tc>
        <w:tc>
          <w:tcPr>
            <w:tcW w:w="1380" w:type="dxa"/>
            <w:vAlign w:val="bottom"/>
            <w:tcBorders>
              <w:bottom w:val="single" w:sz="8" w:color="auto"/>
            </w:tcBorders>
            <w:gridSpan w:val="4"/>
          </w:tcPr>
          <w:p>
            <w:pPr>
              <w:spacing w:after="0"/>
              <w:rPr>
                <w:sz w:val="20"/>
                <w:szCs w:val="20"/>
                <w:color w:val="auto"/>
              </w:rPr>
            </w:pPr>
            <w:r>
              <w:rPr>
                <w:rFonts w:ascii="Arial" w:cs="Arial" w:eastAsia="Arial" w:hAnsi="Arial"/>
                <w:sz w:val="14"/>
                <w:szCs w:val="14"/>
                <w:color w:val="auto"/>
              </w:rPr>
              <w:t>% (a)</w:t>
            </w:r>
          </w:p>
        </w:tc>
        <w:tc>
          <w:tcPr>
            <w:tcW w:w="960" w:type="dxa"/>
            <w:vAlign w:val="bottom"/>
            <w:tcBorders>
              <w:bottom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2014</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1,174</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1,773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1,812</w:t>
            </w:r>
          </w:p>
        </w:tc>
        <w:tc>
          <w:tcPr>
            <w:tcW w:w="400" w:type="dxa"/>
            <w:vAlign w:val="bottom"/>
            <w:gridSpan w:val="4"/>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1,847</w:t>
            </w:r>
          </w:p>
        </w:tc>
        <w:tc>
          <w:tcPr>
            <w:tcW w:w="28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1,870</w:t>
            </w:r>
          </w:p>
        </w:tc>
        <w:tc>
          <w:tcPr>
            <w:tcW w:w="40" w:type="dxa"/>
            <w:vAlign w:val="bottom"/>
            <w:shd w:val="clear" w:color="auto" w:fill="CCEEFF"/>
          </w:tcPr>
          <w:p>
            <w:pPr>
              <w:spacing w:after="0"/>
              <w:rPr>
                <w:sz w:val="17"/>
                <w:szCs w:val="17"/>
                <w:color w:val="auto"/>
              </w:rPr>
            </w:pPr>
          </w:p>
        </w:tc>
        <w:tc>
          <w:tcPr>
            <w:tcW w:w="300" w:type="dxa"/>
            <w:vAlign w:val="bottom"/>
            <w:gridSpan w:val="4"/>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1,893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96.7 %</w:t>
            </w: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900" w:type="dxa"/>
            <w:vAlign w:val="bottom"/>
            <w:gridSpan w:val="12"/>
          </w:tcPr>
          <w:p>
            <w:pPr>
              <w:jc w:val="center"/>
              <w:ind w:right="980"/>
              <w:spacing w:after="0"/>
              <w:rPr>
                <w:sz w:val="20"/>
                <w:szCs w:val="20"/>
                <w:color w:val="auto"/>
              </w:rPr>
            </w:pPr>
            <w:r>
              <w:rPr>
                <w:rFonts w:ascii="Arial" w:cs="Arial" w:eastAsia="Arial" w:hAnsi="Arial"/>
                <w:sz w:val="14"/>
                <w:szCs w:val="14"/>
                <w:color w:val="auto"/>
              </w:rPr>
              <w:t>2015</w:t>
            </w:r>
          </w:p>
        </w:tc>
        <w:tc>
          <w:tcPr>
            <w:tcW w:w="780" w:type="dxa"/>
            <w:vAlign w:val="bottom"/>
            <w:gridSpan w:val="6"/>
          </w:tcPr>
          <w:p>
            <w:pPr>
              <w:jc w:val="right"/>
              <w:ind w:right="300"/>
              <w:spacing w:after="0"/>
              <w:rPr>
                <w:sz w:val="20"/>
                <w:szCs w:val="20"/>
                <w:color w:val="auto"/>
              </w:rPr>
            </w:pPr>
            <w:r>
              <w:rPr>
                <w:rFonts w:ascii="Arial" w:cs="Arial" w:eastAsia="Arial" w:hAnsi="Arial"/>
                <w:sz w:val="14"/>
                <w:szCs w:val="14"/>
                <w:color w:val="auto"/>
              </w:rPr>
              <w:t>619</w:t>
            </w:r>
          </w:p>
        </w:tc>
        <w:tc>
          <w:tcPr>
            <w:tcW w:w="760" w:type="dxa"/>
            <w:vAlign w:val="bottom"/>
            <w:gridSpan w:val="5"/>
          </w:tcPr>
          <w:p>
            <w:pPr>
              <w:jc w:val="right"/>
              <w:ind w:right="208"/>
              <w:spacing w:after="0"/>
              <w:rPr>
                <w:sz w:val="20"/>
                <w:szCs w:val="20"/>
                <w:color w:val="auto"/>
              </w:rPr>
            </w:pPr>
            <w:r>
              <w:rPr>
                <w:rFonts w:ascii="Arial" w:cs="Arial" w:eastAsia="Arial" w:hAnsi="Arial"/>
                <w:sz w:val="14"/>
                <w:szCs w:val="14"/>
                <w:color w:val="auto"/>
              </w:rPr>
              <w:t>1,129</w:t>
            </w:r>
          </w:p>
        </w:tc>
        <w:tc>
          <w:tcPr>
            <w:tcW w:w="840" w:type="dxa"/>
            <w:vAlign w:val="bottom"/>
            <w:gridSpan w:val="6"/>
          </w:tcPr>
          <w:p>
            <w:pPr>
              <w:jc w:val="right"/>
              <w:ind w:right="320"/>
              <w:spacing w:after="0"/>
              <w:rPr>
                <w:sz w:val="20"/>
                <w:szCs w:val="20"/>
                <w:color w:val="auto"/>
              </w:rPr>
            </w:pPr>
            <w:r>
              <w:rPr>
                <w:rFonts w:ascii="Arial" w:cs="Arial" w:eastAsia="Arial" w:hAnsi="Arial"/>
                <w:sz w:val="14"/>
                <w:szCs w:val="14"/>
                <w:color w:val="auto"/>
              </w:rPr>
              <w:t>1,404</w:t>
            </w:r>
          </w:p>
        </w:tc>
        <w:tc>
          <w:tcPr>
            <w:tcW w:w="740" w:type="dxa"/>
            <w:vAlign w:val="bottom"/>
            <w:gridSpan w:val="5"/>
          </w:tcPr>
          <w:p>
            <w:pPr>
              <w:jc w:val="right"/>
              <w:ind w:right="208"/>
              <w:spacing w:after="0"/>
              <w:rPr>
                <w:sz w:val="20"/>
                <w:szCs w:val="20"/>
                <w:color w:val="auto"/>
              </w:rPr>
            </w:pPr>
            <w:r>
              <w:rPr>
                <w:rFonts w:ascii="Arial" w:cs="Arial" w:eastAsia="Arial" w:hAnsi="Arial"/>
                <w:sz w:val="14"/>
                <w:szCs w:val="14"/>
                <w:color w:val="auto"/>
              </w:rPr>
              <w:t>1,592</w:t>
            </w:r>
          </w:p>
        </w:tc>
        <w:tc>
          <w:tcPr>
            <w:tcW w:w="820" w:type="dxa"/>
            <w:vAlign w:val="bottom"/>
            <w:gridSpan w:val="6"/>
          </w:tcPr>
          <w:p>
            <w:pPr>
              <w:jc w:val="right"/>
              <w:ind w:right="248"/>
              <w:spacing w:after="0"/>
              <w:rPr>
                <w:sz w:val="20"/>
                <w:szCs w:val="20"/>
                <w:color w:val="auto"/>
              </w:rPr>
            </w:pPr>
            <w:r>
              <w:rPr>
                <w:rFonts w:ascii="Arial" w:cs="Arial" w:eastAsia="Arial" w:hAnsi="Arial"/>
                <w:sz w:val="14"/>
                <w:szCs w:val="14"/>
                <w:color w:val="auto"/>
              </w:rPr>
              <w:t>1,722</w:t>
            </w:r>
          </w:p>
        </w:tc>
        <w:tc>
          <w:tcPr>
            <w:tcW w:w="860" w:type="dxa"/>
            <w:vAlign w:val="bottom"/>
            <w:gridSpan w:val="7"/>
          </w:tcPr>
          <w:p>
            <w:pPr>
              <w:jc w:val="right"/>
              <w:ind w:right="328"/>
              <w:spacing w:after="0"/>
              <w:rPr>
                <w:sz w:val="20"/>
                <w:szCs w:val="20"/>
                <w:color w:val="auto"/>
              </w:rPr>
            </w:pPr>
            <w:r>
              <w:rPr>
                <w:rFonts w:ascii="Arial" w:cs="Arial" w:eastAsia="Arial" w:hAnsi="Arial"/>
                <w:sz w:val="14"/>
                <w:szCs w:val="14"/>
                <w:color w:val="auto"/>
              </w:rPr>
              <w:t>1,791</w:t>
            </w:r>
          </w:p>
        </w:tc>
        <w:tc>
          <w:tcPr>
            <w:tcW w:w="720" w:type="dxa"/>
            <w:vAlign w:val="bottom"/>
            <w:gridSpan w:val="5"/>
          </w:tcPr>
          <w:p>
            <w:pPr>
              <w:jc w:val="right"/>
              <w:ind w:right="268"/>
              <w:spacing w:after="0"/>
              <w:rPr>
                <w:sz w:val="20"/>
                <w:szCs w:val="20"/>
                <w:color w:val="auto"/>
              </w:rPr>
            </w:pPr>
            <w:r>
              <w:rPr>
                <w:rFonts w:ascii="Arial" w:cs="Arial" w:eastAsia="Arial" w:hAnsi="Arial"/>
                <w:sz w:val="14"/>
                <w:szCs w:val="14"/>
                <w:color w:val="auto"/>
              </w:rPr>
              <w:t>1,847</w:t>
            </w:r>
          </w:p>
        </w:tc>
        <w:tc>
          <w:tcPr>
            <w:tcW w:w="800" w:type="dxa"/>
            <w:vAlign w:val="bottom"/>
            <w:gridSpan w:val="8"/>
          </w:tcPr>
          <w:p>
            <w:pPr>
              <w:jc w:val="right"/>
              <w:ind w:right="288"/>
              <w:spacing w:after="0"/>
              <w:rPr>
                <w:sz w:val="20"/>
                <w:szCs w:val="20"/>
                <w:color w:val="auto"/>
              </w:rPr>
            </w:pPr>
            <w:r>
              <w:rPr>
                <w:rFonts w:ascii="Arial" w:cs="Arial" w:eastAsia="Arial" w:hAnsi="Arial"/>
                <w:sz w:val="14"/>
                <w:szCs w:val="14"/>
                <w:color w:val="auto"/>
              </w:rPr>
              <w:t>1,878</w:t>
            </w:r>
          </w:p>
        </w:tc>
        <w:tc>
          <w:tcPr>
            <w:tcW w:w="780" w:type="dxa"/>
            <w:vAlign w:val="bottom"/>
            <w:gridSpan w:val="7"/>
          </w:tcPr>
          <w:p>
            <w:pPr>
              <w:jc w:val="right"/>
              <w:ind w:right="208"/>
              <w:spacing w:after="0"/>
              <w:rPr>
                <w:sz w:val="20"/>
                <w:szCs w:val="20"/>
                <w:color w:val="auto"/>
              </w:rPr>
            </w:pPr>
            <w:r>
              <w:rPr>
                <w:rFonts w:ascii="Arial" w:cs="Arial" w:eastAsia="Arial" w:hAnsi="Arial"/>
                <w:sz w:val="14"/>
                <w:szCs w:val="14"/>
                <w:color w:val="auto"/>
              </w:rPr>
              <w:t>1,909</w:t>
            </w:r>
          </w:p>
        </w:tc>
        <w:tc>
          <w:tcPr>
            <w:tcW w:w="2240" w:type="dxa"/>
            <w:vAlign w:val="bottom"/>
            <w:gridSpan w:val="5"/>
          </w:tcPr>
          <w:p>
            <w:pPr>
              <w:jc w:val="right"/>
              <w:ind w:right="910"/>
              <w:spacing w:after="0"/>
              <w:rPr>
                <w:sz w:val="20"/>
                <w:szCs w:val="20"/>
                <w:color w:val="auto"/>
              </w:rPr>
            </w:pPr>
            <w:r>
              <w:rPr>
                <w:rFonts w:ascii="Arial" w:cs="Arial" w:eastAsia="Arial" w:hAnsi="Arial"/>
                <w:sz w:val="14"/>
                <w:szCs w:val="14"/>
                <w:color w:val="auto"/>
              </w:rPr>
              <w:t>95.9 %</w:t>
            </w:r>
          </w:p>
        </w:tc>
        <w:tc>
          <w:tcPr>
            <w:tcW w:w="0" w:type="dxa"/>
            <w:vAlign w:val="bottom"/>
          </w:tcPr>
          <w:p>
            <w:pPr>
              <w:spacing w:after="0"/>
              <w:rPr>
                <w:sz w:val="1"/>
                <w:szCs w:val="1"/>
                <w:color w:val="auto"/>
              </w:rPr>
            </w:pPr>
          </w:p>
        </w:tc>
      </w:tr>
      <w:tr>
        <w:trPr>
          <w:trHeight w:val="207"/>
        </w:trPr>
        <w:tc>
          <w:tcPr>
            <w:tcW w:w="2680" w:type="dxa"/>
            <w:vAlign w:val="bottom"/>
            <w:gridSpan w:val="18"/>
            <w:shd w:val="clear" w:color="auto" w:fill="CCEEFF"/>
          </w:tcPr>
          <w:p>
            <w:pPr>
              <w:jc w:val="center"/>
              <w:ind w:right="1760"/>
              <w:spacing w:after="0"/>
              <w:rPr>
                <w:sz w:val="20"/>
                <w:szCs w:val="20"/>
                <w:color w:val="auto"/>
              </w:rPr>
            </w:pPr>
            <w:r>
              <w:rPr>
                <w:rFonts w:ascii="Arial" w:cs="Arial" w:eastAsia="Arial" w:hAnsi="Arial"/>
                <w:sz w:val="14"/>
                <w:szCs w:val="14"/>
                <w:color w:val="auto"/>
              </w:rPr>
              <w:t>2016</w:t>
            </w:r>
          </w:p>
        </w:tc>
        <w:tc>
          <w:tcPr>
            <w:tcW w:w="760" w:type="dxa"/>
            <w:vAlign w:val="bottom"/>
            <w:gridSpan w:val="5"/>
            <w:shd w:val="clear" w:color="auto" w:fill="CCEEFF"/>
          </w:tcPr>
          <w:p>
            <w:pPr>
              <w:jc w:val="right"/>
              <w:ind w:right="208"/>
              <w:spacing w:after="0"/>
              <w:rPr>
                <w:sz w:val="20"/>
                <w:szCs w:val="20"/>
                <w:color w:val="auto"/>
              </w:rPr>
            </w:pPr>
            <w:r>
              <w:rPr>
                <w:rFonts w:ascii="Arial" w:cs="Arial" w:eastAsia="Arial" w:hAnsi="Arial"/>
                <w:sz w:val="14"/>
                <w:szCs w:val="14"/>
                <w:color w:val="auto"/>
              </w:rPr>
              <w:t>577</w:t>
            </w:r>
          </w:p>
        </w:tc>
        <w:tc>
          <w:tcPr>
            <w:tcW w:w="840" w:type="dxa"/>
            <w:vAlign w:val="bottom"/>
            <w:gridSpan w:val="6"/>
            <w:shd w:val="clear" w:color="auto" w:fill="CCEEFF"/>
          </w:tcPr>
          <w:p>
            <w:pPr>
              <w:jc w:val="right"/>
              <w:ind w:right="320"/>
              <w:spacing w:after="0"/>
              <w:rPr>
                <w:sz w:val="20"/>
                <w:szCs w:val="20"/>
                <w:color w:val="auto"/>
              </w:rPr>
            </w:pPr>
            <w:r>
              <w:rPr>
                <w:rFonts w:ascii="Arial" w:cs="Arial" w:eastAsia="Arial" w:hAnsi="Arial"/>
                <w:sz w:val="14"/>
                <w:szCs w:val="14"/>
                <w:color w:val="auto"/>
              </w:rPr>
              <w:t>1,099</w:t>
            </w:r>
          </w:p>
        </w:tc>
        <w:tc>
          <w:tcPr>
            <w:tcW w:w="740" w:type="dxa"/>
            <w:vAlign w:val="bottom"/>
            <w:gridSpan w:val="5"/>
            <w:shd w:val="clear" w:color="auto" w:fill="CCEEFF"/>
          </w:tcPr>
          <w:p>
            <w:pPr>
              <w:jc w:val="right"/>
              <w:ind w:right="208"/>
              <w:spacing w:after="0"/>
              <w:rPr>
                <w:sz w:val="20"/>
                <w:szCs w:val="20"/>
                <w:color w:val="auto"/>
              </w:rPr>
            </w:pPr>
            <w:r>
              <w:rPr>
                <w:rFonts w:ascii="Arial" w:cs="Arial" w:eastAsia="Arial" w:hAnsi="Arial"/>
                <w:sz w:val="14"/>
                <w:szCs w:val="14"/>
                <w:color w:val="auto"/>
              </w:rPr>
              <w:t>1,350</w:t>
            </w:r>
          </w:p>
        </w:tc>
        <w:tc>
          <w:tcPr>
            <w:tcW w:w="820" w:type="dxa"/>
            <w:vAlign w:val="bottom"/>
            <w:gridSpan w:val="6"/>
            <w:shd w:val="clear" w:color="auto" w:fill="CCEEFF"/>
          </w:tcPr>
          <w:p>
            <w:pPr>
              <w:jc w:val="right"/>
              <w:ind w:right="248"/>
              <w:spacing w:after="0"/>
              <w:rPr>
                <w:sz w:val="20"/>
                <w:szCs w:val="20"/>
                <w:color w:val="auto"/>
              </w:rPr>
            </w:pPr>
            <w:r>
              <w:rPr>
                <w:rFonts w:ascii="Arial" w:cs="Arial" w:eastAsia="Arial" w:hAnsi="Arial"/>
                <w:sz w:val="14"/>
                <w:szCs w:val="14"/>
                <w:color w:val="auto"/>
              </w:rPr>
              <w:t>1,539</w:t>
            </w:r>
          </w:p>
        </w:tc>
        <w:tc>
          <w:tcPr>
            <w:tcW w:w="860" w:type="dxa"/>
            <w:vAlign w:val="bottom"/>
            <w:gridSpan w:val="7"/>
            <w:shd w:val="clear" w:color="auto" w:fill="CCEEFF"/>
          </w:tcPr>
          <w:p>
            <w:pPr>
              <w:jc w:val="right"/>
              <w:ind w:right="328"/>
              <w:spacing w:after="0"/>
              <w:rPr>
                <w:sz w:val="20"/>
                <w:szCs w:val="20"/>
                <w:color w:val="auto"/>
              </w:rPr>
            </w:pPr>
            <w:r>
              <w:rPr>
                <w:rFonts w:ascii="Arial" w:cs="Arial" w:eastAsia="Arial" w:hAnsi="Arial"/>
                <w:sz w:val="14"/>
                <w:szCs w:val="14"/>
                <w:color w:val="auto"/>
              </w:rPr>
              <w:t>1,662</w:t>
            </w:r>
          </w:p>
        </w:tc>
        <w:tc>
          <w:tcPr>
            <w:tcW w:w="720" w:type="dxa"/>
            <w:vAlign w:val="bottom"/>
            <w:gridSpan w:val="5"/>
            <w:shd w:val="clear" w:color="auto" w:fill="CCEEFF"/>
          </w:tcPr>
          <w:p>
            <w:pPr>
              <w:jc w:val="right"/>
              <w:ind w:right="268"/>
              <w:spacing w:after="0"/>
              <w:rPr>
                <w:sz w:val="20"/>
                <w:szCs w:val="20"/>
                <w:color w:val="auto"/>
              </w:rPr>
            </w:pPr>
            <w:r>
              <w:rPr>
                <w:rFonts w:ascii="Arial" w:cs="Arial" w:eastAsia="Arial" w:hAnsi="Arial"/>
                <w:sz w:val="14"/>
                <w:szCs w:val="14"/>
                <w:color w:val="auto"/>
              </w:rPr>
              <w:t>1,750</w:t>
            </w:r>
          </w:p>
        </w:tc>
        <w:tc>
          <w:tcPr>
            <w:tcW w:w="800" w:type="dxa"/>
            <w:vAlign w:val="bottom"/>
            <w:gridSpan w:val="8"/>
            <w:shd w:val="clear" w:color="auto" w:fill="CCEEFF"/>
          </w:tcPr>
          <w:p>
            <w:pPr>
              <w:jc w:val="right"/>
              <w:ind w:right="288"/>
              <w:spacing w:after="0"/>
              <w:rPr>
                <w:sz w:val="20"/>
                <w:szCs w:val="20"/>
                <w:color w:val="auto"/>
              </w:rPr>
            </w:pPr>
            <w:r>
              <w:rPr>
                <w:rFonts w:ascii="Arial" w:cs="Arial" w:eastAsia="Arial" w:hAnsi="Arial"/>
                <w:sz w:val="14"/>
                <w:szCs w:val="14"/>
                <w:color w:val="auto"/>
              </w:rPr>
              <w:t>1,806</w:t>
            </w:r>
          </w:p>
        </w:tc>
        <w:tc>
          <w:tcPr>
            <w:tcW w:w="780" w:type="dxa"/>
            <w:vAlign w:val="bottom"/>
            <w:gridSpan w:val="7"/>
            <w:shd w:val="clear" w:color="auto" w:fill="CCEEFF"/>
          </w:tcPr>
          <w:p>
            <w:pPr>
              <w:jc w:val="right"/>
              <w:ind w:right="208"/>
              <w:spacing w:after="0"/>
              <w:rPr>
                <w:sz w:val="20"/>
                <w:szCs w:val="20"/>
                <w:color w:val="auto"/>
              </w:rPr>
            </w:pPr>
            <w:r>
              <w:rPr>
                <w:rFonts w:ascii="Arial" w:cs="Arial" w:eastAsia="Arial" w:hAnsi="Arial"/>
                <w:sz w:val="14"/>
                <w:szCs w:val="14"/>
                <w:color w:val="auto"/>
              </w:rPr>
              <w:t>1,848</w:t>
            </w:r>
          </w:p>
        </w:tc>
        <w:tc>
          <w:tcPr>
            <w:tcW w:w="2240" w:type="dxa"/>
            <w:vAlign w:val="bottom"/>
            <w:gridSpan w:val="5"/>
            <w:shd w:val="clear" w:color="auto" w:fill="CCEEFF"/>
          </w:tcPr>
          <w:p>
            <w:pPr>
              <w:jc w:val="right"/>
              <w:ind w:right="910"/>
              <w:spacing w:after="0"/>
              <w:rPr>
                <w:sz w:val="20"/>
                <w:szCs w:val="20"/>
                <w:color w:val="auto"/>
              </w:rPr>
            </w:pPr>
            <w:r>
              <w:rPr>
                <w:rFonts w:ascii="Arial" w:cs="Arial" w:eastAsia="Arial" w:hAnsi="Arial"/>
                <w:sz w:val="14"/>
                <w:szCs w:val="14"/>
                <w:color w:val="auto"/>
              </w:rPr>
              <w:t>93.6 %</w:t>
            </w:r>
          </w:p>
        </w:tc>
        <w:tc>
          <w:tcPr>
            <w:tcW w:w="0" w:type="dxa"/>
            <w:vAlign w:val="bottom"/>
          </w:tcPr>
          <w:p>
            <w:pPr>
              <w:spacing w:after="0"/>
              <w:rPr>
                <w:sz w:val="1"/>
                <w:szCs w:val="1"/>
                <w:color w:val="auto"/>
              </w:rPr>
            </w:pPr>
          </w:p>
        </w:tc>
      </w:tr>
      <w:tr>
        <w:trPr>
          <w:trHeight w:val="198"/>
        </w:trPr>
        <w:tc>
          <w:tcPr>
            <w:tcW w:w="3440" w:type="dxa"/>
            <w:vAlign w:val="bottom"/>
            <w:gridSpan w:val="23"/>
          </w:tcPr>
          <w:p>
            <w:pPr>
              <w:jc w:val="center"/>
              <w:ind w:right="2448"/>
              <w:spacing w:after="0"/>
              <w:rPr>
                <w:sz w:val="20"/>
                <w:szCs w:val="20"/>
                <w:color w:val="auto"/>
              </w:rPr>
            </w:pPr>
            <w:r>
              <w:rPr>
                <w:rFonts w:ascii="Arial" w:cs="Arial" w:eastAsia="Arial" w:hAnsi="Arial"/>
                <w:sz w:val="14"/>
                <w:szCs w:val="14"/>
                <w:color w:val="auto"/>
              </w:rPr>
              <w:t>2017</w:t>
            </w:r>
          </w:p>
        </w:tc>
        <w:tc>
          <w:tcPr>
            <w:tcW w:w="840" w:type="dxa"/>
            <w:vAlign w:val="bottom"/>
            <w:gridSpan w:val="6"/>
          </w:tcPr>
          <w:p>
            <w:pPr>
              <w:jc w:val="right"/>
              <w:ind w:right="320"/>
              <w:spacing w:after="0"/>
              <w:rPr>
                <w:sz w:val="20"/>
                <w:szCs w:val="20"/>
                <w:color w:val="auto"/>
              </w:rPr>
            </w:pPr>
            <w:r>
              <w:rPr>
                <w:rFonts w:ascii="Arial" w:cs="Arial" w:eastAsia="Arial" w:hAnsi="Arial"/>
                <w:sz w:val="14"/>
                <w:szCs w:val="14"/>
                <w:color w:val="auto"/>
              </w:rPr>
              <w:t>709</w:t>
            </w:r>
          </w:p>
        </w:tc>
        <w:tc>
          <w:tcPr>
            <w:tcW w:w="740" w:type="dxa"/>
            <w:vAlign w:val="bottom"/>
            <w:gridSpan w:val="5"/>
          </w:tcPr>
          <w:p>
            <w:pPr>
              <w:jc w:val="right"/>
              <w:ind w:right="208"/>
              <w:spacing w:after="0"/>
              <w:rPr>
                <w:sz w:val="20"/>
                <w:szCs w:val="20"/>
                <w:color w:val="auto"/>
              </w:rPr>
            </w:pPr>
            <w:r>
              <w:rPr>
                <w:rFonts w:ascii="Arial" w:cs="Arial" w:eastAsia="Arial" w:hAnsi="Arial"/>
                <w:sz w:val="14"/>
                <w:szCs w:val="14"/>
                <w:color w:val="auto"/>
              </w:rPr>
              <w:t>1,250</w:t>
            </w:r>
          </w:p>
        </w:tc>
        <w:tc>
          <w:tcPr>
            <w:tcW w:w="820" w:type="dxa"/>
            <w:vAlign w:val="bottom"/>
            <w:gridSpan w:val="6"/>
          </w:tcPr>
          <w:p>
            <w:pPr>
              <w:jc w:val="right"/>
              <w:ind w:right="248"/>
              <w:spacing w:after="0"/>
              <w:rPr>
                <w:sz w:val="20"/>
                <w:szCs w:val="20"/>
                <w:color w:val="auto"/>
              </w:rPr>
            </w:pPr>
            <w:r>
              <w:rPr>
                <w:rFonts w:ascii="Arial" w:cs="Arial" w:eastAsia="Arial" w:hAnsi="Arial"/>
                <w:sz w:val="14"/>
                <w:szCs w:val="14"/>
                <w:color w:val="auto"/>
              </w:rPr>
              <w:t>1,524</w:t>
            </w:r>
          </w:p>
        </w:tc>
        <w:tc>
          <w:tcPr>
            <w:tcW w:w="860" w:type="dxa"/>
            <w:vAlign w:val="bottom"/>
            <w:gridSpan w:val="7"/>
          </w:tcPr>
          <w:p>
            <w:pPr>
              <w:jc w:val="right"/>
              <w:ind w:right="328"/>
              <w:spacing w:after="0"/>
              <w:rPr>
                <w:sz w:val="20"/>
                <w:szCs w:val="20"/>
                <w:color w:val="auto"/>
              </w:rPr>
            </w:pPr>
            <w:r>
              <w:rPr>
                <w:rFonts w:ascii="Arial" w:cs="Arial" w:eastAsia="Arial" w:hAnsi="Arial"/>
                <w:sz w:val="14"/>
                <w:szCs w:val="14"/>
                <w:color w:val="auto"/>
              </w:rPr>
              <w:t>1,736</w:t>
            </w:r>
          </w:p>
        </w:tc>
        <w:tc>
          <w:tcPr>
            <w:tcW w:w="720" w:type="dxa"/>
            <w:vAlign w:val="bottom"/>
            <w:gridSpan w:val="5"/>
          </w:tcPr>
          <w:p>
            <w:pPr>
              <w:jc w:val="right"/>
              <w:ind w:right="268"/>
              <w:spacing w:after="0"/>
              <w:rPr>
                <w:sz w:val="20"/>
                <w:szCs w:val="20"/>
                <w:color w:val="auto"/>
              </w:rPr>
            </w:pPr>
            <w:r>
              <w:rPr>
                <w:rFonts w:ascii="Arial" w:cs="Arial" w:eastAsia="Arial" w:hAnsi="Arial"/>
                <w:sz w:val="14"/>
                <w:szCs w:val="14"/>
                <w:color w:val="auto"/>
              </w:rPr>
              <w:t>1,844</w:t>
            </w:r>
          </w:p>
        </w:tc>
        <w:tc>
          <w:tcPr>
            <w:tcW w:w="800" w:type="dxa"/>
            <w:vAlign w:val="bottom"/>
            <w:gridSpan w:val="8"/>
          </w:tcPr>
          <w:p>
            <w:pPr>
              <w:jc w:val="right"/>
              <w:ind w:right="288"/>
              <w:spacing w:after="0"/>
              <w:rPr>
                <w:sz w:val="20"/>
                <w:szCs w:val="20"/>
                <w:color w:val="auto"/>
              </w:rPr>
            </w:pPr>
            <w:r>
              <w:rPr>
                <w:rFonts w:ascii="Arial" w:cs="Arial" w:eastAsia="Arial" w:hAnsi="Arial"/>
                <w:sz w:val="14"/>
                <w:szCs w:val="14"/>
                <w:color w:val="auto"/>
              </w:rPr>
              <w:t>1,953</w:t>
            </w:r>
          </w:p>
        </w:tc>
        <w:tc>
          <w:tcPr>
            <w:tcW w:w="780" w:type="dxa"/>
            <w:vAlign w:val="bottom"/>
            <w:gridSpan w:val="7"/>
          </w:tcPr>
          <w:p>
            <w:pPr>
              <w:jc w:val="right"/>
              <w:ind w:right="208"/>
              <w:spacing w:after="0"/>
              <w:rPr>
                <w:sz w:val="20"/>
                <w:szCs w:val="20"/>
                <w:color w:val="auto"/>
              </w:rPr>
            </w:pPr>
            <w:r>
              <w:rPr>
                <w:rFonts w:ascii="Arial" w:cs="Arial" w:eastAsia="Arial" w:hAnsi="Arial"/>
                <w:sz w:val="14"/>
                <w:szCs w:val="14"/>
                <w:color w:val="auto"/>
              </w:rPr>
              <w:t>2,030</w:t>
            </w:r>
          </w:p>
        </w:tc>
        <w:tc>
          <w:tcPr>
            <w:tcW w:w="2240" w:type="dxa"/>
            <w:vAlign w:val="bottom"/>
            <w:gridSpan w:val="5"/>
          </w:tcPr>
          <w:p>
            <w:pPr>
              <w:jc w:val="right"/>
              <w:ind w:right="910"/>
              <w:spacing w:after="0"/>
              <w:rPr>
                <w:sz w:val="20"/>
                <w:szCs w:val="20"/>
                <w:color w:val="auto"/>
              </w:rPr>
            </w:pPr>
            <w:r>
              <w:rPr>
                <w:rFonts w:ascii="Arial" w:cs="Arial" w:eastAsia="Arial" w:hAnsi="Arial"/>
                <w:sz w:val="14"/>
                <w:szCs w:val="14"/>
                <w:color w:val="auto"/>
              </w:rPr>
              <w:t>89.6 %</w:t>
            </w:r>
          </w:p>
        </w:tc>
        <w:tc>
          <w:tcPr>
            <w:tcW w:w="0" w:type="dxa"/>
            <w:vAlign w:val="bottom"/>
          </w:tcPr>
          <w:p>
            <w:pPr>
              <w:spacing w:after="0"/>
              <w:rPr>
                <w:sz w:val="1"/>
                <w:szCs w:val="1"/>
                <w:color w:val="auto"/>
              </w:rPr>
            </w:pPr>
          </w:p>
        </w:tc>
      </w:tr>
      <w:tr>
        <w:trPr>
          <w:trHeight w:val="206"/>
        </w:trPr>
        <w:tc>
          <w:tcPr>
            <w:tcW w:w="4280" w:type="dxa"/>
            <w:vAlign w:val="bottom"/>
            <w:gridSpan w:val="29"/>
            <w:shd w:val="clear" w:color="auto" w:fill="CCEEFF"/>
          </w:tcPr>
          <w:p>
            <w:pPr>
              <w:jc w:val="center"/>
              <w:ind w:right="3360"/>
              <w:spacing w:after="0"/>
              <w:rPr>
                <w:sz w:val="20"/>
                <w:szCs w:val="20"/>
                <w:color w:val="auto"/>
              </w:rPr>
            </w:pPr>
            <w:r>
              <w:rPr>
                <w:rFonts w:ascii="Arial" w:cs="Arial" w:eastAsia="Arial" w:hAnsi="Arial"/>
                <w:sz w:val="14"/>
                <w:szCs w:val="14"/>
                <w:color w:val="auto"/>
              </w:rPr>
              <w:t>2018</w:t>
            </w:r>
          </w:p>
        </w:tc>
        <w:tc>
          <w:tcPr>
            <w:tcW w:w="740" w:type="dxa"/>
            <w:vAlign w:val="bottom"/>
            <w:gridSpan w:val="5"/>
            <w:shd w:val="clear" w:color="auto" w:fill="CCEEFF"/>
          </w:tcPr>
          <w:p>
            <w:pPr>
              <w:jc w:val="right"/>
              <w:ind w:right="208"/>
              <w:spacing w:after="0"/>
              <w:rPr>
                <w:sz w:val="20"/>
                <w:szCs w:val="20"/>
                <w:color w:val="auto"/>
              </w:rPr>
            </w:pPr>
            <w:r>
              <w:rPr>
                <w:rFonts w:ascii="Arial" w:cs="Arial" w:eastAsia="Arial" w:hAnsi="Arial"/>
                <w:sz w:val="14"/>
                <w:szCs w:val="14"/>
                <w:color w:val="auto"/>
              </w:rPr>
              <w:t>730</w:t>
            </w:r>
          </w:p>
        </w:tc>
        <w:tc>
          <w:tcPr>
            <w:tcW w:w="820" w:type="dxa"/>
            <w:vAlign w:val="bottom"/>
            <w:gridSpan w:val="6"/>
            <w:shd w:val="clear" w:color="auto" w:fill="CCEEFF"/>
          </w:tcPr>
          <w:p>
            <w:pPr>
              <w:jc w:val="right"/>
              <w:ind w:right="248"/>
              <w:spacing w:after="0"/>
              <w:rPr>
                <w:sz w:val="20"/>
                <w:szCs w:val="20"/>
                <w:color w:val="auto"/>
              </w:rPr>
            </w:pPr>
            <w:r>
              <w:rPr>
                <w:rFonts w:ascii="Arial" w:cs="Arial" w:eastAsia="Arial" w:hAnsi="Arial"/>
                <w:sz w:val="14"/>
                <w:szCs w:val="14"/>
                <w:color w:val="auto"/>
              </w:rPr>
              <w:t>1,337</w:t>
            </w:r>
          </w:p>
        </w:tc>
        <w:tc>
          <w:tcPr>
            <w:tcW w:w="860" w:type="dxa"/>
            <w:vAlign w:val="bottom"/>
            <w:gridSpan w:val="7"/>
            <w:shd w:val="clear" w:color="auto" w:fill="CCEEFF"/>
          </w:tcPr>
          <w:p>
            <w:pPr>
              <w:jc w:val="right"/>
              <w:ind w:right="328"/>
              <w:spacing w:after="0"/>
              <w:rPr>
                <w:sz w:val="20"/>
                <w:szCs w:val="20"/>
                <w:color w:val="auto"/>
              </w:rPr>
            </w:pPr>
            <w:r>
              <w:rPr>
                <w:rFonts w:ascii="Arial" w:cs="Arial" w:eastAsia="Arial" w:hAnsi="Arial"/>
                <w:sz w:val="14"/>
                <w:szCs w:val="14"/>
                <w:color w:val="auto"/>
              </w:rPr>
              <w:t>1,606</w:t>
            </w:r>
          </w:p>
        </w:tc>
        <w:tc>
          <w:tcPr>
            <w:tcW w:w="720" w:type="dxa"/>
            <w:vAlign w:val="bottom"/>
            <w:gridSpan w:val="5"/>
            <w:shd w:val="clear" w:color="auto" w:fill="CCEEFF"/>
          </w:tcPr>
          <w:p>
            <w:pPr>
              <w:jc w:val="right"/>
              <w:ind w:right="268"/>
              <w:spacing w:after="0"/>
              <w:rPr>
                <w:sz w:val="20"/>
                <w:szCs w:val="20"/>
                <w:color w:val="auto"/>
              </w:rPr>
            </w:pPr>
            <w:r>
              <w:rPr>
                <w:rFonts w:ascii="Arial" w:cs="Arial" w:eastAsia="Arial" w:hAnsi="Arial"/>
                <w:sz w:val="14"/>
                <w:szCs w:val="14"/>
                <w:color w:val="auto"/>
              </w:rPr>
              <w:t>1,807</w:t>
            </w:r>
          </w:p>
        </w:tc>
        <w:tc>
          <w:tcPr>
            <w:tcW w:w="800" w:type="dxa"/>
            <w:vAlign w:val="bottom"/>
            <w:gridSpan w:val="8"/>
            <w:shd w:val="clear" w:color="auto" w:fill="CCEEFF"/>
          </w:tcPr>
          <w:p>
            <w:pPr>
              <w:jc w:val="right"/>
              <w:ind w:right="288"/>
              <w:spacing w:after="0"/>
              <w:rPr>
                <w:sz w:val="20"/>
                <w:szCs w:val="20"/>
                <w:color w:val="auto"/>
              </w:rPr>
            </w:pPr>
            <w:r>
              <w:rPr>
                <w:rFonts w:ascii="Arial" w:cs="Arial" w:eastAsia="Arial" w:hAnsi="Arial"/>
                <w:sz w:val="14"/>
                <w:szCs w:val="14"/>
                <w:color w:val="auto"/>
              </w:rPr>
              <w:t>1,977</w:t>
            </w:r>
          </w:p>
        </w:tc>
        <w:tc>
          <w:tcPr>
            <w:tcW w:w="780" w:type="dxa"/>
            <w:vAlign w:val="bottom"/>
            <w:gridSpan w:val="7"/>
            <w:shd w:val="clear" w:color="auto" w:fill="CCEEFF"/>
          </w:tcPr>
          <w:p>
            <w:pPr>
              <w:jc w:val="right"/>
              <w:ind w:right="208"/>
              <w:spacing w:after="0"/>
              <w:rPr>
                <w:sz w:val="20"/>
                <w:szCs w:val="20"/>
                <w:color w:val="auto"/>
              </w:rPr>
            </w:pPr>
            <w:r>
              <w:rPr>
                <w:rFonts w:ascii="Arial" w:cs="Arial" w:eastAsia="Arial" w:hAnsi="Arial"/>
                <w:sz w:val="14"/>
                <w:szCs w:val="14"/>
                <w:color w:val="auto"/>
              </w:rPr>
              <w:t>2,099</w:t>
            </w:r>
          </w:p>
        </w:tc>
        <w:tc>
          <w:tcPr>
            <w:tcW w:w="2240" w:type="dxa"/>
            <w:vAlign w:val="bottom"/>
            <w:gridSpan w:val="5"/>
            <w:shd w:val="clear" w:color="auto" w:fill="CCEEFF"/>
          </w:tcPr>
          <w:p>
            <w:pPr>
              <w:jc w:val="right"/>
              <w:ind w:right="910"/>
              <w:spacing w:after="0"/>
              <w:rPr>
                <w:sz w:val="20"/>
                <w:szCs w:val="20"/>
                <w:color w:val="auto"/>
              </w:rPr>
            </w:pPr>
            <w:r>
              <w:rPr>
                <w:rFonts w:ascii="Arial" w:cs="Arial" w:eastAsia="Arial" w:hAnsi="Arial"/>
                <w:sz w:val="14"/>
                <w:szCs w:val="14"/>
                <w:color w:val="auto"/>
              </w:rPr>
              <w:t>85.7 %</w:t>
            </w:r>
          </w:p>
        </w:tc>
        <w:tc>
          <w:tcPr>
            <w:tcW w:w="0" w:type="dxa"/>
            <w:vAlign w:val="bottom"/>
          </w:tcPr>
          <w:p>
            <w:pPr>
              <w:spacing w:after="0"/>
              <w:rPr>
                <w:sz w:val="1"/>
                <w:szCs w:val="1"/>
                <w:color w:val="auto"/>
              </w:rPr>
            </w:pPr>
          </w:p>
        </w:tc>
      </w:tr>
      <w:tr>
        <w:trPr>
          <w:trHeight w:val="199"/>
        </w:trPr>
        <w:tc>
          <w:tcPr>
            <w:tcW w:w="5020" w:type="dxa"/>
            <w:vAlign w:val="bottom"/>
            <w:gridSpan w:val="34"/>
          </w:tcPr>
          <w:p>
            <w:pPr>
              <w:jc w:val="center"/>
              <w:ind w:right="4028"/>
              <w:spacing w:after="0"/>
              <w:rPr>
                <w:sz w:val="20"/>
                <w:szCs w:val="20"/>
                <w:color w:val="auto"/>
              </w:rPr>
            </w:pPr>
            <w:r>
              <w:rPr>
                <w:rFonts w:ascii="Arial" w:cs="Arial" w:eastAsia="Arial" w:hAnsi="Arial"/>
                <w:sz w:val="14"/>
                <w:szCs w:val="14"/>
                <w:color w:val="auto"/>
              </w:rPr>
              <w:t>2019</w:t>
            </w:r>
          </w:p>
        </w:tc>
        <w:tc>
          <w:tcPr>
            <w:tcW w:w="820" w:type="dxa"/>
            <w:vAlign w:val="bottom"/>
            <w:gridSpan w:val="6"/>
          </w:tcPr>
          <w:p>
            <w:pPr>
              <w:jc w:val="right"/>
              <w:ind w:right="248"/>
              <w:spacing w:after="0"/>
              <w:rPr>
                <w:sz w:val="20"/>
                <w:szCs w:val="20"/>
                <w:color w:val="auto"/>
              </w:rPr>
            </w:pPr>
            <w:r>
              <w:rPr>
                <w:rFonts w:ascii="Arial" w:cs="Arial" w:eastAsia="Arial" w:hAnsi="Arial"/>
                <w:sz w:val="14"/>
                <w:szCs w:val="14"/>
                <w:color w:val="auto"/>
              </w:rPr>
              <w:t>847</w:t>
            </w:r>
          </w:p>
        </w:tc>
        <w:tc>
          <w:tcPr>
            <w:tcW w:w="860" w:type="dxa"/>
            <w:vAlign w:val="bottom"/>
            <w:gridSpan w:val="7"/>
          </w:tcPr>
          <w:p>
            <w:pPr>
              <w:jc w:val="right"/>
              <w:ind w:right="328"/>
              <w:spacing w:after="0"/>
              <w:rPr>
                <w:sz w:val="20"/>
                <w:szCs w:val="20"/>
                <w:color w:val="auto"/>
              </w:rPr>
            </w:pPr>
            <w:r>
              <w:rPr>
                <w:rFonts w:ascii="Arial" w:cs="Arial" w:eastAsia="Arial" w:hAnsi="Arial"/>
                <w:sz w:val="14"/>
                <w:szCs w:val="14"/>
                <w:color w:val="auto"/>
              </w:rPr>
              <w:t>1,448</w:t>
            </w:r>
          </w:p>
        </w:tc>
        <w:tc>
          <w:tcPr>
            <w:tcW w:w="720" w:type="dxa"/>
            <w:vAlign w:val="bottom"/>
            <w:gridSpan w:val="5"/>
          </w:tcPr>
          <w:p>
            <w:pPr>
              <w:jc w:val="right"/>
              <w:ind w:right="268"/>
              <w:spacing w:after="0"/>
              <w:rPr>
                <w:sz w:val="20"/>
                <w:szCs w:val="20"/>
                <w:color w:val="auto"/>
              </w:rPr>
            </w:pPr>
            <w:r>
              <w:rPr>
                <w:rFonts w:ascii="Arial" w:cs="Arial" w:eastAsia="Arial" w:hAnsi="Arial"/>
                <w:sz w:val="14"/>
                <w:szCs w:val="14"/>
                <w:color w:val="auto"/>
              </w:rPr>
              <w:t>1,768</w:t>
            </w:r>
          </w:p>
        </w:tc>
        <w:tc>
          <w:tcPr>
            <w:tcW w:w="800" w:type="dxa"/>
            <w:vAlign w:val="bottom"/>
            <w:gridSpan w:val="8"/>
          </w:tcPr>
          <w:p>
            <w:pPr>
              <w:jc w:val="right"/>
              <w:ind w:right="288"/>
              <w:spacing w:after="0"/>
              <w:rPr>
                <w:sz w:val="20"/>
                <w:szCs w:val="20"/>
                <w:color w:val="auto"/>
              </w:rPr>
            </w:pPr>
            <w:r>
              <w:rPr>
                <w:rFonts w:ascii="Arial" w:cs="Arial" w:eastAsia="Arial" w:hAnsi="Arial"/>
                <w:sz w:val="14"/>
                <w:szCs w:val="14"/>
                <w:color w:val="auto"/>
              </w:rPr>
              <w:t>1,983</w:t>
            </w:r>
          </w:p>
        </w:tc>
        <w:tc>
          <w:tcPr>
            <w:tcW w:w="780" w:type="dxa"/>
            <w:vAlign w:val="bottom"/>
            <w:gridSpan w:val="7"/>
          </w:tcPr>
          <w:p>
            <w:pPr>
              <w:jc w:val="right"/>
              <w:ind w:right="208"/>
              <w:spacing w:after="0"/>
              <w:rPr>
                <w:sz w:val="20"/>
                <w:szCs w:val="20"/>
                <w:color w:val="auto"/>
              </w:rPr>
            </w:pPr>
            <w:r>
              <w:rPr>
                <w:rFonts w:ascii="Arial" w:cs="Arial" w:eastAsia="Arial" w:hAnsi="Arial"/>
                <w:sz w:val="14"/>
                <w:szCs w:val="14"/>
                <w:color w:val="auto"/>
              </w:rPr>
              <w:t>2,160</w:t>
            </w:r>
          </w:p>
        </w:tc>
        <w:tc>
          <w:tcPr>
            <w:tcW w:w="2240" w:type="dxa"/>
            <w:vAlign w:val="bottom"/>
            <w:gridSpan w:val="5"/>
          </w:tcPr>
          <w:p>
            <w:pPr>
              <w:jc w:val="right"/>
              <w:ind w:right="910"/>
              <w:spacing w:after="0"/>
              <w:rPr>
                <w:sz w:val="20"/>
                <w:szCs w:val="20"/>
                <w:color w:val="auto"/>
              </w:rPr>
            </w:pPr>
            <w:r>
              <w:rPr>
                <w:rFonts w:ascii="Arial" w:cs="Arial" w:eastAsia="Arial" w:hAnsi="Arial"/>
                <w:sz w:val="14"/>
                <w:szCs w:val="14"/>
                <w:color w:val="auto"/>
              </w:rPr>
              <w:t>81.8 %</w:t>
            </w:r>
          </w:p>
        </w:tc>
        <w:tc>
          <w:tcPr>
            <w:tcW w:w="0" w:type="dxa"/>
            <w:vAlign w:val="bottom"/>
          </w:tcPr>
          <w:p>
            <w:pPr>
              <w:spacing w:after="0"/>
              <w:rPr>
                <w:sz w:val="1"/>
                <w:szCs w:val="1"/>
                <w:color w:val="auto"/>
              </w:rPr>
            </w:pPr>
          </w:p>
        </w:tc>
      </w:tr>
      <w:tr>
        <w:trPr>
          <w:trHeight w:val="206"/>
        </w:trPr>
        <w:tc>
          <w:tcPr>
            <w:tcW w:w="5840" w:type="dxa"/>
            <w:vAlign w:val="bottom"/>
            <w:gridSpan w:val="40"/>
            <w:shd w:val="clear" w:color="auto" w:fill="CCEEFF"/>
          </w:tcPr>
          <w:p>
            <w:pPr>
              <w:jc w:val="center"/>
              <w:ind w:right="4848"/>
              <w:spacing w:after="0"/>
              <w:rPr>
                <w:sz w:val="20"/>
                <w:szCs w:val="20"/>
                <w:color w:val="auto"/>
              </w:rPr>
            </w:pPr>
            <w:r>
              <w:rPr>
                <w:rFonts w:ascii="Arial" w:cs="Arial" w:eastAsia="Arial" w:hAnsi="Arial"/>
                <w:sz w:val="14"/>
                <w:szCs w:val="14"/>
                <w:color w:val="auto"/>
              </w:rPr>
              <w:t>2020</w:t>
            </w:r>
          </w:p>
        </w:tc>
        <w:tc>
          <w:tcPr>
            <w:tcW w:w="860" w:type="dxa"/>
            <w:vAlign w:val="bottom"/>
            <w:gridSpan w:val="7"/>
            <w:shd w:val="clear" w:color="auto" w:fill="CCEEFF"/>
          </w:tcPr>
          <w:p>
            <w:pPr>
              <w:jc w:val="right"/>
              <w:ind w:right="328"/>
              <w:spacing w:after="0"/>
              <w:rPr>
                <w:sz w:val="20"/>
                <w:szCs w:val="20"/>
                <w:color w:val="auto"/>
              </w:rPr>
            </w:pPr>
            <w:r>
              <w:rPr>
                <w:rFonts w:ascii="Arial" w:cs="Arial" w:eastAsia="Arial" w:hAnsi="Arial"/>
                <w:sz w:val="14"/>
                <w:szCs w:val="14"/>
                <w:color w:val="auto"/>
              </w:rPr>
              <w:t>758</w:t>
            </w:r>
          </w:p>
        </w:tc>
        <w:tc>
          <w:tcPr>
            <w:tcW w:w="720" w:type="dxa"/>
            <w:vAlign w:val="bottom"/>
            <w:gridSpan w:val="5"/>
            <w:shd w:val="clear" w:color="auto" w:fill="CCEEFF"/>
          </w:tcPr>
          <w:p>
            <w:pPr>
              <w:jc w:val="right"/>
              <w:ind w:right="268"/>
              <w:spacing w:after="0"/>
              <w:rPr>
                <w:sz w:val="20"/>
                <w:szCs w:val="20"/>
                <w:color w:val="auto"/>
              </w:rPr>
            </w:pPr>
            <w:r>
              <w:rPr>
                <w:rFonts w:ascii="Arial" w:cs="Arial" w:eastAsia="Arial" w:hAnsi="Arial"/>
                <w:sz w:val="14"/>
                <w:szCs w:val="14"/>
                <w:color w:val="auto"/>
              </w:rPr>
              <w:t>1,337</w:t>
            </w:r>
          </w:p>
        </w:tc>
        <w:tc>
          <w:tcPr>
            <w:tcW w:w="800" w:type="dxa"/>
            <w:vAlign w:val="bottom"/>
            <w:gridSpan w:val="8"/>
            <w:shd w:val="clear" w:color="auto" w:fill="CCEEFF"/>
          </w:tcPr>
          <w:p>
            <w:pPr>
              <w:jc w:val="right"/>
              <w:ind w:right="288"/>
              <w:spacing w:after="0"/>
              <w:rPr>
                <w:sz w:val="20"/>
                <w:szCs w:val="20"/>
                <w:color w:val="auto"/>
              </w:rPr>
            </w:pPr>
            <w:r>
              <w:rPr>
                <w:rFonts w:ascii="Arial" w:cs="Arial" w:eastAsia="Arial" w:hAnsi="Arial"/>
                <w:sz w:val="14"/>
                <w:szCs w:val="14"/>
                <w:color w:val="auto"/>
              </w:rPr>
              <w:t>1,620</w:t>
            </w:r>
          </w:p>
        </w:tc>
        <w:tc>
          <w:tcPr>
            <w:tcW w:w="780" w:type="dxa"/>
            <w:vAlign w:val="bottom"/>
            <w:gridSpan w:val="7"/>
            <w:shd w:val="clear" w:color="auto" w:fill="CCEEFF"/>
          </w:tcPr>
          <w:p>
            <w:pPr>
              <w:jc w:val="right"/>
              <w:ind w:right="208"/>
              <w:spacing w:after="0"/>
              <w:rPr>
                <w:sz w:val="20"/>
                <w:szCs w:val="20"/>
                <w:color w:val="auto"/>
              </w:rPr>
            </w:pPr>
            <w:r>
              <w:rPr>
                <w:rFonts w:ascii="Arial" w:cs="Arial" w:eastAsia="Arial" w:hAnsi="Arial"/>
                <w:sz w:val="14"/>
                <w:szCs w:val="14"/>
                <w:color w:val="auto"/>
              </w:rPr>
              <w:t>1,842</w:t>
            </w:r>
          </w:p>
        </w:tc>
        <w:tc>
          <w:tcPr>
            <w:tcW w:w="2240" w:type="dxa"/>
            <w:vAlign w:val="bottom"/>
            <w:gridSpan w:val="5"/>
            <w:shd w:val="clear" w:color="auto" w:fill="CCEEFF"/>
          </w:tcPr>
          <w:p>
            <w:pPr>
              <w:jc w:val="right"/>
              <w:ind w:right="910"/>
              <w:spacing w:after="0"/>
              <w:rPr>
                <w:sz w:val="20"/>
                <w:szCs w:val="20"/>
                <w:color w:val="auto"/>
              </w:rPr>
            </w:pPr>
            <w:r>
              <w:rPr>
                <w:rFonts w:ascii="Arial" w:cs="Arial" w:eastAsia="Arial" w:hAnsi="Arial"/>
                <w:sz w:val="14"/>
                <w:szCs w:val="14"/>
                <w:color w:val="auto"/>
              </w:rPr>
              <w:t>73.7 %</w:t>
            </w:r>
          </w:p>
        </w:tc>
        <w:tc>
          <w:tcPr>
            <w:tcW w:w="0" w:type="dxa"/>
            <w:vAlign w:val="bottom"/>
          </w:tcPr>
          <w:p>
            <w:pPr>
              <w:spacing w:after="0"/>
              <w:rPr>
                <w:sz w:val="1"/>
                <w:szCs w:val="1"/>
                <w:color w:val="auto"/>
              </w:rPr>
            </w:pPr>
          </w:p>
        </w:tc>
      </w:tr>
      <w:tr>
        <w:trPr>
          <w:trHeight w:val="199"/>
        </w:trPr>
        <w:tc>
          <w:tcPr>
            <w:tcW w:w="6700" w:type="dxa"/>
            <w:vAlign w:val="bottom"/>
            <w:gridSpan w:val="47"/>
          </w:tcPr>
          <w:p>
            <w:pPr>
              <w:jc w:val="center"/>
              <w:ind w:right="5708"/>
              <w:spacing w:after="0"/>
              <w:rPr>
                <w:sz w:val="20"/>
                <w:szCs w:val="20"/>
                <w:color w:val="auto"/>
              </w:rPr>
            </w:pPr>
            <w:r>
              <w:rPr>
                <w:rFonts w:ascii="Arial" w:cs="Arial" w:eastAsia="Arial" w:hAnsi="Arial"/>
                <w:sz w:val="14"/>
                <w:szCs w:val="14"/>
                <w:color w:val="auto"/>
              </w:rPr>
              <w:t>2021</w:t>
            </w:r>
          </w:p>
        </w:tc>
        <w:tc>
          <w:tcPr>
            <w:tcW w:w="720" w:type="dxa"/>
            <w:vAlign w:val="bottom"/>
            <w:gridSpan w:val="5"/>
          </w:tcPr>
          <w:p>
            <w:pPr>
              <w:jc w:val="right"/>
              <w:ind w:right="268"/>
              <w:spacing w:after="0"/>
              <w:rPr>
                <w:sz w:val="20"/>
                <w:szCs w:val="20"/>
                <w:color w:val="auto"/>
              </w:rPr>
            </w:pPr>
            <w:r>
              <w:rPr>
                <w:rFonts w:ascii="Arial" w:cs="Arial" w:eastAsia="Arial" w:hAnsi="Arial"/>
                <w:sz w:val="14"/>
                <w:szCs w:val="14"/>
                <w:color w:val="auto"/>
              </w:rPr>
              <w:t>746</w:t>
            </w:r>
          </w:p>
        </w:tc>
        <w:tc>
          <w:tcPr>
            <w:tcW w:w="800" w:type="dxa"/>
            <w:vAlign w:val="bottom"/>
            <w:gridSpan w:val="8"/>
          </w:tcPr>
          <w:p>
            <w:pPr>
              <w:jc w:val="right"/>
              <w:ind w:right="288"/>
              <w:spacing w:after="0"/>
              <w:rPr>
                <w:sz w:val="20"/>
                <w:szCs w:val="20"/>
                <w:color w:val="auto"/>
              </w:rPr>
            </w:pPr>
            <w:r>
              <w:rPr>
                <w:rFonts w:ascii="Arial" w:cs="Arial" w:eastAsia="Arial" w:hAnsi="Arial"/>
                <w:sz w:val="14"/>
                <w:szCs w:val="14"/>
                <w:color w:val="auto"/>
              </w:rPr>
              <w:t>1,368</w:t>
            </w:r>
          </w:p>
        </w:tc>
        <w:tc>
          <w:tcPr>
            <w:tcW w:w="780" w:type="dxa"/>
            <w:vAlign w:val="bottom"/>
            <w:gridSpan w:val="7"/>
          </w:tcPr>
          <w:p>
            <w:pPr>
              <w:jc w:val="right"/>
              <w:ind w:right="208"/>
              <w:spacing w:after="0"/>
              <w:rPr>
                <w:sz w:val="20"/>
                <w:szCs w:val="20"/>
                <w:color w:val="auto"/>
              </w:rPr>
            </w:pPr>
            <w:r>
              <w:rPr>
                <w:rFonts w:ascii="Arial" w:cs="Arial" w:eastAsia="Arial" w:hAnsi="Arial"/>
                <w:sz w:val="14"/>
                <w:szCs w:val="14"/>
                <w:color w:val="auto"/>
              </w:rPr>
              <w:t>1,687</w:t>
            </w:r>
          </w:p>
        </w:tc>
        <w:tc>
          <w:tcPr>
            <w:tcW w:w="2240" w:type="dxa"/>
            <w:vAlign w:val="bottom"/>
            <w:gridSpan w:val="5"/>
          </w:tcPr>
          <w:p>
            <w:pPr>
              <w:jc w:val="right"/>
              <w:ind w:right="910"/>
              <w:spacing w:after="0"/>
              <w:rPr>
                <w:sz w:val="20"/>
                <w:szCs w:val="20"/>
                <w:color w:val="auto"/>
              </w:rPr>
            </w:pPr>
            <w:r>
              <w:rPr>
                <w:rFonts w:ascii="Arial" w:cs="Arial" w:eastAsia="Arial" w:hAnsi="Arial"/>
                <w:sz w:val="14"/>
                <w:szCs w:val="14"/>
                <w:color w:val="auto"/>
              </w:rPr>
              <w:t>62.7 %</w:t>
            </w:r>
          </w:p>
        </w:tc>
        <w:tc>
          <w:tcPr>
            <w:tcW w:w="0" w:type="dxa"/>
            <w:vAlign w:val="bottom"/>
          </w:tcPr>
          <w:p>
            <w:pPr>
              <w:spacing w:after="0"/>
              <w:rPr>
                <w:sz w:val="1"/>
                <w:szCs w:val="1"/>
                <w:color w:val="auto"/>
              </w:rPr>
            </w:pPr>
          </w:p>
        </w:tc>
      </w:tr>
      <w:tr>
        <w:trPr>
          <w:trHeight w:val="206"/>
        </w:trPr>
        <w:tc>
          <w:tcPr>
            <w:tcW w:w="7420" w:type="dxa"/>
            <w:vAlign w:val="bottom"/>
            <w:gridSpan w:val="52"/>
            <w:shd w:val="clear" w:color="auto" w:fill="CCEEFF"/>
          </w:tcPr>
          <w:p>
            <w:pPr>
              <w:jc w:val="center"/>
              <w:ind w:right="6428"/>
              <w:spacing w:after="0"/>
              <w:rPr>
                <w:sz w:val="20"/>
                <w:szCs w:val="20"/>
                <w:color w:val="auto"/>
              </w:rPr>
            </w:pPr>
            <w:r>
              <w:rPr>
                <w:rFonts w:ascii="Arial" w:cs="Arial" w:eastAsia="Arial" w:hAnsi="Arial"/>
                <w:sz w:val="14"/>
                <w:szCs w:val="14"/>
                <w:color w:val="auto"/>
              </w:rPr>
              <w:t>2022</w:t>
            </w:r>
          </w:p>
        </w:tc>
        <w:tc>
          <w:tcPr>
            <w:tcW w:w="800" w:type="dxa"/>
            <w:vAlign w:val="bottom"/>
            <w:gridSpan w:val="8"/>
            <w:shd w:val="clear" w:color="auto" w:fill="CCEEFF"/>
          </w:tcPr>
          <w:p>
            <w:pPr>
              <w:jc w:val="right"/>
              <w:ind w:right="288"/>
              <w:spacing w:after="0"/>
              <w:rPr>
                <w:sz w:val="20"/>
                <w:szCs w:val="20"/>
                <w:color w:val="auto"/>
              </w:rPr>
            </w:pPr>
            <w:r>
              <w:rPr>
                <w:rFonts w:ascii="Arial" w:cs="Arial" w:eastAsia="Arial" w:hAnsi="Arial"/>
                <w:sz w:val="14"/>
                <w:szCs w:val="14"/>
                <w:color w:val="auto"/>
              </w:rPr>
              <w:t>904</w:t>
            </w:r>
          </w:p>
        </w:tc>
        <w:tc>
          <w:tcPr>
            <w:tcW w:w="780" w:type="dxa"/>
            <w:vAlign w:val="bottom"/>
            <w:gridSpan w:val="7"/>
            <w:shd w:val="clear" w:color="auto" w:fill="CCEEFF"/>
          </w:tcPr>
          <w:p>
            <w:pPr>
              <w:jc w:val="right"/>
              <w:ind w:right="208"/>
              <w:spacing w:after="0"/>
              <w:rPr>
                <w:sz w:val="20"/>
                <w:szCs w:val="20"/>
                <w:color w:val="auto"/>
              </w:rPr>
            </w:pPr>
            <w:r>
              <w:rPr>
                <w:rFonts w:ascii="Arial" w:cs="Arial" w:eastAsia="Arial" w:hAnsi="Arial"/>
                <w:sz w:val="14"/>
                <w:szCs w:val="14"/>
                <w:color w:val="auto"/>
              </w:rPr>
              <w:t>1,724</w:t>
            </w:r>
          </w:p>
        </w:tc>
        <w:tc>
          <w:tcPr>
            <w:tcW w:w="2240" w:type="dxa"/>
            <w:vAlign w:val="bottom"/>
            <w:gridSpan w:val="5"/>
            <w:shd w:val="clear" w:color="auto" w:fill="CCEEFF"/>
          </w:tcPr>
          <w:p>
            <w:pPr>
              <w:jc w:val="right"/>
              <w:ind w:right="910"/>
              <w:spacing w:after="0"/>
              <w:rPr>
                <w:sz w:val="20"/>
                <w:szCs w:val="20"/>
                <w:color w:val="auto"/>
              </w:rPr>
            </w:pPr>
            <w:r>
              <w:rPr>
                <w:rFonts w:ascii="Arial" w:cs="Arial" w:eastAsia="Arial" w:hAnsi="Arial"/>
                <w:sz w:val="14"/>
                <w:szCs w:val="14"/>
                <w:color w:val="auto"/>
              </w:rPr>
              <w:t>53.8 %</w:t>
            </w:r>
          </w:p>
        </w:tc>
        <w:tc>
          <w:tcPr>
            <w:tcW w:w="0" w:type="dxa"/>
            <w:vAlign w:val="bottom"/>
          </w:tcPr>
          <w:p>
            <w:pPr>
              <w:spacing w:after="0"/>
              <w:rPr>
                <w:sz w:val="1"/>
                <w:szCs w:val="1"/>
                <w:color w:val="auto"/>
              </w:rPr>
            </w:pPr>
          </w:p>
        </w:tc>
      </w:tr>
      <w:tr>
        <w:trPr>
          <w:trHeight w:val="198"/>
        </w:trPr>
        <w:tc>
          <w:tcPr>
            <w:tcW w:w="8040" w:type="dxa"/>
            <w:vAlign w:val="bottom"/>
            <w:tcBorders>
              <w:bottom w:val="single" w:sz="8" w:color="CCEEFF"/>
            </w:tcBorders>
            <w:gridSpan w:val="59"/>
          </w:tcPr>
          <w:p>
            <w:pPr>
              <w:jc w:val="center"/>
              <w:ind w:right="7048"/>
              <w:spacing w:after="0"/>
              <w:rPr>
                <w:sz w:val="20"/>
                <w:szCs w:val="20"/>
                <w:color w:val="auto"/>
              </w:rPr>
            </w:pPr>
            <w:r>
              <w:rPr>
                <w:rFonts w:ascii="Arial" w:cs="Arial" w:eastAsia="Arial" w:hAnsi="Arial"/>
                <w:sz w:val="14"/>
                <w:szCs w:val="14"/>
                <w:color w:val="auto"/>
              </w:rPr>
              <w:t>2023</w:t>
            </w:r>
          </w:p>
        </w:tc>
        <w:tc>
          <w:tcPr>
            <w:tcW w:w="760" w:type="dxa"/>
            <w:vAlign w:val="bottom"/>
            <w:tcBorders>
              <w:bottom w:val="single" w:sz="8" w:color="auto"/>
            </w:tcBorders>
            <w:gridSpan w:val="5"/>
          </w:tcPr>
          <w:p>
            <w:pPr>
              <w:jc w:val="right"/>
              <w:ind w:right="689"/>
              <w:spacing w:after="0"/>
              <w:rPr>
                <w:sz w:val="20"/>
                <w:szCs w:val="20"/>
                <w:color w:val="auto"/>
              </w:rPr>
            </w:pPr>
            <w:r>
              <w:rPr>
                <w:rFonts w:ascii="Arial" w:cs="Arial" w:eastAsia="Arial" w:hAnsi="Arial"/>
                <w:sz w:val="14"/>
                <w:szCs w:val="14"/>
                <w:color w:val="auto"/>
              </w:rPr>
              <w:t>989</w:t>
            </w:r>
          </w:p>
        </w:tc>
        <w:tc>
          <w:tcPr>
            <w:tcW w:w="2440" w:type="dxa"/>
            <w:vAlign w:val="bottom"/>
            <w:tcBorders>
              <w:bottom w:val="single" w:sz="8" w:color="CCEEFF"/>
            </w:tcBorders>
            <w:gridSpan w:val="8"/>
          </w:tcPr>
          <w:p>
            <w:pPr>
              <w:jc w:val="right"/>
              <w:ind w:right="2370"/>
              <w:spacing w:after="0"/>
              <w:rPr>
                <w:sz w:val="20"/>
                <w:szCs w:val="20"/>
                <w:color w:val="auto"/>
              </w:rPr>
            </w:pPr>
            <w:r>
              <w:rPr>
                <w:rFonts w:ascii="Arial" w:cs="Arial" w:eastAsia="Arial" w:hAnsi="Arial"/>
                <w:sz w:val="14"/>
                <w:szCs w:val="14"/>
                <w:color w:val="auto"/>
              </w:rPr>
              <w:t>27.2 %</w:t>
            </w:r>
          </w:p>
        </w:tc>
        <w:tc>
          <w:tcPr>
            <w:tcW w:w="0" w:type="dxa"/>
            <w:vAlign w:val="bottom"/>
          </w:tcPr>
          <w:p>
            <w:pPr>
              <w:spacing w:after="0"/>
              <w:rPr>
                <w:sz w:val="1"/>
                <w:szCs w:val="1"/>
                <w:color w:val="auto"/>
              </w:rPr>
            </w:pPr>
          </w:p>
        </w:tc>
      </w:tr>
      <w:tr>
        <w:trPr>
          <w:trHeight w:val="200"/>
        </w:trPr>
        <w:tc>
          <w:tcPr>
            <w:tcW w:w="7920" w:type="dxa"/>
            <w:vAlign w:val="bottom"/>
            <w:gridSpan w:val="56"/>
            <w:shd w:val="clear" w:color="auto" w:fill="CCEEFF"/>
          </w:tcPr>
          <w:p>
            <w:pPr>
              <w:spacing w:after="0"/>
              <w:rPr>
                <w:sz w:val="20"/>
                <w:szCs w:val="20"/>
                <w:color w:val="auto"/>
              </w:rPr>
            </w:pPr>
            <w:r>
              <w:rPr>
                <w:rFonts w:ascii="Arial" w:cs="Arial" w:eastAsia="Arial" w:hAnsi="Arial"/>
                <w:sz w:val="14"/>
                <w:szCs w:val="14"/>
                <w:color w:val="auto"/>
              </w:rPr>
              <w:t>Total</w:t>
            </w:r>
          </w:p>
        </w:tc>
        <w:tc>
          <w:tcPr>
            <w:tcW w:w="300" w:type="dxa"/>
            <w:vAlign w:val="bottom"/>
            <w:gridSpan w:val="4"/>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20" w:type="dxa"/>
            <w:vAlign w:val="bottom"/>
            <w:gridSpan w:val="12"/>
            <w:shd w:val="clear" w:color="auto" w:fill="CCEEFF"/>
          </w:tcPr>
          <w:p>
            <w:pPr>
              <w:jc w:val="right"/>
              <w:ind w:right="2450"/>
              <w:spacing w:after="0"/>
              <w:rPr>
                <w:sz w:val="20"/>
                <w:szCs w:val="20"/>
                <w:color w:val="auto"/>
              </w:rPr>
            </w:pPr>
            <w:r>
              <w:rPr>
                <w:rFonts w:ascii="Arial" w:cs="Arial" w:eastAsia="Arial" w:hAnsi="Arial"/>
                <w:sz w:val="14"/>
                <w:szCs w:val="14"/>
                <w:color w:val="auto"/>
              </w:rPr>
              <w:t>18,181</w:t>
            </w:r>
          </w:p>
        </w:tc>
        <w:tc>
          <w:tcPr>
            <w:tcW w:w="0" w:type="dxa"/>
            <w:vAlign w:val="bottom"/>
          </w:tcPr>
          <w:p>
            <w:pPr>
              <w:spacing w:after="0"/>
              <w:rPr>
                <w:sz w:val="1"/>
                <w:szCs w:val="1"/>
                <w:color w:val="auto"/>
              </w:rPr>
            </w:pPr>
          </w:p>
        </w:tc>
      </w:tr>
      <w:tr>
        <w:trPr>
          <w:trHeight w:val="192"/>
        </w:trPr>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40" w:type="dxa"/>
            <w:vAlign w:val="bottom"/>
            <w:gridSpan w:val="27"/>
          </w:tcPr>
          <w:p>
            <w:pPr>
              <w:jc w:val="right"/>
              <w:spacing w:after="0"/>
              <w:rPr>
                <w:sz w:val="20"/>
                <w:szCs w:val="20"/>
                <w:color w:val="auto"/>
              </w:rPr>
            </w:pPr>
            <w:r>
              <w:rPr>
                <w:rFonts w:ascii="Arial" w:cs="Arial" w:eastAsia="Arial" w:hAnsi="Arial"/>
                <w:sz w:val="14"/>
                <w:szCs w:val="14"/>
                <w:color w:val="auto"/>
              </w:rPr>
              <w:t>Unpaid losses and LAE — years 2014 through 2023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7,123</w:t>
            </w: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40" w:type="dxa"/>
            <w:vAlign w:val="bottom"/>
            <w:gridSpan w:val="38"/>
            <w:shd w:val="clear" w:color="auto" w:fill="CCEEFF"/>
          </w:tcPr>
          <w:p>
            <w:pPr>
              <w:jc w:val="right"/>
              <w:spacing w:after="0"/>
              <w:rPr>
                <w:sz w:val="20"/>
                <w:szCs w:val="20"/>
                <w:color w:val="auto"/>
              </w:rPr>
            </w:pPr>
            <w:r>
              <w:rPr>
                <w:rFonts w:ascii="Arial" w:cs="Arial" w:eastAsia="Arial" w:hAnsi="Arial"/>
                <w:sz w:val="14"/>
                <w:szCs w:val="14"/>
                <w:color w:val="auto"/>
              </w:rPr>
              <w:t>Unpaid losses and LAE — 11th year and prior (excluding unallocated LAE)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80" w:type="dxa"/>
            <w:vAlign w:val="bottom"/>
            <w:gridSpan w:val="34"/>
          </w:tcPr>
          <w:p>
            <w:pPr>
              <w:jc w:val="right"/>
              <w:spacing w:after="0"/>
              <w:rPr>
                <w:sz w:val="20"/>
                <w:szCs w:val="20"/>
                <w:color w:val="auto"/>
              </w:rPr>
            </w:pPr>
            <w:r>
              <w:rPr>
                <w:rFonts w:ascii="Arial" w:cs="Arial" w:eastAsia="Arial" w:hAnsi="Arial"/>
                <w:sz w:val="14"/>
                <w:szCs w:val="14"/>
                <w:color w:val="auto"/>
              </w:rPr>
              <w:t>Unpaid losses and LAE, net of reinsurance (excluding unallocated LAE)</w:t>
            </w:r>
          </w:p>
        </w:tc>
        <w:tc>
          <w:tcPr>
            <w:tcW w:w="300" w:type="dxa"/>
            <w:vAlign w:val="bottom"/>
            <w:gridSpan w:val="4"/>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gridSpan w:val="3"/>
          </w:tcPr>
          <w:p>
            <w:pPr>
              <w:jc w:val="right"/>
              <w:spacing w:after="0"/>
              <w:rPr>
                <w:sz w:val="20"/>
                <w:szCs w:val="20"/>
                <w:color w:val="auto"/>
              </w:rPr>
            </w:pPr>
            <w:r>
              <w:rPr>
                <w:rFonts w:ascii="Arial" w:cs="Arial" w:eastAsia="Arial" w:hAnsi="Arial"/>
                <w:sz w:val="14"/>
                <w:szCs w:val="14"/>
                <w:color w:val="auto"/>
              </w:rPr>
              <w:t>7,528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20" w:type="dxa"/>
            <w:vAlign w:val="bottom"/>
            <w:gridSpan w:val="41"/>
            <w:vMerge w:val="restart"/>
          </w:tcPr>
          <w:p>
            <w:pPr>
              <w:jc w:val="right"/>
              <w:ind w:right="48"/>
              <w:spacing w:after="0"/>
              <w:rPr>
                <w:sz w:val="20"/>
                <w:szCs w:val="20"/>
                <w:color w:val="auto"/>
              </w:rPr>
            </w:pPr>
            <w:r>
              <w:rPr>
                <w:rFonts w:ascii="Arial" w:cs="Arial" w:eastAsia="Arial" w:hAnsi="Arial"/>
                <w:sz w:val="14"/>
                <w:szCs w:val="14"/>
                <w:color w:val="auto"/>
              </w:rPr>
              <w:t>Average Annual Percentage Payout of Incurred Claims by Age, Net of Reinsurance</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4"/>
        </w:trPr>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20" w:type="dxa"/>
            <w:vAlign w:val="bottom"/>
            <w:gridSpan w:val="41"/>
            <w:vMerge w:val="continue"/>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24"/>
          </w:tcPr>
          <w:p>
            <w:pPr>
              <w:jc w:val="right"/>
              <w:ind w:right="108"/>
              <w:spacing w:after="0"/>
              <w:rPr>
                <w:sz w:val="20"/>
                <w:szCs w:val="20"/>
                <w:color w:val="auto"/>
              </w:rPr>
            </w:pPr>
            <w:r>
              <w:rPr>
                <w:rFonts w:ascii="Arial" w:cs="Arial" w:eastAsia="Arial" w:hAnsi="Arial"/>
                <w:sz w:val="14"/>
                <w:szCs w:val="14"/>
                <w:color w:val="auto"/>
              </w:rPr>
              <w:t>(Supplementary Information and Unaudited)</w:t>
            </w: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color w:val="auto"/>
              </w:rPr>
              <w:t>Year 1</w:t>
            </w: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Year 2</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color w:val="auto"/>
              </w:rPr>
              <w:t>Year 3</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color w:val="auto"/>
              </w:rPr>
              <w:t>Year 4</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color w:val="auto"/>
              </w:rPr>
              <w:t>Year 5</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gridSpan w:val="5"/>
          </w:tcPr>
          <w:p>
            <w:pPr>
              <w:jc w:val="right"/>
              <w:ind w:right="88"/>
              <w:spacing w:after="0"/>
              <w:rPr>
                <w:sz w:val="20"/>
                <w:szCs w:val="20"/>
                <w:color w:val="auto"/>
              </w:rPr>
            </w:pPr>
            <w:r>
              <w:rPr>
                <w:rFonts w:ascii="Arial" w:cs="Arial" w:eastAsia="Arial" w:hAnsi="Arial"/>
                <w:sz w:val="14"/>
                <w:szCs w:val="14"/>
                <w:color w:val="auto"/>
              </w:rPr>
              <w:t>Year 6</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gridSpan w:val="5"/>
          </w:tcPr>
          <w:p>
            <w:pPr>
              <w:jc w:val="right"/>
              <w:ind w:right="108"/>
              <w:spacing w:after="0"/>
              <w:rPr>
                <w:sz w:val="20"/>
                <w:szCs w:val="20"/>
                <w:color w:val="auto"/>
              </w:rPr>
            </w:pPr>
            <w:r>
              <w:rPr>
                <w:rFonts w:ascii="Arial" w:cs="Arial" w:eastAsia="Arial" w:hAnsi="Arial"/>
                <w:sz w:val="14"/>
                <w:szCs w:val="14"/>
                <w:color w:val="auto"/>
              </w:rPr>
              <w:t>Year 7</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Year 8</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color w:val="auto"/>
              </w:rPr>
              <w:t>Year 9</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color w:val="auto"/>
              </w:rPr>
              <w:t>Year 10</w:t>
            </w:r>
          </w:p>
        </w:tc>
        <w:tc>
          <w:tcPr>
            <w:tcW w:w="1040" w:type="dxa"/>
            <w:vAlign w:val="bottom"/>
            <w:tcBorders>
              <w:bottom w:val="single" w:sz="8" w:color="CCEEFF"/>
            </w:tcBorders>
            <w:gridSpan w:val="3"/>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98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Annual</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29.7 %</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25.0 %</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12.2 %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8.9 %</w:t>
            </w:r>
          </w:p>
        </w:tc>
        <w:tc>
          <w:tcPr>
            <w:tcW w:w="100" w:type="dxa"/>
            <w:vAlign w:val="bottom"/>
            <w:shd w:val="clear" w:color="auto" w:fill="CCEEFF"/>
          </w:tcPr>
          <w:p>
            <w:pPr>
              <w:spacing w:after="0"/>
              <w:rPr>
                <w:sz w:val="17"/>
                <w:szCs w:val="17"/>
                <w:color w:val="auto"/>
              </w:rPr>
            </w:pPr>
          </w:p>
        </w:tc>
        <w:tc>
          <w:tcPr>
            <w:tcW w:w="74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6.2 %</w:t>
            </w:r>
          </w:p>
        </w:tc>
        <w:tc>
          <w:tcPr>
            <w:tcW w:w="820" w:type="dxa"/>
            <w:vAlign w:val="bottom"/>
            <w:gridSpan w:val="6"/>
            <w:shd w:val="clear" w:color="auto" w:fill="CCEEFF"/>
          </w:tcPr>
          <w:p>
            <w:pPr>
              <w:jc w:val="right"/>
              <w:spacing w:after="0"/>
              <w:rPr>
                <w:sz w:val="20"/>
                <w:szCs w:val="20"/>
                <w:color w:val="auto"/>
              </w:rPr>
            </w:pPr>
            <w:r>
              <w:rPr>
                <w:rFonts w:ascii="Arial" w:cs="Arial" w:eastAsia="Arial" w:hAnsi="Arial"/>
                <w:sz w:val="14"/>
                <w:szCs w:val="14"/>
                <w:color w:val="auto"/>
              </w:rPr>
              <w:t>4.2 %</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2.8 %</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w w:val="94"/>
              </w:rPr>
              <w:t>1.8 %</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980" w:type="dxa"/>
            <w:vAlign w:val="bottom"/>
            <w:gridSpan w:val="4"/>
          </w:tcPr>
          <w:p>
            <w:pPr>
              <w:ind w:left="20"/>
              <w:spacing w:after="0"/>
              <w:rPr>
                <w:sz w:val="20"/>
                <w:szCs w:val="20"/>
                <w:color w:val="auto"/>
              </w:rPr>
            </w:pPr>
            <w:r>
              <w:rPr>
                <w:rFonts w:ascii="Arial" w:cs="Arial" w:eastAsia="Arial" w:hAnsi="Arial"/>
                <w:sz w:val="13"/>
                <w:szCs w:val="13"/>
                <w:color w:val="auto"/>
              </w:rPr>
              <w:t>Cumulative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ind w:left="120"/>
              <w:spacing w:after="0"/>
              <w:rPr>
                <w:sz w:val="20"/>
                <w:szCs w:val="20"/>
                <w:color w:val="auto"/>
              </w:rPr>
            </w:pPr>
            <w:r>
              <w:rPr>
                <w:rFonts w:ascii="Arial" w:cs="Arial" w:eastAsia="Arial" w:hAnsi="Arial"/>
                <w:sz w:val="14"/>
                <w:szCs w:val="14"/>
                <w:color w:val="auto"/>
              </w:rPr>
              <w:t>29.7 %</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color w:val="auto"/>
              </w:rPr>
              <w:t>54.7 %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66.9 %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5"/>
          </w:tcPr>
          <w:p>
            <w:pPr>
              <w:jc w:val="right"/>
              <w:spacing w:after="0"/>
              <w:rPr>
                <w:sz w:val="20"/>
                <w:szCs w:val="20"/>
                <w:color w:val="auto"/>
              </w:rPr>
            </w:pPr>
            <w:r>
              <w:rPr>
                <w:rFonts w:ascii="Arial" w:cs="Arial" w:eastAsia="Arial" w:hAnsi="Arial"/>
                <w:sz w:val="14"/>
                <w:szCs w:val="14"/>
                <w:color w:val="auto"/>
              </w:rPr>
              <w:t>75.8 %</w:t>
            </w:r>
          </w:p>
        </w:tc>
        <w:tc>
          <w:tcPr>
            <w:tcW w:w="100" w:type="dxa"/>
            <w:vAlign w:val="bottom"/>
          </w:tcPr>
          <w:p>
            <w:pPr>
              <w:spacing w:after="0"/>
              <w:rPr>
                <w:sz w:val="16"/>
                <w:szCs w:val="16"/>
                <w:color w:val="auto"/>
              </w:rPr>
            </w:pPr>
          </w:p>
        </w:tc>
        <w:tc>
          <w:tcPr>
            <w:tcW w:w="740" w:type="dxa"/>
            <w:vAlign w:val="bottom"/>
            <w:gridSpan w:val="5"/>
          </w:tcPr>
          <w:p>
            <w:pPr>
              <w:jc w:val="right"/>
              <w:spacing w:after="0"/>
              <w:rPr>
                <w:sz w:val="20"/>
                <w:szCs w:val="20"/>
                <w:color w:val="auto"/>
              </w:rPr>
            </w:pPr>
            <w:r>
              <w:rPr>
                <w:rFonts w:ascii="Arial" w:cs="Arial" w:eastAsia="Arial" w:hAnsi="Arial"/>
                <w:sz w:val="14"/>
                <w:szCs w:val="14"/>
                <w:color w:val="auto"/>
              </w:rPr>
              <w:t>82.0 %</w:t>
            </w:r>
          </w:p>
        </w:tc>
        <w:tc>
          <w:tcPr>
            <w:tcW w:w="820" w:type="dxa"/>
            <w:vAlign w:val="bottom"/>
            <w:gridSpan w:val="6"/>
          </w:tcPr>
          <w:p>
            <w:pPr>
              <w:jc w:val="right"/>
              <w:spacing w:after="0"/>
              <w:rPr>
                <w:sz w:val="20"/>
                <w:szCs w:val="20"/>
                <w:color w:val="auto"/>
              </w:rPr>
            </w:pPr>
            <w:r>
              <w:rPr>
                <w:rFonts w:ascii="Arial" w:cs="Arial" w:eastAsia="Arial" w:hAnsi="Arial"/>
                <w:sz w:val="14"/>
                <w:szCs w:val="14"/>
                <w:color w:val="auto"/>
              </w:rPr>
              <w:t>86.2 %</w:t>
            </w:r>
          </w:p>
        </w:tc>
        <w:tc>
          <w:tcPr>
            <w:tcW w:w="860" w:type="dxa"/>
            <w:vAlign w:val="bottom"/>
            <w:gridSpan w:val="7"/>
          </w:tcPr>
          <w:p>
            <w:pPr>
              <w:jc w:val="right"/>
              <w:spacing w:after="0"/>
              <w:rPr>
                <w:sz w:val="20"/>
                <w:szCs w:val="20"/>
                <w:color w:val="auto"/>
              </w:rPr>
            </w:pPr>
            <w:r>
              <w:rPr>
                <w:rFonts w:ascii="Arial" w:cs="Arial" w:eastAsia="Arial" w:hAnsi="Arial"/>
                <w:sz w:val="14"/>
                <w:szCs w:val="14"/>
                <w:color w:val="auto"/>
              </w:rPr>
              <w:t>89.0 %</w:t>
            </w:r>
          </w:p>
        </w:tc>
        <w:tc>
          <w:tcPr>
            <w:tcW w:w="820" w:type="dxa"/>
            <w:vAlign w:val="bottom"/>
            <w:gridSpan w:val="6"/>
          </w:tcPr>
          <w:p>
            <w:pPr>
              <w:jc w:val="right"/>
              <w:spacing w:after="0"/>
              <w:rPr>
                <w:sz w:val="20"/>
                <w:szCs w:val="20"/>
                <w:color w:val="auto"/>
              </w:rPr>
            </w:pPr>
            <w:r>
              <w:rPr>
                <w:rFonts w:ascii="Arial" w:cs="Arial" w:eastAsia="Arial" w:hAnsi="Arial"/>
                <w:sz w:val="14"/>
                <w:szCs w:val="14"/>
                <w:color w:val="auto"/>
              </w:rPr>
              <w:t>90.8 %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gridSpan w:val="6"/>
          </w:tcPr>
          <w:p>
            <w:pPr>
              <w:jc w:val="right"/>
              <w:spacing w:after="0"/>
              <w:rPr>
                <w:sz w:val="20"/>
                <w:szCs w:val="20"/>
                <w:color w:val="auto"/>
              </w:rPr>
            </w:pPr>
            <w:r>
              <w:rPr>
                <w:rFonts w:ascii="Arial" w:cs="Arial" w:eastAsia="Arial" w:hAnsi="Arial"/>
                <w:sz w:val="14"/>
                <w:szCs w:val="14"/>
                <w:color w:val="auto"/>
              </w:rPr>
              <w:t>92.2 %</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gridSpan w:val="5"/>
          </w:tcPr>
          <w:p>
            <w:pPr>
              <w:jc w:val="right"/>
              <w:spacing w:after="0"/>
              <w:rPr>
                <w:sz w:val="20"/>
                <w:szCs w:val="20"/>
                <w:color w:val="auto"/>
              </w:rPr>
            </w:pPr>
            <w:r>
              <w:rPr>
                <w:rFonts w:ascii="Arial" w:cs="Arial" w:eastAsia="Arial" w:hAnsi="Arial"/>
                <w:sz w:val="14"/>
                <w:szCs w:val="14"/>
                <w:color w:val="auto"/>
              </w:rPr>
              <w:t>93.4 %</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400" w:hanging="392"/>
        <w:spacing w:after="0"/>
        <w:tabs>
          <w:tab w:leader="none" w:pos="4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Represents the cumulative percentage paid of incurred claims and allocated LAE (net of reinsurance, as estimated at December 31, 2023).</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7" w:lineRule="exact"/>
        <w:rPr>
          <w:rFonts w:ascii="Arial" w:cs="Arial" w:eastAsia="Arial" w:hAnsi="Arial"/>
          <w:sz w:val="17"/>
          <w:szCs w:val="17"/>
          <w:color w:val="auto"/>
        </w:rPr>
      </w:pPr>
    </w:p>
    <w:p>
      <w:pPr>
        <w:ind w:left="5440"/>
        <w:spacing w:after="0"/>
        <w:rPr>
          <w:rFonts w:ascii="Arial" w:cs="Arial" w:eastAsia="Arial" w:hAnsi="Arial"/>
          <w:sz w:val="17"/>
          <w:szCs w:val="17"/>
          <w:color w:val="auto"/>
        </w:rPr>
      </w:pPr>
      <w:r>
        <w:rPr>
          <w:rFonts w:ascii="Arial" w:cs="Arial" w:eastAsia="Arial" w:hAnsi="Arial"/>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1" w:name="page132"/>
    <w:bookmarkEnd w:id="13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AMERICAN FINANCIAL GROUP,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NOTES TO CONSOLIDATED FINANCIAL STATEMENTS — CONTINUED</w:t>
      </w:r>
    </w:p>
    <w:p>
      <w:pPr>
        <w:spacing w:after="0" w:line="200" w:lineRule="exact"/>
        <w:rPr>
          <w:sz w:val="20"/>
          <w:szCs w:val="20"/>
          <w:color w:val="auto"/>
        </w:rPr>
      </w:pPr>
    </w:p>
    <w:p>
      <w:pPr>
        <w:spacing w:after="0" w:line="239" w:lineRule="exact"/>
        <w:rPr>
          <w:sz w:val="20"/>
          <w:szCs w:val="20"/>
          <w:color w:val="auto"/>
        </w:rPr>
      </w:pPr>
    </w:p>
    <w:p>
      <w:pPr>
        <w:jc w:val="both"/>
        <w:ind w:right="340"/>
        <w:spacing w:after="0" w:line="249" w:lineRule="auto"/>
        <w:rPr>
          <w:sz w:val="20"/>
          <w:szCs w:val="20"/>
          <w:color w:val="auto"/>
        </w:rPr>
      </w:pPr>
      <w:r>
        <w:rPr>
          <w:rFonts w:ascii="Arial" w:cs="Arial" w:eastAsia="Arial" w:hAnsi="Arial"/>
          <w:sz w:val="20"/>
          <w:szCs w:val="20"/>
          <w:b w:val="1"/>
          <w:bCs w:val="1"/>
          <w:color w:val="00274E"/>
        </w:rPr>
        <w:t xml:space="preserve">Deferred Policy Acquisition Costs </w:t>
      </w:r>
      <w:r>
        <w:rPr>
          <w:rFonts w:ascii="Arial" w:cs="Arial" w:eastAsia="Arial" w:hAnsi="Arial"/>
          <w:sz w:val="17"/>
          <w:szCs w:val="17"/>
          <w:color w:val="000000"/>
        </w:rPr>
        <w:t>Included in property and casualty insurance commissions and other underwriting expenses in AFG’s</w:t>
      </w:r>
      <w:r>
        <w:rPr>
          <w:rFonts w:ascii="Arial" w:cs="Arial" w:eastAsia="Arial" w:hAnsi="Arial"/>
          <w:sz w:val="20"/>
          <w:szCs w:val="20"/>
          <w:b w:val="1"/>
          <w:bCs w:val="1"/>
          <w:color w:val="00274E"/>
        </w:rPr>
        <w:t xml:space="preserve"> </w:t>
      </w:r>
      <w:r>
        <w:rPr>
          <w:rFonts w:ascii="Arial" w:cs="Arial" w:eastAsia="Arial" w:hAnsi="Arial"/>
          <w:sz w:val="17"/>
          <w:szCs w:val="17"/>
          <w:color w:val="000000"/>
        </w:rPr>
        <w:t>Statement of Earnings is amortization of deferred policy acquisition costs of $720 million, $641 million, and $580 million in 2023, 2022 and 2021, respectively.</w:t>
      </w:r>
    </w:p>
    <w:p>
      <w:pPr>
        <w:spacing w:after="0" w:line="211" w:lineRule="exact"/>
        <w:rPr>
          <w:sz w:val="20"/>
          <w:szCs w:val="20"/>
          <w:color w:val="auto"/>
        </w:rPr>
      </w:pPr>
    </w:p>
    <w:p>
      <w:pPr>
        <w:ind w:right="120"/>
        <w:spacing w:after="0" w:line="249" w:lineRule="auto"/>
        <w:rPr>
          <w:sz w:val="20"/>
          <w:szCs w:val="20"/>
          <w:color w:val="auto"/>
        </w:rPr>
      </w:pPr>
      <w:r>
        <w:rPr>
          <w:rFonts w:ascii="Arial" w:cs="Arial" w:eastAsia="Arial" w:hAnsi="Arial"/>
          <w:sz w:val="20"/>
          <w:szCs w:val="20"/>
          <w:b w:val="1"/>
          <w:bCs w:val="1"/>
          <w:color w:val="00274E"/>
        </w:rPr>
        <w:t xml:space="preserve">Statutory Information </w:t>
      </w:r>
      <w:r>
        <w:rPr>
          <w:rFonts w:ascii="Arial" w:cs="Arial" w:eastAsia="Arial" w:hAnsi="Arial"/>
          <w:sz w:val="17"/>
          <w:szCs w:val="17"/>
          <w:color w:val="000000"/>
        </w:rPr>
        <w:t>AFG’s U.S.-based insurance subsidiaries are required to file financial statements with state insurance regulatory</w:t>
      </w:r>
      <w:r>
        <w:rPr>
          <w:rFonts w:ascii="Arial" w:cs="Arial" w:eastAsia="Arial" w:hAnsi="Arial"/>
          <w:sz w:val="20"/>
          <w:szCs w:val="20"/>
          <w:b w:val="1"/>
          <w:bCs w:val="1"/>
          <w:color w:val="00274E"/>
        </w:rPr>
        <w:t xml:space="preserve"> </w:t>
      </w:r>
      <w:r>
        <w:rPr>
          <w:rFonts w:ascii="Arial" w:cs="Arial" w:eastAsia="Arial" w:hAnsi="Arial"/>
          <w:sz w:val="17"/>
          <w:szCs w:val="17"/>
          <w:color w:val="000000"/>
        </w:rPr>
        <w:t>authorities prepared on an accounting basis prescribed or permitted by such authorities (statutory basis). Net earnings and capital and surplus on a statutory basis for the insurance subsidiaries were as follows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Net Earnings</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324"/>
              <w:spacing w:after="0"/>
              <w:rPr>
                <w:sz w:val="20"/>
                <w:szCs w:val="20"/>
                <w:color w:val="auto"/>
              </w:rPr>
            </w:pPr>
            <w:r>
              <w:rPr>
                <w:rFonts w:ascii="Arial" w:cs="Arial" w:eastAsia="Arial" w:hAnsi="Arial"/>
                <w:sz w:val="14"/>
                <w:szCs w:val="14"/>
                <w:color w:val="auto"/>
              </w:rPr>
              <w:t>Capital and Surplus</w:t>
            </w:r>
          </w:p>
        </w:tc>
      </w:tr>
      <w:tr>
        <w:trPr>
          <w:trHeight w:val="196"/>
        </w:trPr>
        <w:tc>
          <w:tcPr>
            <w:tcW w:w="59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color w:val="auto"/>
              </w:rPr>
              <w:t>2023</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color w:val="auto"/>
              </w:rPr>
              <w:t>2022</w:t>
            </w:r>
          </w:p>
        </w:tc>
      </w:tr>
      <w:tr>
        <w:trPr>
          <w:trHeight w:val="213"/>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casualty companies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1,004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912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4,436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4,356</w:t>
            </w:r>
          </w:p>
        </w:tc>
      </w:tr>
    </w:tbl>
    <w:p>
      <w:pPr>
        <w:spacing w:after="0" w:line="302"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The National Association of Insurance Commissioners’ (“NAIC”) model law for risk-based capital (“RBC”) applies to property and casualty insurance companies. RBC formulas determine the amount of capital that an insurance company needs so that it has an acceptable expectation of not becoming financially impaired. Companies below specific trigger points or ratios are subject to regulatory action. At December 31, 2023 and 2022, the capital ratios of all AFG insurance companies substantially exceeded the RBC requirements. AFG’s insurance companies did not use any prescribed or permitted statutory accounting practices that differed from the NAIC statutory accounting practices at December 31, 2023 or 2022.</w:t>
      </w:r>
    </w:p>
    <w:p>
      <w:pPr>
        <w:spacing w:after="0" w:line="206"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color w:val="auto"/>
        </w:rPr>
        <w:t>Payments of dividends by AFG’s insurance companies are subject to various state laws that limit the amount of dividends that can be paid. Under applicable restrictions, the maximum amount of dividends available to AFG in 2024 from its insurance subsidiaries without seeking regulatory approval is $944 million. Additional amounts of dividends require regulatory approval.</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00274E"/>
        </w:rPr>
        <w:t xml:space="preserve">Holding Company Dividends </w:t>
      </w:r>
      <w:r>
        <w:rPr>
          <w:rFonts w:ascii="Arial" w:cs="Arial" w:eastAsia="Arial" w:hAnsi="Arial"/>
          <w:sz w:val="17"/>
          <w:szCs w:val="17"/>
          <w:color w:val="000000"/>
        </w:rPr>
        <w:t>AFG declared and paid common stock dividends to shareholders totaling $687 million, $1.22 billion and</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$2.38 billion in 2023, 2022 and 2021, respectively. Currently, there are no regulatory restrictions on AFG’s retained earnings or net earnings that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materially impact its ability to pay dividends. Based on shareholders’ equity at December 31, 2023, AFG could pay dividends of approximately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$1.5 billion without violating its most restrictive debt covenant. However, the payment of future dividends will be at the discretion of AFG’s Board of</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Directors and will be dependent on many factors including AFG’s financial condition and results of operations, the capital requirements of its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insurance subsidiaries, and rating agency commitments.</w:t>
      </w:r>
    </w:p>
    <w:p>
      <w:pPr>
        <w:spacing w:after="0" w:line="233"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b w:val="1"/>
          <w:bCs w:val="1"/>
          <w:color w:val="00274E"/>
        </w:rPr>
        <w:t xml:space="preserve">Reinsurance </w:t>
      </w:r>
      <w:r>
        <w:rPr>
          <w:rFonts w:ascii="Arial" w:cs="Arial" w:eastAsia="Arial" w:hAnsi="Arial"/>
          <w:sz w:val="17"/>
          <w:szCs w:val="17"/>
          <w:color w:val="000000"/>
        </w:rPr>
        <w:t>In the normal course of business, AFG cedes reinsurance to other companies to diversify risk and limit maximum loss arising from</w:t>
      </w:r>
      <w:r>
        <w:rPr>
          <w:rFonts w:ascii="Arial" w:cs="Arial" w:eastAsia="Arial" w:hAnsi="Arial"/>
          <w:sz w:val="20"/>
          <w:szCs w:val="20"/>
          <w:b w:val="1"/>
          <w:bCs w:val="1"/>
          <w:color w:val="00274E"/>
        </w:rPr>
        <w:t xml:space="preserve"> </w:t>
      </w:r>
      <w:r>
        <w:rPr>
          <w:rFonts w:ascii="Arial" w:cs="Arial" w:eastAsia="Arial" w:hAnsi="Arial"/>
          <w:sz w:val="17"/>
          <w:szCs w:val="17"/>
          <w:color w:val="000000"/>
        </w:rPr>
        <w:t>large claims. However, AFG remains liable to its insureds regardless of whether a reinsurer is able to meet its obligations. The following table shows (in millions) (i) amounts deducted from property and casualty written and earned premiums in connection with reinsurance ceded, (ii) written and earned premiums included in income for reinsurance assumed and (iii) reinsurance recoveries, which represent ceded losses and loss adjustment expenses.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4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2022</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2021</w:t>
            </w:r>
          </w:p>
        </w:tc>
      </w:tr>
      <w:tr>
        <w:trPr>
          <w:trHeight w:val="214"/>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 premiums written</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7,700</w:t>
            </w: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Reinsurance assumed</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246</w:t>
            </w: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Reinsurance ceded</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(2,851)</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(2,373)</w:t>
            </w:r>
          </w:p>
        </w:tc>
      </w:tr>
      <w:tr>
        <w:trPr>
          <w:trHeight w:val="210"/>
        </w:trPr>
        <w:tc>
          <w:tcPr>
            <w:tcW w:w="7400" w:type="dxa"/>
            <w:vAlign w:val="bottom"/>
          </w:tcPr>
          <w:p>
            <w:pPr>
              <w:ind w:left="20"/>
              <w:spacing w:after="0"/>
              <w:rPr>
                <w:sz w:val="20"/>
                <w:szCs w:val="20"/>
                <w:color w:val="auto"/>
              </w:rPr>
            </w:pPr>
            <w:r>
              <w:rPr>
                <w:rFonts w:ascii="Arial" w:cs="Arial" w:eastAsia="Arial" w:hAnsi="Arial"/>
                <w:sz w:val="16"/>
                <w:szCs w:val="16"/>
                <w:color w:val="auto"/>
              </w:rPr>
              <w:t>Net written premiums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6,206</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5,573</w:t>
            </w: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3"/>
        </w:trPr>
        <w:tc>
          <w:tcPr>
            <w:tcW w:w="7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Direct premiums earned</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9,133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8,582</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7,462</w:t>
            </w:r>
          </w:p>
        </w:tc>
      </w:tr>
      <w:tr>
        <w:trPr>
          <w:trHeight w:val="217"/>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Reinsurance assumed</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r>
      <w:tr>
        <w:trPr>
          <w:trHeight w:val="215"/>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Reinsurance ceded</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(2,771)</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(2,307)</w:t>
            </w:r>
          </w:p>
        </w:tc>
      </w:tr>
      <w:tr>
        <w:trPr>
          <w:trHeight w:val="235"/>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earned premiums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6,531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6,085</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5,404</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41"/>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Reinsurance recoveries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2,065</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1,478</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right="80"/>
        <w:spacing w:after="0" w:line="266" w:lineRule="auto"/>
        <w:rPr>
          <w:sz w:val="20"/>
          <w:szCs w:val="20"/>
          <w:color w:val="auto"/>
        </w:rPr>
      </w:pPr>
      <w:r>
        <w:rPr>
          <w:rFonts w:ascii="Arial" w:cs="Arial" w:eastAsia="Arial" w:hAnsi="Arial"/>
          <w:sz w:val="17"/>
          <w:szCs w:val="17"/>
          <w:color w:val="auto"/>
        </w:rPr>
        <w:t>AFG maintains supplemental fully collateralized reinsurance coverage up to 94% of $323 million for catastrophe losses in excess of $127 million of traditional catastrophe reinsurance through a catastrophe bond. AFG’s cost for this coverage is approximately $16 million per year. Recoveries from the catastrophe bond apply before calculating losses recoverable from this catastrophe excess of loss reinsurance.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2" w:name="page133"/>
    <w:bookmarkEnd w:id="13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AMERICAN FINANCIAL GROUP,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NOTES TO CONSOLIDATED FINANCIAL STATEMENTS — CONTINUED</w:t>
      </w:r>
    </w:p>
    <w:p>
      <w:pPr>
        <w:spacing w:after="0" w:line="200" w:lineRule="exact"/>
        <w:rPr>
          <w:sz w:val="20"/>
          <w:szCs w:val="20"/>
          <w:color w:val="auto"/>
        </w:rPr>
      </w:pPr>
    </w:p>
    <w:p>
      <w:pPr>
        <w:spacing w:after="0" w:line="239" w:lineRule="exact"/>
        <w:rPr>
          <w:sz w:val="20"/>
          <w:szCs w:val="20"/>
          <w:color w:val="auto"/>
        </w:rPr>
      </w:pPr>
    </w:p>
    <w:p>
      <w:pPr>
        <w:ind w:right="280"/>
        <w:spacing w:after="0" w:line="249" w:lineRule="auto"/>
        <w:rPr>
          <w:sz w:val="20"/>
          <w:szCs w:val="20"/>
          <w:color w:val="auto"/>
        </w:rPr>
      </w:pPr>
      <w:r>
        <w:rPr>
          <w:rFonts w:ascii="Arial" w:cs="Arial" w:eastAsia="Arial" w:hAnsi="Arial"/>
          <w:sz w:val="20"/>
          <w:szCs w:val="20"/>
          <w:b w:val="1"/>
          <w:bCs w:val="1"/>
          <w:color w:val="00274E"/>
        </w:rPr>
        <w:t xml:space="preserve">Recoverables from Reinsurers and Premiums Receivable </w:t>
      </w:r>
      <w:r>
        <w:rPr>
          <w:rFonts w:ascii="Arial" w:cs="Arial" w:eastAsia="Arial" w:hAnsi="Arial"/>
          <w:sz w:val="17"/>
          <w:szCs w:val="17"/>
          <w:color w:val="000000"/>
        </w:rPr>
        <w:t>Progressions of the allowance for expected credit losses on recoverables</w:t>
      </w:r>
      <w:r>
        <w:rPr>
          <w:rFonts w:ascii="Arial" w:cs="Arial" w:eastAsia="Arial" w:hAnsi="Arial"/>
          <w:sz w:val="20"/>
          <w:szCs w:val="20"/>
          <w:b w:val="1"/>
          <w:bCs w:val="1"/>
          <w:color w:val="00274E"/>
        </w:rPr>
        <w:t xml:space="preserve"> </w:t>
      </w:r>
      <w:r>
        <w:rPr>
          <w:rFonts w:ascii="Arial" w:cs="Arial" w:eastAsia="Arial" w:hAnsi="Arial"/>
          <w:sz w:val="17"/>
          <w:szCs w:val="17"/>
          <w:color w:val="000000"/>
        </w:rPr>
        <w:t>from reinsurers and premiums receivable are shown below (in millions):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16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6"/>
          </w:tcPr>
          <w:p>
            <w:pPr>
              <w:jc w:val="right"/>
              <w:ind w:right="442"/>
              <w:spacing w:after="0"/>
              <w:rPr>
                <w:sz w:val="20"/>
                <w:szCs w:val="20"/>
                <w:color w:val="auto"/>
              </w:rPr>
            </w:pPr>
            <w:r>
              <w:rPr>
                <w:rFonts w:ascii="Arial" w:cs="Arial" w:eastAsia="Arial" w:hAnsi="Arial"/>
                <w:sz w:val="13"/>
                <w:szCs w:val="13"/>
                <w:color w:val="auto"/>
              </w:rPr>
              <w:t>Recoverables from Reinsurers</w:t>
            </w:r>
          </w:p>
        </w:tc>
        <w:tc>
          <w:tcPr>
            <w:tcW w:w="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color w:val="auto"/>
              </w:rPr>
              <w:t>Premiums Receivable</w:t>
            </w: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198"/>
        </w:trPr>
        <w:tc>
          <w:tcPr>
            <w:tcW w:w="416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color w:val="auto"/>
              </w:rPr>
              <w:t>2022</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color w:val="auto"/>
              </w:rPr>
              <w:t>2021</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2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2021</w:t>
            </w:r>
          </w:p>
        </w:tc>
      </w:tr>
      <w:tr>
        <w:trPr>
          <w:trHeight w:val="214"/>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January 1</w:t>
            </w:r>
          </w:p>
        </w:tc>
        <w:tc>
          <w:tcPr>
            <w:tcW w:w="780" w:type="dxa"/>
            <w:vAlign w:val="bottom"/>
            <w:shd w:val="clear" w:color="auto" w:fill="CCEEFF"/>
          </w:tcPr>
          <w:p>
            <w:pPr>
              <w:jc w:val="right"/>
              <w:ind w:right="582"/>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02"/>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02"/>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82"/>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w:t>
            </w:r>
          </w:p>
        </w:tc>
      </w:tr>
      <w:tr>
        <w:trPr>
          <w:trHeight w:val="215"/>
        </w:trPr>
        <w:tc>
          <w:tcPr>
            <w:tcW w:w="4160" w:type="dxa"/>
            <w:vAlign w:val="bottom"/>
          </w:tcPr>
          <w:p>
            <w:pPr>
              <w:ind w:left="20"/>
              <w:spacing w:after="0"/>
              <w:rPr>
                <w:sz w:val="20"/>
                <w:szCs w:val="20"/>
                <w:color w:val="auto"/>
              </w:rPr>
            </w:pPr>
            <w:r>
              <w:rPr>
                <w:rFonts w:ascii="Arial" w:cs="Arial" w:eastAsia="Arial" w:hAnsi="Arial"/>
                <w:sz w:val="16"/>
                <w:szCs w:val="16"/>
                <w:color w:val="auto"/>
              </w:rPr>
              <w:t>Increase in allowance from acquisition of CRS</w:t>
            </w:r>
          </w:p>
        </w:tc>
        <w:tc>
          <w:tcPr>
            <w:tcW w:w="78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17"/>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expected credit losses</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4160" w:type="dxa"/>
            <w:vAlign w:val="bottom"/>
          </w:tcPr>
          <w:p>
            <w:pPr>
              <w:ind w:left="20"/>
              <w:spacing w:after="0"/>
              <w:rPr>
                <w:sz w:val="20"/>
                <w:szCs w:val="20"/>
                <w:color w:val="auto"/>
              </w:rPr>
            </w:pPr>
            <w:r>
              <w:rPr>
                <w:rFonts w:ascii="Arial" w:cs="Arial" w:eastAsia="Arial" w:hAnsi="Arial"/>
                <w:sz w:val="16"/>
                <w:szCs w:val="16"/>
                <w:color w:val="auto"/>
              </w:rPr>
              <w:t>Write-offs charged against the allowance</w:t>
            </w:r>
          </w:p>
        </w:tc>
        <w:tc>
          <w:tcPr>
            <w:tcW w:w="78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35"/>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w:t>
            </w:r>
          </w:p>
        </w:tc>
        <w:tc>
          <w:tcPr>
            <w:tcW w:w="780" w:type="dxa"/>
            <w:vAlign w:val="bottom"/>
            <w:tcBorders>
              <w:top w:val="single" w:sz="8" w:color="auto"/>
              <w:bottom w:val="single" w:sz="8" w:color="auto"/>
            </w:tcBorders>
            <w:shd w:val="clear" w:color="auto" w:fill="CCEEFF"/>
          </w:tcPr>
          <w:p>
            <w:pPr>
              <w:jc w:val="right"/>
              <w:ind w:right="582"/>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ind w:right="602"/>
              <w:spacing w:after="0"/>
              <w:rPr>
                <w:sz w:val="20"/>
                <w:szCs w:val="20"/>
                <w:color w:val="auto"/>
              </w:rPr>
            </w:pPr>
            <w:r>
              <w:rPr>
                <w:rFonts w:ascii="Arial" w:cs="Arial" w:eastAsia="Arial" w:hAnsi="Arial"/>
                <w:sz w:val="16"/>
                <w:szCs w:val="16"/>
                <w:color w:val="auto"/>
                <w:w w:val="8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ind w:right="602"/>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ind w:right="582"/>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ind w:left="560" w:hanging="552"/>
        <w:spacing w:after="0"/>
        <w:tabs>
          <w:tab w:leader="none" w:pos="560" w:val="left"/>
        </w:tabs>
        <w:numPr>
          <w:ilvl w:val="0"/>
          <w:numId w:val="76"/>
        </w:numPr>
        <w:rPr>
          <w:rFonts w:ascii="Arial" w:cs="Arial" w:eastAsia="Arial" w:hAnsi="Arial"/>
          <w:sz w:val="29"/>
          <w:szCs w:val="29"/>
          <w:b w:val="1"/>
          <w:bCs w:val="1"/>
          <w:color w:val="00274E"/>
        </w:rPr>
      </w:pPr>
      <w:r>
        <w:rPr>
          <w:rFonts w:ascii="Arial" w:cs="Arial" w:eastAsia="Arial" w:hAnsi="Arial"/>
          <w:sz w:val="29"/>
          <w:szCs w:val="29"/>
          <w:b w:val="1"/>
          <w:bCs w:val="1"/>
          <w:color w:val="00274E"/>
        </w:rPr>
        <w:t>Additional Information</w:t>
      </w:r>
    </w:p>
    <w:p>
      <w:pPr>
        <w:spacing w:after="0" w:line="271"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b w:val="1"/>
          <w:bCs w:val="1"/>
          <w:color w:val="00274E"/>
        </w:rPr>
        <w:t xml:space="preserve">Financial Instruments — Unfunded Commitments </w:t>
      </w:r>
      <w:r>
        <w:rPr>
          <w:rFonts w:ascii="Arial" w:cs="Arial" w:eastAsia="Arial" w:hAnsi="Arial"/>
          <w:sz w:val="17"/>
          <w:szCs w:val="17"/>
          <w:color w:val="000000"/>
        </w:rPr>
        <w:t>On occasion, AFG and its subsidiaries have entered into financial instrument</w:t>
      </w:r>
      <w:r>
        <w:rPr>
          <w:rFonts w:ascii="Arial" w:cs="Arial" w:eastAsia="Arial" w:hAnsi="Arial"/>
          <w:sz w:val="20"/>
          <w:szCs w:val="20"/>
          <w:b w:val="1"/>
          <w:bCs w:val="1"/>
          <w:color w:val="00274E"/>
        </w:rPr>
        <w:t xml:space="preserve"> </w:t>
      </w:r>
      <w:r>
        <w:rPr>
          <w:rFonts w:ascii="Arial" w:cs="Arial" w:eastAsia="Arial" w:hAnsi="Arial"/>
          <w:sz w:val="17"/>
          <w:szCs w:val="17"/>
          <w:color w:val="000000"/>
        </w:rPr>
        <w:t>transactions that may present off-balance-sheet risks of both a credit and market risk nature. These transactions include commitments to fund loans, loan guarantees and commitments to purchase and sell securities or loans. At December 31, 2023, AFG and its subsidiaries had commitments to fund credit facilities and contribute capital to limited partnerships and limited liability corporations of approximately $513 million.</w:t>
      </w:r>
    </w:p>
    <w:p>
      <w:pPr>
        <w:spacing w:after="0" w:line="214" w:lineRule="exact"/>
        <w:rPr>
          <w:sz w:val="20"/>
          <w:szCs w:val="20"/>
          <w:color w:val="auto"/>
        </w:rPr>
      </w:pPr>
    </w:p>
    <w:p>
      <w:pPr>
        <w:ind w:right="400"/>
        <w:spacing w:after="0" w:line="237" w:lineRule="auto"/>
        <w:rPr>
          <w:sz w:val="20"/>
          <w:szCs w:val="20"/>
          <w:color w:val="auto"/>
        </w:rPr>
      </w:pPr>
      <w:r>
        <w:rPr>
          <w:rFonts w:ascii="Arial" w:cs="Arial" w:eastAsia="Arial" w:hAnsi="Arial"/>
          <w:sz w:val="20"/>
          <w:szCs w:val="20"/>
          <w:b w:val="1"/>
          <w:bCs w:val="1"/>
          <w:color w:val="00274E"/>
        </w:rPr>
        <w:t xml:space="preserve">Benefit Plans </w:t>
      </w:r>
      <w:r>
        <w:rPr>
          <w:rFonts w:ascii="Arial" w:cs="Arial" w:eastAsia="Arial" w:hAnsi="Arial"/>
          <w:sz w:val="17"/>
          <w:szCs w:val="17"/>
          <w:color w:val="000000"/>
        </w:rPr>
        <w:t>AFG expensed approximately $63 million in 2023, $41 million in 2022 and $61 million in 2021 for its retirement and employee</w:t>
      </w:r>
      <w:r>
        <w:rPr>
          <w:rFonts w:ascii="Arial" w:cs="Arial" w:eastAsia="Arial" w:hAnsi="Arial"/>
          <w:sz w:val="20"/>
          <w:szCs w:val="20"/>
          <w:b w:val="1"/>
          <w:bCs w:val="1"/>
          <w:color w:val="00274E"/>
        </w:rPr>
        <w:t xml:space="preserve"> </w:t>
      </w:r>
      <w:r>
        <w:rPr>
          <w:rFonts w:ascii="Arial" w:cs="Arial" w:eastAsia="Arial" w:hAnsi="Arial"/>
          <w:sz w:val="17"/>
          <w:szCs w:val="17"/>
          <w:color w:val="000000"/>
        </w:rPr>
        <w:t>savings plans.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3" w:name="page134"/>
    <w:bookmarkEnd w:id="13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5"/>
          <w:szCs w:val="25"/>
          <w:b w:val="1"/>
          <w:bCs w:val="1"/>
          <w:color w:val="00274E"/>
        </w:rPr>
        <w:t>PART III</w:t>
      </w:r>
    </w:p>
    <w:p>
      <w:pPr>
        <w:spacing w:after="0" w:line="201"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The information required by the following Items will be included in AFG’s definitive Proxy Statement for the 2024 Annual Meeting of Shareholders, which will be filed with the Securities and Exchange Commission within 120 days after the end of the Registrant’s fiscal year and is incorporated herein by reference.</w:t>
      </w:r>
    </w:p>
    <w:p>
      <w:pPr>
        <w:spacing w:after="0" w:line="200" w:lineRule="exact"/>
        <w:rPr>
          <w:sz w:val="20"/>
          <w:szCs w:val="20"/>
          <w:color w:val="auto"/>
        </w:rPr>
      </w:pPr>
    </w:p>
    <w:p>
      <w:pPr>
        <w:spacing w:after="0" w:line="242"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0"/>
          <w:szCs w:val="20"/>
          <w:b w:val="1"/>
          <w:bCs w:val="1"/>
          <w:color w:val="00274E"/>
        </w:rPr>
        <w:t>ITEM 10</w:t>
      </w:r>
      <w:r>
        <w:rPr>
          <w:sz w:val="20"/>
          <w:szCs w:val="20"/>
          <w:color w:val="auto"/>
        </w:rPr>
        <w:tab/>
      </w:r>
      <w:r>
        <w:rPr>
          <w:rFonts w:ascii="Arial" w:cs="Arial" w:eastAsia="Arial" w:hAnsi="Arial"/>
          <w:sz w:val="19"/>
          <w:szCs w:val="19"/>
          <w:b w:val="1"/>
          <w:bCs w:val="1"/>
          <w:color w:val="00274E"/>
        </w:rPr>
        <w:t>Directors, Executive Officers of the Registrant and Corporate Governance</w:t>
      </w:r>
    </w:p>
    <w:p>
      <w:pPr>
        <w:spacing w:after="0" w:line="67"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0"/>
          <w:szCs w:val="20"/>
          <w:b w:val="1"/>
          <w:bCs w:val="1"/>
          <w:color w:val="00274E"/>
        </w:rPr>
        <w:t>ITEM 11</w:t>
      </w:r>
      <w:r>
        <w:rPr>
          <w:sz w:val="20"/>
          <w:szCs w:val="20"/>
          <w:color w:val="auto"/>
        </w:rPr>
        <w:tab/>
      </w:r>
      <w:r>
        <w:rPr>
          <w:rFonts w:ascii="Arial" w:cs="Arial" w:eastAsia="Arial" w:hAnsi="Arial"/>
          <w:sz w:val="19"/>
          <w:szCs w:val="19"/>
          <w:b w:val="1"/>
          <w:bCs w:val="1"/>
          <w:color w:val="00274E"/>
        </w:rPr>
        <w:t>Executive Compensation</w:t>
      </w:r>
    </w:p>
    <w:p>
      <w:pPr>
        <w:spacing w:after="0" w:line="67"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0"/>
          <w:szCs w:val="20"/>
          <w:b w:val="1"/>
          <w:bCs w:val="1"/>
          <w:color w:val="00274E"/>
        </w:rPr>
        <w:t>ITEM 12</w:t>
      </w:r>
      <w:r>
        <w:rPr>
          <w:sz w:val="20"/>
          <w:szCs w:val="20"/>
          <w:color w:val="auto"/>
        </w:rPr>
        <w:tab/>
      </w:r>
      <w:r>
        <w:rPr>
          <w:rFonts w:ascii="Arial" w:cs="Arial" w:eastAsia="Arial" w:hAnsi="Arial"/>
          <w:sz w:val="19"/>
          <w:szCs w:val="19"/>
          <w:b w:val="1"/>
          <w:bCs w:val="1"/>
          <w:color w:val="00274E"/>
        </w:rPr>
        <w:t>Security Ownership of Certain Beneficial Owners and Management and Related Stockholder Matters</w:t>
      </w:r>
    </w:p>
    <w:p>
      <w:pPr>
        <w:spacing w:after="0" w:line="67"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0"/>
          <w:szCs w:val="20"/>
          <w:b w:val="1"/>
          <w:bCs w:val="1"/>
          <w:color w:val="00274E"/>
        </w:rPr>
        <w:t>ITEM 13</w:t>
      </w:r>
      <w:r>
        <w:rPr>
          <w:sz w:val="20"/>
          <w:szCs w:val="20"/>
          <w:color w:val="auto"/>
        </w:rPr>
        <w:tab/>
      </w:r>
      <w:r>
        <w:rPr>
          <w:rFonts w:ascii="Arial" w:cs="Arial" w:eastAsia="Arial" w:hAnsi="Arial"/>
          <w:sz w:val="19"/>
          <w:szCs w:val="19"/>
          <w:b w:val="1"/>
          <w:bCs w:val="1"/>
          <w:color w:val="00274E"/>
        </w:rPr>
        <w:t>Certain Relationships and Related Transactions, and Director Independence</w:t>
      </w:r>
    </w:p>
    <w:p>
      <w:pPr>
        <w:spacing w:after="0" w:line="67"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0"/>
          <w:szCs w:val="20"/>
          <w:b w:val="1"/>
          <w:bCs w:val="1"/>
          <w:color w:val="00274E"/>
        </w:rPr>
        <w:t>ITEM 14</w:t>
      </w:r>
      <w:r>
        <w:rPr>
          <w:sz w:val="20"/>
          <w:szCs w:val="20"/>
          <w:color w:val="auto"/>
        </w:rPr>
        <w:tab/>
      </w:r>
      <w:r>
        <w:rPr>
          <w:rFonts w:ascii="Arial" w:cs="Arial" w:eastAsia="Arial" w:hAnsi="Arial"/>
          <w:sz w:val="19"/>
          <w:szCs w:val="19"/>
          <w:b w:val="1"/>
          <w:bCs w:val="1"/>
          <w:color w:val="00274E"/>
        </w:rPr>
        <w:t>Principal Accountant Fees and Services</w:t>
      </w:r>
    </w:p>
    <w:p>
      <w:pPr>
        <w:spacing w:after="0" w:line="363" w:lineRule="exact"/>
        <w:rPr>
          <w:sz w:val="20"/>
          <w:szCs w:val="20"/>
          <w:color w:val="auto"/>
        </w:rPr>
      </w:pPr>
    </w:p>
    <w:p>
      <w:pPr>
        <w:spacing w:after="0"/>
        <w:rPr>
          <w:sz w:val="20"/>
          <w:szCs w:val="20"/>
          <w:color w:val="auto"/>
        </w:rPr>
      </w:pPr>
      <w:r>
        <w:rPr>
          <w:rFonts w:ascii="Arial" w:cs="Arial" w:eastAsia="Arial" w:hAnsi="Arial"/>
          <w:sz w:val="25"/>
          <w:szCs w:val="25"/>
          <w:b w:val="1"/>
          <w:bCs w:val="1"/>
          <w:color w:val="00274E"/>
        </w:rPr>
        <w:t>PART IV</w:t>
      </w:r>
    </w:p>
    <w:p>
      <w:pPr>
        <w:spacing w:after="0" w:line="266" w:lineRule="exact"/>
        <w:rPr>
          <w:sz w:val="20"/>
          <w:szCs w:val="20"/>
          <w:color w:val="auto"/>
        </w:rPr>
      </w:pPr>
    </w:p>
    <w:p>
      <w:pPr>
        <w:spacing w:after="0"/>
        <w:rPr>
          <w:sz w:val="20"/>
          <w:szCs w:val="20"/>
          <w:color w:val="auto"/>
        </w:rPr>
      </w:pPr>
      <w:r>
        <w:rPr>
          <w:rFonts w:ascii="Arial" w:cs="Arial" w:eastAsia="Arial" w:hAnsi="Arial"/>
          <w:sz w:val="36"/>
          <w:szCs w:val="36"/>
          <w:b w:val="1"/>
          <w:bCs w:val="1"/>
          <w:color w:val="00274E"/>
        </w:rPr>
        <w:t>Item 15. Exhibits and Financial Statement Schedules</w:t>
      </w:r>
    </w:p>
    <w:p>
      <w:pPr>
        <w:spacing w:after="0" w:line="82"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10700" w:type="dxa"/>
            <w:vAlign w:val="bottom"/>
            <w:gridSpan w:val="2"/>
          </w:tcPr>
          <w:p>
            <w:pPr>
              <w:spacing w:after="0"/>
              <w:rPr>
                <w:sz w:val="20"/>
                <w:szCs w:val="20"/>
                <w:color w:val="auto"/>
              </w:rPr>
            </w:pPr>
            <w:r>
              <w:rPr>
                <w:rFonts w:ascii="Arial" w:cs="Arial" w:eastAsia="Arial" w:hAnsi="Arial"/>
                <w:sz w:val="16"/>
                <w:szCs w:val="16"/>
                <w:color w:val="auto"/>
              </w:rPr>
              <w:t>(a)   Documents filed as part of this Report:</w:t>
            </w:r>
          </w:p>
        </w:tc>
        <w:tc>
          <w:tcPr>
            <w:tcW w:w="380" w:type="dxa"/>
            <w:vAlign w:val="bottom"/>
          </w:tcPr>
          <w:p>
            <w:pPr>
              <w:spacing w:after="0"/>
              <w:rPr>
                <w:sz w:val="17"/>
                <w:szCs w:val="17"/>
                <w:color w:val="auto"/>
              </w:rPr>
            </w:pPr>
          </w:p>
        </w:tc>
      </w:tr>
      <w:tr>
        <w:trPr>
          <w:trHeight w:val="215"/>
        </w:trPr>
        <w:tc>
          <w:tcPr>
            <w:tcW w:w="6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60" w:type="dxa"/>
            <w:vAlign w:val="bottom"/>
          </w:tcPr>
          <w:p>
            <w:pPr>
              <w:ind w:left="100"/>
              <w:spacing w:after="0"/>
              <w:rPr>
                <w:sz w:val="20"/>
                <w:szCs w:val="20"/>
                <w:color w:val="auto"/>
              </w:rPr>
            </w:pPr>
            <w:r>
              <w:rPr>
                <w:rFonts w:ascii="Arial" w:cs="Arial" w:eastAsia="Arial" w:hAnsi="Arial"/>
                <w:sz w:val="16"/>
                <w:szCs w:val="16"/>
                <w:color w:val="auto"/>
              </w:rPr>
              <w:t>Financial Statements are included in Part II, Item 8.</w:t>
            </w:r>
          </w:p>
        </w:tc>
        <w:tc>
          <w:tcPr>
            <w:tcW w:w="380" w:type="dxa"/>
            <w:vAlign w:val="bottom"/>
          </w:tcPr>
          <w:p>
            <w:pPr>
              <w:spacing w:after="0"/>
              <w:rPr>
                <w:sz w:val="18"/>
                <w:szCs w:val="18"/>
                <w:color w:val="auto"/>
              </w:rPr>
            </w:pPr>
          </w:p>
        </w:tc>
      </w:tr>
      <w:tr>
        <w:trPr>
          <w:trHeight w:val="364"/>
        </w:trPr>
        <w:tc>
          <w:tcPr>
            <w:tcW w:w="64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60" w:type="dxa"/>
            <w:vAlign w:val="bottom"/>
          </w:tcPr>
          <w:p>
            <w:pPr>
              <w:ind w:left="100"/>
              <w:spacing w:after="0"/>
              <w:rPr>
                <w:sz w:val="20"/>
                <w:szCs w:val="20"/>
                <w:color w:val="auto"/>
              </w:rPr>
            </w:pPr>
            <w:r>
              <w:rPr>
                <w:rFonts w:ascii="Arial" w:cs="Arial" w:eastAsia="Arial" w:hAnsi="Arial"/>
                <w:sz w:val="16"/>
                <w:szCs w:val="16"/>
                <w:color w:val="auto"/>
              </w:rPr>
              <w:t>Financial Statement Schedules:</w:t>
            </w:r>
          </w:p>
        </w:tc>
        <w:tc>
          <w:tcPr>
            <w:tcW w:w="380" w:type="dxa"/>
            <w:vAlign w:val="bottom"/>
          </w:tcPr>
          <w:p>
            <w:pPr>
              <w:spacing w:after="0"/>
              <w:rPr>
                <w:sz w:val="24"/>
                <w:szCs w:val="24"/>
                <w:color w:val="auto"/>
              </w:rPr>
            </w:pPr>
          </w:p>
        </w:tc>
      </w:tr>
      <w:tr>
        <w:trPr>
          <w:trHeight w:val="216"/>
        </w:trPr>
        <w:tc>
          <w:tcPr>
            <w:tcW w:w="640" w:type="dxa"/>
            <w:vAlign w:val="bottom"/>
          </w:tcPr>
          <w:p>
            <w:pPr>
              <w:spacing w:after="0"/>
              <w:rPr>
                <w:sz w:val="18"/>
                <w:szCs w:val="18"/>
                <w:color w:val="auto"/>
              </w:rPr>
            </w:pPr>
          </w:p>
        </w:tc>
        <w:tc>
          <w:tcPr>
            <w:tcW w:w="10060" w:type="dxa"/>
            <w:vAlign w:val="bottom"/>
          </w:tcPr>
          <w:p>
            <w:pPr>
              <w:ind w:left="460"/>
              <w:spacing w:after="0"/>
              <w:rPr>
                <w:sz w:val="20"/>
                <w:szCs w:val="20"/>
                <w:color w:val="auto"/>
              </w:rPr>
            </w:pPr>
            <w:r>
              <w:rPr>
                <w:rFonts w:ascii="Arial" w:cs="Arial" w:eastAsia="Arial" w:hAnsi="Arial"/>
                <w:sz w:val="16"/>
                <w:szCs w:val="16"/>
                <w:color w:val="auto"/>
              </w:rPr>
              <w:t>Schedules filed herewith for 2023, 2022, and 2021:</w:t>
            </w:r>
          </w:p>
        </w:tc>
        <w:tc>
          <w:tcPr>
            <w:tcW w:w="380" w:type="dxa"/>
            <w:vAlign w:val="bottom"/>
          </w:tcPr>
          <w:p>
            <w:pPr>
              <w:spacing w:after="0"/>
              <w:rPr>
                <w:sz w:val="18"/>
                <w:szCs w:val="18"/>
                <w:color w:val="auto"/>
              </w:rPr>
            </w:pPr>
          </w:p>
        </w:tc>
      </w:tr>
      <w:tr>
        <w:trPr>
          <w:trHeight w:val="178"/>
        </w:trPr>
        <w:tc>
          <w:tcPr>
            <w:tcW w:w="640" w:type="dxa"/>
            <w:vAlign w:val="bottom"/>
          </w:tcPr>
          <w:p>
            <w:pPr>
              <w:spacing w:after="0"/>
              <w:rPr>
                <w:sz w:val="15"/>
                <w:szCs w:val="15"/>
                <w:color w:val="auto"/>
              </w:rPr>
            </w:pPr>
          </w:p>
        </w:tc>
        <w:tc>
          <w:tcPr>
            <w:tcW w:w="10060" w:type="dxa"/>
            <w:vAlign w:val="bottom"/>
          </w:tcPr>
          <w:p>
            <w:pPr>
              <w:spacing w:after="0"/>
              <w:rPr>
                <w:sz w:val="15"/>
                <w:szCs w:val="15"/>
                <w:color w:val="auto"/>
              </w:rPr>
            </w:pPr>
          </w:p>
        </w:tc>
        <w:tc>
          <w:tcPr>
            <w:tcW w:w="3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w w:val="96"/>
              </w:rPr>
              <w:t>Page</w:t>
            </w:r>
          </w:p>
        </w:tc>
      </w:tr>
      <w:tr>
        <w:trPr>
          <w:trHeight w:val="234"/>
        </w:trPr>
        <w:tc>
          <w:tcPr>
            <w:tcW w:w="640" w:type="dxa"/>
            <w:vAlign w:val="bottom"/>
          </w:tcPr>
          <w:p>
            <w:pPr>
              <w:spacing w:after="0"/>
              <w:rPr>
                <w:sz w:val="20"/>
                <w:szCs w:val="20"/>
                <w:color w:val="auto"/>
              </w:rPr>
            </w:pPr>
          </w:p>
        </w:tc>
        <w:tc>
          <w:tcPr>
            <w:tcW w:w="10060" w:type="dxa"/>
            <w:vAlign w:val="bottom"/>
          </w:tcPr>
          <w:p>
            <w:pPr>
              <w:ind w:left="460"/>
              <w:spacing w:after="0"/>
              <w:rPr>
                <w:sz w:val="20"/>
                <w:szCs w:val="20"/>
                <w:color w:val="auto"/>
              </w:rPr>
            </w:pPr>
            <w:r>
              <w:rPr>
                <w:rFonts w:ascii="Arial" w:cs="Arial" w:eastAsia="Arial" w:hAnsi="Arial"/>
                <w:sz w:val="16"/>
                <w:szCs w:val="16"/>
                <w:color w:val="auto"/>
              </w:rPr>
              <w:t>II — Condensed Financial Information of Registrant</w:t>
            </w:r>
          </w:p>
        </w:tc>
        <w:tc>
          <w:tcPr>
            <w:tcW w:w="380" w:type="dxa"/>
            <w:vAlign w:val="bottom"/>
          </w:tcPr>
          <w:p>
            <w:pPr>
              <w:jc w:val="right"/>
              <w:spacing w:after="0"/>
              <w:rPr>
                <w:sz w:val="20"/>
                <w:szCs w:val="20"/>
                <w:color w:val="auto"/>
              </w:rPr>
            </w:pPr>
            <w:r>
              <w:rPr>
                <w:rFonts w:ascii="Arial" w:cs="Arial" w:eastAsia="Arial" w:hAnsi="Arial"/>
                <w:sz w:val="16"/>
                <w:szCs w:val="16"/>
                <w:color w:val="0000FF"/>
              </w:rPr>
              <w:t>S-3</w:t>
            </w:r>
          </w:p>
        </w:tc>
      </w:tr>
      <w:tr>
        <w:trPr>
          <w:trHeight w:val="216"/>
        </w:trPr>
        <w:tc>
          <w:tcPr>
            <w:tcW w:w="640" w:type="dxa"/>
            <w:vAlign w:val="bottom"/>
          </w:tcPr>
          <w:p>
            <w:pPr>
              <w:spacing w:after="0"/>
              <w:rPr>
                <w:sz w:val="18"/>
                <w:szCs w:val="18"/>
                <w:color w:val="auto"/>
              </w:rPr>
            </w:pPr>
          </w:p>
        </w:tc>
        <w:tc>
          <w:tcPr>
            <w:tcW w:w="10060" w:type="dxa"/>
            <w:vAlign w:val="bottom"/>
          </w:tcPr>
          <w:p>
            <w:pPr>
              <w:ind w:left="460"/>
              <w:spacing w:after="0"/>
              <w:rPr>
                <w:sz w:val="20"/>
                <w:szCs w:val="20"/>
                <w:color w:val="auto"/>
              </w:rPr>
            </w:pPr>
            <w:r>
              <w:rPr>
                <w:rFonts w:ascii="Arial" w:cs="Arial" w:eastAsia="Arial" w:hAnsi="Arial"/>
                <w:sz w:val="16"/>
                <w:szCs w:val="16"/>
                <w:color w:val="auto"/>
              </w:rPr>
              <w:t>III — Supplementary Insurance Information</w:t>
            </w:r>
          </w:p>
        </w:tc>
        <w:tc>
          <w:tcPr>
            <w:tcW w:w="380" w:type="dxa"/>
            <w:vAlign w:val="bottom"/>
          </w:tcPr>
          <w:p>
            <w:pPr>
              <w:jc w:val="right"/>
              <w:spacing w:after="0"/>
              <w:rPr>
                <w:sz w:val="20"/>
                <w:szCs w:val="20"/>
                <w:color w:val="auto"/>
              </w:rPr>
            </w:pPr>
            <w:r>
              <w:rPr>
                <w:rFonts w:ascii="Arial" w:cs="Arial" w:eastAsia="Arial" w:hAnsi="Arial"/>
                <w:sz w:val="16"/>
                <w:szCs w:val="16"/>
                <w:color w:val="0000FF"/>
              </w:rPr>
              <w:t>S-5</w:t>
            </w:r>
          </w:p>
        </w:tc>
      </w:tr>
      <w:tr>
        <w:trPr>
          <w:trHeight w:val="313"/>
        </w:trPr>
        <w:tc>
          <w:tcPr>
            <w:tcW w:w="640" w:type="dxa"/>
            <w:vAlign w:val="bottom"/>
          </w:tcPr>
          <w:p>
            <w:pPr>
              <w:spacing w:after="0"/>
              <w:rPr>
                <w:sz w:val="24"/>
                <w:szCs w:val="24"/>
                <w:color w:val="auto"/>
              </w:rPr>
            </w:pPr>
          </w:p>
        </w:tc>
        <w:tc>
          <w:tcPr>
            <w:tcW w:w="10060" w:type="dxa"/>
            <w:vAlign w:val="bottom"/>
          </w:tcPr>
          <w:p>
            <w:pPr>
              <w:ind w:left="460"/>
              <w:spacing w:after="0"/>
              <w:rPr>
                <w:sz w:val="20"/>
                <w:szCs w:val="20"/>
                <w:color w:val="auto"/>
              </w:rPr>
            </w:pPr>
            <w:r>
              <w:rPr>
                <w:rFonts w:ascii="Arial" w:cs="Arial" w:eastAsia="Arial" w:hAnsi="Arial"/>
                <w:sz w:val="16"/>
                <w:szCs w:val="16"/>
                <w:color w:val="auto"/>
              </w:rPr>
              <w:t>All other schedules for which provisions are made in the applicable regulation of the Securities and Exchange</w:t>
            </w:r>
          </w:p>
        </w:tc>
        <w:tc>
          <w:tcPr>
            <w:tcW w:w="380" w:type="dxa"/>
            <w:vAlign w:val="bottom"/>
          </w:tcPr>
          <w:p>
            <w:pPr>
              <w:spacing w:after="0"/>
              <w:rPr>
                <w:sz w:val="24"/>
                <w:szCs w:val="24"/>
                <w:color w:val="auto"/>
              </w:rPr>
            </w:pPr>
          </w:p>
        </w:tc>
      </w:tr>
      <w:tr>
        <w:trPr>
          <w:trHeight w:val="162"/>
        </w:trPr>
        <w:tc>
          <w:tcPr>
            <w:tcW w:w="640" w:type="dxa"/>
            <w:vAlign w:val="bottom"/>
          </w:tcPr>
          <w:p>
            <w:pPr>
              <w:spacing w:after="0"/>
              <w:rPr>
                <w:sz w:val="14"/>
                <w:szCs w:val="14"/>
                <w:color w:val="auto"/>
              </w:rPr>
            </w:pPr>
          </w:p>
        </w:tc>
        <w:tc>
          <w:tcPr>
            <w:tcW w:w="10060" w:type="dxa"/>
            <w:vAlign w:val="bottom"/>
          </w:tcPr>
          <w:p>
            <w:pPr>
              <w:ind w:left="460"/>
              <w:spacing w:after="0" w:line="162" w:lineRule="exact"/>
              <w:rPr>
                <w:sz w:val="20"/>
                <w:szCs w:val="20"/>
                <w:color w:val="auto"/>
              </w:rPr>
            </w:pPr>
            <w:r>
              <w:rPr>
                <w:rFonts w:ascii="Arial" w:cs="Arial" w:eastAsia="Arial" w:hAnsi="Arial"/>
                <w:sz w:val="16"/>
                <w:szCs w:val="16"/>
                <w:color w:val="auto"/>
              </w:rPr>
              <w:t>Commission have been omitted as they are not applicable, not required, or the information required thereby is set forth in</w:t>
            </w:r>
          </w:p>
        </w:tc>
        <w:tc>
          <w:tcPr>
            <w:tcW w:w="380" w:type="dxa"/>
            <w:vAlign w:val="bottom"/>
          </w:tcPr>
          <w:p>
            <w:pPr>
              <w:spacing w:after="0"/>
              <w:rPr>
                <w:sz w:val="14"/>
                <w:szCs w:val="14"/>
                <w:color w:val="auto"/>
              </w:rPr>
            </w:pPr>
          </w:p>
        </w:tc>
      </w:tr>
      <w:tr>
        <w:trPr>
          <w:trHeight w:val="215"/>
        </w:trPr>
        <w:tc>
          <w:tcPr>
            <w:tcW w:w="640" w:type="dxa"/>
            <w:vAlign w:val="bottom"/>
          </w:tcPr>
          <w:p>
            <w:pPr>
              <w:spacing w:after="0"/>
              <w:rPr>
                <w:sz w:val="18"/>
                <w:szCs w:val="18"/>
                <w:color w:val="auto"/>
              </w:rPr>
            </w:pPr>
          </w:p>
        </w:tc>
        <w:tc>
          <w:tcPr>
            <w:tcW w:w="10060" w:type="dxa"/>
            <w:vAlign w:val="bottom"/>
          </w:tcPr>
          <w:p>
            <w:pPr>
              <w:ind w:left="460"/>
              <w:spacing w:after="0"/>
              <w:rPr>
                <w:sz w:val="20"/>
                <w:szCs w:val="20"/>
                <w:color w:val="auto"/>
              </w:rPr>
            </w:pPr>
            <w:r>
              <w:rPr>
                <w:rFonts w:ascii="Arial" w:cs="Arial" w:eastAsia="Arial" w:hAnsi="Arial"/>
                <w:sz w:val="16"/>
                <w:szCs w:val="16"/>
                <w:color w:val="auto"/>
              </w:rPr>
              <w:t>the Financial Statements or the notes thereto.</w:t>
            </w:r>
          </w:p>
        </w:tc>
        <w:tc>
          <w:tcPr>
            <w:tcW w:w="380" w:type="dxa"/>
            <w:vAlign w:val="bottom"/>
          </w:tcPr>
          <w:p>
            <w:pPr>
              <w:spacing w:after="0"/>
              <w:rPr>
                <w:sz w:val="18"/>
                <w:szCs w:val="18"/>
                <w:color w:val="auto"/>
              </w:rPr>
            </w:pPr>
          </w:p>
        </w:tc>
      </w:tr>
      <w:tr>
        <w:trPr>
          <w:trHeight w:val="364"/>
        </w:trPr>
        <w:tc>
          <w:tcPr>
            <w:tcW w:w="64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60" w:type="dxa"/>
            <w:vAlign w:val="bottom"/>
          </w:tcPr>
          <w:p>
            <w:pPr>
              <w:ind w:left="100"/>
              <w:spacing w:after="0"/>
              <w:rPr>
                <w:sz w:val="20"/>
                <w:szCs w:val="20"/>
                <w:color w:val="auto"/>
              </w:rPr>
            </w:pPr>
            <w:r>
              <w:rPr>
                <w:rFonts w:ascii="Arial" w:cs="Arial" w:eastAsia="Arial" w:hAnsi="Arial"/>
                <w:sz w:val="16"/>
                <w:szCs w:val="16"/>
                <w:color w:val="auto"/>
              </w:rPr>
              <w:t>Exhibits — See Exhibit Index on the next page.</w:t>
            </w:r>
          </w:p>
        </w:tc>
        <w:tc>
          <w:tcPr>
            <w:tcW w:w="3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5" w:right="419" w:bottom="1440" w:gutter="0" w:footer="0" w:header="0"/>
        </w:sectPr>
      </w:pPr>
    </w:p>
    <w:bookmarkStart w:id="134" w:name="page135"/>
    <w:bookmarkEnd w:id="13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64" w:lineRule="exact"/>
        <w:rPr>
          <w:sz w:val="20"/>
          <w:szCs w:val="20"/>
          <w:color w:val="auto"/>
        </w:rPr>
      </w:pPr>
    </w:p>
    <w:p>
      <w:pPr>
        <w:jc w:val="center"/>
        <w:ind w:right="-199"/>
        <w:spacing w:after="0"/>
        <w:rPr>
          <w:sz w:val="20"/>
          <w:szCs w:val="20"/>
          <w:color w:val="auto"/>
        </w:rPr>
      </w:pPr>
      <w:r>
        <w:rPr>
          <w:rFonts w:ascii="Arial" w:cs="Arial" w:eastAsia="Arial" w:hAnsi="Arial"/>
          <w:sz w:val="29"/>
          <w:szCs w:val="29"/>
          <w:b w:val="1"/>
          <w:bCs w:val="1"/>
          <w:color w:val="00274E"/>
        </w:rPr>
        <w:t>INDEX TO EXHIBITS</w:t>
      </w:r>
    </w:p>
    <w:p>
      <w:pPr>
        <w:spacing w:after="0" w:line="271"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00274E"/>
        </w:rPr>
        <w:t>AMERICAN FINANCIAL GROUP, INC.</w:t>
      </w:r>
    </w:p>
    <w:p>
      <w:pPr>
        <w:spacing w:after="0" w:line="50" w:lineRule="exact"/>
        <w:rPr>
          <w:sz w:val="20"/>
          <w:szCs w:val="20"/>
          <w:color w:val="auto"/>
        </w:rPr>
      </w:pPr>
    </w:p>
    <w:p>
      <w:pPr>
        <w:ind w:left="60"/>
        <w:spacing w:after="0"/>
        <w:tabs>
          <w:tab w:leader="none" w:pos="5200" w:val="left"/>
        </w:tabs>
        <w:rPr>
          <w:sz w:val="20"/>
          <w:szCs w:val="20"/>
          <w:color w:val="auto"/>
        </w:rPr>
      </w:pPr>
      <w:r>
        <w:rPr>
          <w:rFonts w:ascii="Arial" w:cs="Arial" w:eastAsia="Arial" w:hAnsi="Arial"/>
          <w:sz w:val="16"/>
          <w:szCs w:val="16"/>
          <w:u w:val="single" w:color="auto"/>
          <w:color w:val="auto"/>
        </w:rPr>
        <w:t>Number</w:t>
      </w:r>
      <w:r>
        <w:rPr>
          <w:sz w:val="20"/>
          <w:szCs w:val="20"/>
          <w:color w:val="auto"/>
        </w:rPr>
        <w:tab/>
      </w:r>
      <w:r>
        <w:rPr>
          <w:rFonts w:ascii="Arial" w:cs="Arial" w:eastAsia="Arial" w:hAnsi="Arial"/>
          <w:sz w:val="16"/>
          <w:szCs w:val="16"/>
          <w:u w:val="single" w:color="auto"/>
          <w:color w:val="auto"/>
        </w:rPr>
        <w:t>Exhibit Description</w:t>
      </w:r>
    </w:p>
    <w:p>
      <w:pPr>
        <w:spacing w:after="0" w:line="32" w:lineRule="exact"/>
        <w:rPr>
          <w:sz w:val="20"/>
          <w:szCs w:val="20"/>
          <w:color w:val="auto"/>
        </w:rPr>
      </w:pPr>
    </w:p>
    <w:p>
      <w:pPr>
        <w:jc w:val="both"/>
        <w:ind w:left="1100" w:right="720" w:hanging="1047"/>
        <w:spacing w:after="0" w:line="221" w:lineRule="auto"/>
        <w:tabs>
          <w:tab w:leader="none" w:pos="1100" w:val="left"/>
        </w:tabs>
        <w:numPr>
          <w:ilvl w:val="0"/>
          <w:numId w:val="77"/>
        </w:numPr>
        <w:rPr>
          <w:rFonts w:ascii="Arial" w:cs="Arial" w:eastAsia="Arial" w:hAnsi="Arial"/>
          <w:sz w:val="16"/>
          <w:szCs w:val="16"/>
          <w:color w:val="0000FF"/>
        </w:rPr>
      </w:pPr>
      <w:r>
        <w:rPr>
          <w:rFonts w:ascii="Arial" w:cs="Arial" w:eastAsia="Arial" w:hAnsi="Arial"/>
          <w:sz w:val="16"/>
          <w:szCs w:val="16"/>
          <w:color w:val="auto"/>
        </w:rPr>
        <w:t>Stock Purchase Agreement, dated as of January 27, 2021, by and among Massachusetts Mutual Life Insurance Company, Great American Financial Resources, Inc. and American Financial Group, Inc., filed as Exhibit 2.1 to the Form 8-K filed on January 28,</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0"/>
        </w:trPr>
        <w:tc>
          <w:tcPr>
            <w:tcW w:w="660" w:type="dxa"/>
            <w:vAlign w:val="bottom"/>
          </w:tcPr>
          <w:p>
            <w:pPr>
              <w:spacing w:after="0"/>
              <w:rPr>
                <w:sz w:val="17"/>
                <w:szCs w:val="17"/>
                <w:color w:val="auto"/>
              </w:rPr>
            </w:pPr>
          </w:p>
        </w:tc>
        <w:tc>
          <w:tcPr>
            <w:tcW w:w="7740" w:type="dxa"/>
            <w:vAlign w:val="bottom"/>
          </w:tcPr>
          <w:p>
            <w:pPr>
              <w:ind w:left="380"/>
              <w:spacing w:after="0"/>
              <w:rPr>
                <w:sz w:val="20"/>
                <w:szCs w:val="20"/>
                <w:color w:val="auto"/>
              </w:rPr>
            </w:pPr>
            <w:r>
              <w:rPr>
                <w:rFonts w:ascii="Arial" w:cs="Arial" w:eastAsia="Arial" w:hAnsi="Arial"/>
                <w:sz w:val="16"/>
                <w:szCs w:val="16"/>
                <w:color w:val="auto"/>
              </w:rPr>
              <w:t>2021.</w:t>
            </w:r>
          </w:p>
        </w:tc>
        <w:tc>
          <w:tcPr>
            <w:tcW w:w="2580" w:type="dxa"/>
            <w:vAlign w:val="bottom"/>
          </w:tcPr>
          <w:p>
            <w:pPr>
              <w:ind w:left="2360"/>
              <w:spacing w:after="0"/>
              <w:rPr>
                <w:sz w:val="20"/>
                <w:szCs w:val="20"/>
                <w:color w:val="auto"/>
              </w:rPr>
            </w:pPr>
            <w:r>
              <w:rPr>
                <w:rFonts w:ascii="Arial" w:cs="Arial" w:eastAsia="Arial" w:hAnsi="Arial"/>
                <w:sz w:val="16"/>
                <w:szCs w:val="16"/>
                <w:color w:val="auto"/>
              </w:rPr>
              <w:t>(*)</w:t>
            </w:r>
          </w:p>
        </w:tc>
      </w:tr>
      <w:tr>
        <w:trPr>
          <w:trHeight w:val="215"/>
        </w:trPr>
        <w:tc>
          <w:tcPr>
            <w:tcW w:w="660" w:type="dxa"/>
            <w:vAlign w:val="bottom"/>
          </w:tcPr>
          <w:p>
            <w:pPr>
              <w:spacing w:after="0"/>
              <w:rPr>
                <w:rFonts w:ascii="Arial" w:cs="Arial" w:eastAsia="Arial" w:hAnsi="Arial"/>
                <w:sz w:val="16"/>
                <w:szCs w:val="16"/>
                <w:color w:val="0000FF"/>
              </w:rPr>
            </w:pPr>
            <w:hyperlink r:id="rId197">
              <w:r>
                <w:rPr>
                  <w:rFonts w:ascii="Arial" w:cs="Arial" w:eastAsia="Arial" w:hAnsi="Arial"/>
                  <w:sz w:val="16"/>
                  <w:szCs w:val="16"/>
                  <w:color w:val="0000FF"/>
                </w:rPr>
                <w:t>3(a)</w:t>
              </w:r>
            </w:hyperlink>
          </w:p>
        </w:tc>
        <w:tc>
          <w:tcPr>
            <w:tcW w:w="7740" w:type="dxa"/>
            <w:vAlign w:val="bottom"/>
          </w:tcPr>
          <w:p>
            <w:pPr>
              <w:ind w:left="380"/>
              <w:spacing w:after="0"/>
              <w:rPr>
                <w:sz w:val="20"/>
                <w:szCs w:val="20"/>
                <w:color w:val="auto"/>
              </w:rPr>
            </w:pPr>
            <w:r>
              <w:rPr>
                <w:rFonts w:ascii="Arial" w:cs="Arial" w:eastAsia="Arial" w:hAnsi="Arial"/>
                <w:sz w:val="16"/>
                <w:szCs w:val="16"/>
                <w:color w:val="auto"/>
              </w:rPr>
              <w:t>Amended and Restated Articles of Incorporation, filed as Exhibit 3.A to AFG’s Form 10-K for 2019.</w:t>
            </w:r>
          </w:p>
        </w:tc>
        <w:tc>
          <w:tcPr>
            <w:tcW w:w="2580" w:type="dxa"/>
            <w:vAlign w:val="bottom"/>
          </w:tcPr>
          <w:p>
            <w:pPr>
              <w:ind w:left="2360"/>
              <w:spacing w:after="0"/>
              <w:rPr>
                <w:sz w:val="20"/>
                <w:szCs w:val="20"/>
                <w:color w:val="auto"/>
              </w:rPr>
            </w:pPr>
            <w:r>
              <w:rPr>
                <w:rFonts w:ascii="Arial" w:cs="Arial" w:eastAsia="Arial" w:hAnsi="Arial"/>
                <w:sz w:val="16"/>
                <w:szCs w:val="16"/>
                <w:color w:val="auto"/>
              </w:rPr>
              <w:t>(*)</w:t>
            </w:r>
          </w:p>
        </w:tc>
      </w:tr>
      <w:tr>
        <w:trPr>
          <w:trHeight w:val="216"/>
        </w:trPr>
        <w:tc>
          <w:tcPr>
            <w:tcW w:w="660" w:type="dxa"/>
            <w:vAlign w:val="bottom"/>
          </w:tcPr>
          <w:p>
            <w:pPr>
              <w:spacing w:after="0"/>
              <w:rPr>
                <w:rFonts w:ascii="Arial" w:cs="Arial" w:eastAsia="Arial" w:hAnsi="Arial"/>
                <w:sz w:val="16"/>
                <w:szCs w:val="16"/>
                <w:color w:val="0000FF"/>
              </w:rPr>
            </w:pPr>
            <w:hyperlink r:id="rId198">
              <w:r>
                <w:rPr>
                  <w:rFonts w:ascii="Arial" w:cs="Arial" w:eastAsia="Arial" w:hAnsi="Arial"/>
                  <w:sz w:val="16"/>
                  <w:szCs w:val="16"/>
                  <w:color w:val="0000FF"/>
                </w:rPr>
                <w:t>3(b)</w:t>
              </w:r>
            </w:hyperlink>
          </w:p>
        </w:tc>
        <w:tc>
          <w:tcPr>
            <w:tcW w:w="7740" w:type="dxa"/>
            <w:vAlign w:val="bottom"/>
          </w:tcPr>
          <w:p>
            <w:pPr>
              <w:ind w:left="380"/>
              <w:spacing w:after="0"/>
              <w:rPr>
                <w:sz w:val="20"/>
                <w:szCs w:val="20"/>
                <w:color w:val="auto"/>
              </w:rPr>
            </w:pPr>
            <w:r>
              <w:rPr>
                <w:rFonts w:ascii="Arial" w:cs="Arial" w:eastAsia="Arial" w:hAnsi="Arial"/>
                <w:sz w:val="16"/>
                <w:szCs w:val="16"/>
                <w:color w:val="auto"/>
              </w:rPr>
              <w:t>Amended and Restated Code of Regulations, filed as Exhibit 3.1 to the Form 8-K filed on April 1, 2020.</w:t>
            </w:r>
          </w:p>
        </w:tc>
        <w:tc>
          <w:tcPr>
            <w:tcW w:w="2580" w:type="dxa"/>
            <w:vAlign w:val="bottom"/>
          </w:tcPr>
          <w:p>
            <w:pPr>
              <w:ind w:left="2360"/>
              <w:spacing w:after="0"/>
              <w:rPr>
                <w:sz w:val="20"/>
                <w:szCs w:val="20"/>
                <w:color w:val="auto"/>
              </w:rPr>
            </w:pPr>
            <w:r>
              <w:rPr>
                <w:rFonts w:ascii="Arial" w:cs="Arial" w:eastAsia="Arial" w:hAnsi="Arial"/>
                <w:sz w:val="16"/>
                <w:szCs w:val="16"/>
                <w:color w:val="auto"/>
              </w:rPr>
              <w:t>(*)</w:t>
            </w:r>
          </w:p>
        </w:tc>
      </w:tr>
      <w:tr>
        <w:trPr>
          <w:trHeight w:val="164"/>
        </w:trPr>
        <w:tc>
          <w:tcPr>
            <w:tcW w:w="660" w:type="dxa"/>
            <w:vAlign w:val="bottom"/>
          </w:tcPr>
          <w:p>
            <w:pPr>
              <w:spacing w:after="0" w:line="164" w:lineRule="exact"/>
              <w:rPr>
                <w:sz w:val="20"/>
                <w:szCs w:val="20"/>
                <w:color w:val="auto"/>
              </w:rPr>
            </w:pPr>
            <w:r>
              <w:rPr>
                <w:rFonts w:ascii="Arial" w:cs="Arial" w:eastAsia="Arial" w:hAnsi="Arial"/>
                <w:sz w:val="16"/>
                <w:szCs w:val="16"/>
                <w:color w:val="auto"/>
              </w:rPr>
              <w:t>4</w:t>
            </w:r>
          </w:p>
        </w:tc>
        <w:tc>
          <w:tcPr>
            <w:tcW w:w="7740" w:type="dxa"/>
            <w:vAlign w:val="bottom"/>
          </w:tcPr>
          <w:p>
            <w:pPr>
              <w:ind w:left="380"/>
              <w:spacing w:after="0" w:line="164" w:lineRule="exact"/>
              <w:rPr>
                <w:sz w:val="20"/>
                <w:szCs w:val="20"/>
                <w:color w:val="auto"/>
              </w:rPr>
            </w:pPr>
            <w:r>
              <w:rPr>
                <w:rFonts w:ascii="Arial" w:cs="Arial" w:eastAsia="Arial" w:hAnsi="Arial"/>
                <w:sz w:val="16"/>
                <w:szCs w:val="16"/>
                <w:color w:val="auto"/>
              </w:rPr>
              <w:t>Instruments defining the rights of security holders.</w:t>
            </w:r>
          </w:p>
        </w:tc>
        <w:tc>
          <w:tcPr>
            <w:tcW w:w="2580" w:type="dxa"/>
            <w:vAlign w:val="bottom"/>
          </w:tcPr>
          <w:p>
            <w:pPr>
              <w:spacing w:after="0" w:line="164" w:lineRule="exact"/>
              <w:rPr>
                <w:sz w:val="20"/>
                <w:szCs w:val="20"/>
                <w:color w:val="auto"/>
              </w:rPr>
            </w:pPr>
            <w:r>
              <w:rPr>
                <w:rFonts w:ascii="Arial" w:cs="Arial" w:eastAsia="Arial" w:hAnsi="Arial"/>
                <w:sz w:val="16"/>
                <w:szCs w:val="16"/>
                <w:color w:val="auto"/>
              </w:rPr>
              <w:t>Registrant has no outstanding debt</w:t>
            </w:r>
          </w:p>
        </w:tc>
      </w:tr>
      <w:tr>
        <w:trPr>
          <w:trHeight w:val="162"/>
        </w:trPr>
        <w:tc>
          <w:tcPr>
            <w:tcW w:w="66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2580" w:type="dxa"/>
            <w:vAlign w:val="bottom"/>
          </w:tcPr>
          <w:p>
            <w:pPr>
              <w:spacing w:after="0" w:line="162" w:lineRule="exact"/>
              <w:rPr>
                <w:sz w:val="20"/>
                <w:szCs w:val="20"/>
                <w:color w:val="auto"/>
              </w:rPr>
            </w:pPr>
            <w:r>
              <w:rPr>
                <w:rFonts w:ascii="Arial" w:cs="Arial" w:eastAsia="Arial" w:hAnsi="Arial"/>
                <w:sz w:val="16"/>
                <w:szCs w:val="16"/>
                <w:color w:val="auto"/>
              </w:rPr>
              <w:t>issues exceeding 10% of the assets</w:t>
            </w:r>
          </w:p>
        </w:tc>
      </w:tr>
      <w:tr>
        <w:trPr>
          <w:trHeight w:val="162"/>
        </w:trPr>
        <w:tc>
          <w:tcPr>
            <w:tcW w:w="66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2580" w:type="dxa"/>
            <w:vAlign w:val="bottom"/>
          </w:tcPr>
          <w:p>
            <w:pPr>
              <w:spacing w:after="0" w:line="162" w:lineRule="exact"/>
              <w:rPr>
                <w:sz w:val="20"/>
                <w:szCs w:val="20"/>
                <w:color w:val="auto"/>
              </w:rPr>
            </w:pPr>
            <w:r>
              <w:rPr>
                <w:rFonts w:ascii="Arial" w:cs="Arial" w:eastAsia="Arial" w:hAnsi="Arial"/>
                <w:sz w:val="16"/>
                <w:szCs w:val="16"/>
                <w:color w:val="auto"/>
              </w:rPr>
              <w:t>of Registrant and consolidated</w:t>
            </w:r>
          </w:p>
        </w:tc>
      </w:tr>
      <w:tr>
        <w:trPr>
          <w:trHeight w:val="215"/>
        </w:trPr>
        <w:tc>
          <w:tcPr>
            <w:tcW w:w="660" w:type="dxa"/>
            <w:vAlign w:val="bottom"/>
          </w:tcPr>
          <w:p>
            <w:pPr>
              <w:spacing w:after="0"/>
              <w:rPr>
                <w:sz w:val="18"/>
                <w:szCs w:val="18"/>
                <w:color w:val="auto"/>
              </w:rPr>
            </w:pPr>
          </w:p>
        </w:tc>
        <w:tc>
          <w:tcPr>
            <w:tcW w:w="774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6"/>
                <w:szCs w:val="16"/>
                <w:color w:val="auto"/>
              </w:rPr>
              <w:t>subsidiaries.</w:t>
            </w: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700" w:type="dxa"/>
            <w:vAlign w:val="bottom"/>
          </w:tcPr>
          <w:p>
            <w:pPr>
              <w:spacing w:after="0"/>
              <w:rPr>
                <w:sz w:val="18"/>
                <w:szCs w:val="18"/>
                <w:color w:val="auto"/>
              </w:rPr>
            </w:pPr>
          </w:p>
        </w:tc>
        <w:tc>
          <w:tcPr>
            <w:tcW w:w="9880" w:type="dxa"/>
            <w:vAlign w:val="bottom"/>
          </w:tcPr>
          <w:p>
            <w:pPr>
              <w:ind w:left="340"/>
              <w:spacing w:after="0"/>
              <w:rPr>
                <w:sz w:val="20"/>
                <w:szCs w:val="20"/>
                <w:color w:val="auto"/>
              </w:rPr>
            </w:pPr>
            <w:r>
              <w:rPr>
                <w:rFonts w:ascii="Arial" w:cs="Arial" w:eastAsia="Arial" w:hAnsi="Arial"/>
                <w:sz w:val="16"/>
                <w:szCs w:val="16"/>
                <w:color w:val="auto"/>
              </w:rPr>
              <w:t>Material Contracts:</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line="164" w:lineRule="exact"/>
              <w:rPr>
                <w:rFonts w:ascii="Arial" w:cs="Arial" w:eastAsia="Arial" w:hAnsi="Arial"/>
                <w:sz w:val="16"/>
                <w:szCs w:val="16"/>
                <w:color w:val="0000FF"/>
              </w:rPr>
            </w:pPr>
            <w:hyperlink r:id="rId199">
              <w:r>
                <w:rPr>
                  <w:rFonts w:ascii="Arial" w:cs="Arial" w:eastAsia="Arial" w:hAnsi="Arial"/>
                  <w:sz w:val="16"/>
                  <w:szCs w:val="16"/>
                  <w:color w:val="0000FF"/>
                </w:rPr>
                <w:t>10(a)</w:t>
              </w:r>
            </w:hyperlink>
          </w:p>
        </w:tc>
        <w:tc>
          <w:tcPr>
            <w:tcW w:w="9880" w:type="dxa"/>
            <w:vAlign w:val="bottom"/>
          </w:tcPr>
          <w:p>
            <w:pPr>
              <w:ind w:left="500"/>
              <w:spacing w:after="0" w:line="164" w:lineRule="exact"/>
              <w:rPr>
                <w:sz w:val="20"/>
                <w:szCs w:val="20"/>
                <w:color w:val="auto"/>
              </w:rPr>
            </w:pPr>
            <w:r>
              <w:rPr>
                <w:rFonts w:ascii="Arial" w:cs="Arial" w:eastAsia="Arial" w:hAnsi="Arial"/>
                <w:sz w:val="16"/>
                <w:szCs w:val="16"/>
                <w:color w:val="auto"/>
              </w:rPr>
              <w:t>Amended and Restated Non-Employee Directors Compensation Plan, filed as Exhibit 10 to the Form S-8 Registration Statement</w:t>
            </w:r>
          </w:p>
        </w:tc>
        <w:tc>
          <w:tcPr>
            <w:tcW w:w="3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9880" w:type="dxa"/>
            <w:vAlign w:val="bottom"/>
          </w:tcPr>
          <w:p>
            <w:pPr>
              <w:ind w:left="500"/>
              <w:spacing w:after="0"/>
              <w:rPr>
                <w:sz w:val="20"/>
                <w:szCs w:val="20"/>
                <w:color w:val="auto"/>
              </w:rPr>
            </w:pPr>
            <w:r>
              <w:rPr>
                <w:rFonts w:ascii="Arial" w:cs="Arial" w:eastAsia="Arial" w:hAnsi="Arial"/>
                <w:sz w:val="16"/>
                <w:szCs w:val="16"/>
                <w:color w:val="auto"/>
              </w:rPr>
              <w:t>(File No. 333-184913) filed by AFG on November 13, 2012.</w:t>
            </w:r>
          </w:p>
        </w:tc>
        <w:tc>
          <w:tcPr>
            <w:tcW w:w="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00" w:type="dxa"/>
            <w:vAlign w:val="bottom"/>
          </w:tcPr>
          <w:p>
            <w:pPr>
              <w:spacing w:after="0" w:line="164" w:lineRule="exact"/>
              <w:rPr>
                <w:rFonts w:ascii="Arial" w:cs="Arial" w:eastAsia="Arial" w:hAnsi="Arial"/>
                <w:sz w:val="16"/>
                <w:szCs w:val="16"/>
                <w:color w:val="0000FF"/>
              </w:rPr>
            </w:pPr>
            <w:hyperlink r:id="rId200">
              <w:r>
                <w:rPr>
                  <w:rFonts w:ascii="Arial" w:cs="Arial" w:eastAsia="Arial" w:hAnsi="Arial"/>
                  <w:sz w:val="16"/>
                  <w:szCs w:val="16"/>
                  <w:color w:val="0000FF"/>
                </w:rPr>
                <w:t>10(b)</w:t>
              </w:r>
            </w:hyperlink>
          </w:p>
        </w:tc>
        <w:tc>
          <w:tcPr>
            <w:tcW w:w="9880" w:type="dxa"/>
            <w:vAlign w:val="bottom"/>
          </w:tcPr>
          <w:p>
            <w:pPr>
              <w:ind w:left="500"/>
              <w:spacing w:after="0" w:line="164" w:lineRule="exact"/>
              <w:rPr>
                <w:sz w:val="20"/>
                <w:szCs w:val="20"/>
                <w:color w:val="auto"/>
              </w:rPr>
            </w:pPr>
            <w:r>
              <w:rPr>
                <w:rFonts w:ascii="Arial" w:cs="Arial" w:eastAsia="Arial" w:hAnsi="Arial"/>
                <w:sz w:val="16"/>
                <w:szCs w:val="16"/>
                <w:color w:val="auto"/>
              </w:rPr>
              <w:t>Deferred Compensation Plan Amended and Restated as of January 1, 2022 filed as Exhibit 10 to the Form S-8 Registration</w:t>
            </w:r>
          </w:p>
        </w:tc>
        <w:tc>
          <w:tcPr>
            <w:tcW w:w="3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9880" w:type="dxa"/>
            <w:vAlign w:val="bottom"/>
          </w:tcPr>
          <w:p>
            <w:pPr>
              <w:ind w:left="500"/>
              <w:spacing w:after="0"/>
              <w:rPr>
                <w:sz w:val="20"/>
                <w:szCs w:val="20"/>
                <w:color w:val="auto"/>
              </w:rPr>
            </w:pPr>
            <w:r>
              <w:rPr>
                <w:rFonts w:ascii="Arial" w:cs="Arial" w:eastAsia="Arial" w:hAnsi="Arial"/>
                <w:sz w:val="16"/>
                <w:szCs w:val="16"/>
                <w:color w:val="auto"/>
              </w:rPr>
              <w:t>Statement (File No. 333-268292) filed by AFG on November 10, 2022.</w:t>
            </w:r>
          </w:p>
        </w:tc>
        <w:tc>
          <w:tcPr>
            <w:tcW w:w="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spacing w:after="0"/>
              <w:rPr>
                <w:rFonts w:ascii="Arial" w:cs="Arial" w:eastAsia="Arial" w:hAnsi="Arial"/>
                <w:sz w:val="16"/>
                <w:szCs w:val="16"/>
                <w:color w:val="0000FF"/>
              </w:rPr>
            </w:pPr>
            <w:hyperlink r:id="rId201">
              <w:r>
                <w:rPr>
                  <w:rFonts w:ascii="Arial" w:cs="Arial" w:eastAsia="Arial" w:hAnsi="Arial"/>
                  <w:sz w:val="16"/>
                  <w:szCs w:val="16"/>
                  <w:color w:val="0000FF"/>
                </w:rPr>
                <w:t>10(c)</w:t>
              </w:r>
            </w:hyperlink>
          </w:p>
        </w:tc>
        <w:tc>
          <w:tcPr>
            <w:tcW w:w="9880" w:type="dxa"/>
            <w:vAlign w:val="bottom"/>
          </w:tcPr>
          <w:p>
            <w:pPr>
              <w:ind w:left="500"/>
              <w:spacing w:after="0"/>
              <w:rPr>
                <w:sz w:val="20"/>
                <w:szCs w:val="20"/>
                <w:color w:val="auto"/>
              </w:rPr>
            </w:pPr>
            <w:r>
              <w:rPr>
                <w:rFonts w:ascii="Arial" w:cs="Arial" w:eastAsia="Arial" w:hAnsi="Arial"/>
                <w:sz w:val="16"/>
                <w:szCs w:val="16"/>
                <w:color w:val="auto"/>
              </w:rPr>
              <w:t>Annual Senior Executive Bonus Plan, filed as Exhibit 10(d) to AFG’s 10-K for 2017.</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00" w:type="dxa"/>
            <w:vAlign w:val="bottom"/>
          </w:tcPr>
          <w:p>
            <w:pPr>
              <w:spacing w:after="0"/>
              <w:rPr>
                <w:rFonts w:ascii="Arial" w:cs="Arial" w:eastAsia="Arial" w:hAnsi="Arial"/>
                <w:sz w:val="16"/>
                <w:szCs w:val="16"/>
                <w:color w:val="0000FF"/>
              </w:rPr>
            </w:pPr>
            <w:hyperlink r:id="rId202">
              <w:r>
                <w:rPr>
                  <w:rFonts w:ascii="Arial" w:cs="Arial" w:eastAsia="Arial" w:hAnsi="Arial"/>
                  <w:sz w:val="16"/>
                  <w:szCs w:val="16"/>
                  <w:color w:val="0000FF"/>
                </w:rPr>
                <w:t>10(d)</w:t>
              </w:r>
            </w:hyperlink>
          </w:p>
        </w:tc>
        <w:tc>
          <w:tcPr>
            <w:tcW w:w="9880" w:type="dxa"/>
            <w:vAlign w:val="bottom"/>
          </w:tcPr>
          <w:p>
            <w:pPr>
              <w:ind w:left="500"/>
              <w:spacing w:after="0"/>
              <w:rPr>
                <w:sz w:val="20"/>
                <w:szCs w:val="20"/>
                <w:color w:val="auto"/>
              </w:rPr>
            </w:pPr>
            <w:r>
              <w:rPr>
                <w:rFonts w:ascii="Arial" w:cs="Arial" w:eastAsia="Arial" w:hAnsi="Arial"/>
                <w:sz w:val="16"/>
                <w:szCs w:val="16"/>
                <w:color w:val="auto"/>
              </w:rPr>
              <w:t>Amended and Restated Nonqualified Auxiliary RASP, filed as Exhibit 10(f) to AFG’s Form 10-K for 2008.</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00" w:type="dxa"/>
            <w:vAlign w:val="bottom"/>
          </w:tcPr>
          <w:p>
            <w:pPr>
              <w:spacing w:after="0"/>
              <w:rPr>
                <w:rFonts w:ascii="Arial" w:cs="Arial" w:eastAsia="Arial" w:hAnsi="Arial"/>
                <w:sz w:val="16"/>
                <w:szCs w:val="16"/>
                <w:color w:val="0000FF"/>
              </w:rPr>
            </w:pPr>
            <w:hyperlink r:id="rId203">
              <w:r>
                <w:rPr>
                  <w:rFonts w:ascii="Arial" w:cs="Arial" w:eastAsia="Arial" w:hAnsi="Arial"/>
                  <w:sz w:val="16"/>
                  <w:szCs w:val="16"/>
                  <w:color w:val="0000FF"/>
                </w:rPr>
                <w:t>10(e)</w:t>
              </w:r>
            </w:hyperlink>
          </w:p>
        </w:tc>
        <w:tc>
          <w:tcPr>
            <w:tcW w:w="9880" w:type="dxa"/>
            <w:vAlign w:val="bottom"/>
          </w:tcPr>
          <w:p>
            <w:pPr>
              <w:ind w:left="500"/>
              <w:spacing w:after="0"/>
              <w:rPr>
                <w:sz w:val="20"/>
                <w:szCs w:val="20"/>
                <w:color w:val="auto"/>
              </w:rPr>
            </w:pPr>
            <w:r>
              <w:rPr>
                <w:rFonts w:ascii="Arial" w:cs="Arial" w:eastAsia="Arial" w:hAnsi="Arial"/>
                <w:sz w:val="16"/>
                <w:szCs w:val="16"/>
                <w:color w:val="auto"/>
              </w:rPr>
              <w:t>2015 Stock Incentive Plan filed as Exhibit 10(g) to AFG’s Form 10-K for 2015.</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00" w:type="dxa"/>
            <w:vAlign w:val="bottom"/>
          </w:tcPr>
          <w:p>
            <w:pPr>
              <w:spacing w:after="0"/>
              <w:rPr>
                <w:rFonts w:ascii="Arial" w:cs="Arial" w:eastAsia="Arial" w:hAnsi="Arial"/>
                <w:sz w:val="16"/>
                <w:szCs w:val="16"/>
                <w:color w:val="0000FF"/>
              </w:rPr>
            </w:pPr>
            <w:hyperlink r:id="rId204">
              <w:r>
                <w:rPr>
                  <w:rFonts w:ascii="Arial" w:cs="Arial" w:eastAsia="Arial" w:hAnsi="Arial"/>
                  <w:sz w:val="16"/>
                  <w:szCs w:val="16"/>
                  <w:color w:val="0000FF"/>
                </w:rPr>
                <w:t>10(f)</w:t>
              </w:r>
            </w:hyperlink>
          </w:p>
        </w:tc>
        <w:tc>
          <w:tcPr>
            <w:tcW w:w="9880" w:type="dxa"/>
            <w:vAlign w:val="bottom"/>
          </w:tcPr>
          <w:p>
            <w:pPr>
              <w:ind w:left="500"/>
              <w:spacing w:after="0"/>
              <w:rPr>
                <w:sz w:val="20"/>
                <w:szCs w:val="20"/>
                <w:color w:val="auto"/>
              </w:rPr>
            </w:pPr>
            <w:r>
              <w:rPr>
                <w:rFonts w:ascii="Arial" w:cs="Arial" w:eastAsia="Arial" w:hAnsi="Arial"/>
                <w:sz w:val="16"/>
                <w:szCs w:val="16"/>
                <w:color w:val="auto"/>
              </w:rPr>
              <w:t>Senior Executive Long Term Incentive Compensation Plan, filed as Appendix A to AFG’s Proxy Statement filed on April 1, 2016.</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4"/>
        </w:trPr>
        <w:tc>
          <w:tcPr>
            <w:tcW w:w="700" w:type="dxa"/>
            <w:vAlign w:val="bottom"/>
          </w:tcPr>
          <w:p>
            <w:pPr>
              <w:spacing w:after="0" w:line="164" w:lineRule="exact"/>
              <w:rPr>
                <w:rFonts w:ascii="Arial" w:cs="Arial" w:eastAsia="Arial" w:hAnsi="Arial"/>
                <w:sz w:val="16"/>
                <w:szCs w:val="16"/>
                <w:color w:val="0000FF"/>
              </w:rPr>
            </w:pPr>
            <w:hyperlink r:id="rId205">
              <w:r>
                <w:rPr>
                  <w:rFonts w:ascii="Arial" w:cs="Arial" w:eastAsia="Arial" w:hAnsi="Arial"/>
                  <w:sz w:val="16"/>
                  <w:szCs w:val="16"/>
                  <w:color w:val="0000FF"/>
                </w:rPr>
                <w:t>10(g)</w:t>
              </w:r>
            </w:hyperlink>
          </w:p>
        </w:tc>
        <w:tc>
          <w:tcPr>
            <w:tcW w:w="9880" w:type="dxa"/>
            <w:vAlign w:val="bottom"/>
          </w:tcPr>
          <w:p>
            <w:pPr>
              <w:ind w:left="500"/>
              <w:spacing w:after="0" w:line="164" w:lineRule="exact"/>
              <w:rPr>
                <w:sz w:val="20"/>
                <w:szCs w:val="20"/>
                <w:color w:val="auto"/>
              </w:rPr>
            </w:pPr>
            <w:r>
              <w:rPr>
                <w:rFonts w:ascii="Arial" w:cs="Arial" w:eastAsia="Arial" w:hAnsi="Arial"/>
                <w:sz w:val="16"/>
                <w:szCs w:val="16"/>
                <w:color w:val="auto"/>
              </w:rPr>
              <w:t>Amended and Restated Credit Agreement entered into among American Financial Group, Inc., the Bank of America, N.A., as</w:t>
            </w:r>
          </w:p>
        </w:tc>
        <w:tc>
          <w:tcPr>
            <w:tcW w:w="360" w:type="dxa"/>
            <w:vAlign w:val="bottom"/>
          </w:tcPr>
          <w:p>
            <w:pPr>
              <w:jc w:val="right"/>
              <w:spacing w:after="0" w:line="164"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9880" w:type="dxa"/>
            <w:vAlign w:val="bottom"/>
          </w:tcPr>
          <w:p>
            <w:pPr>
              <w:ind w:left="500"/>
              <w:spacing w:after="0"/>
              <w:rPr>
                <w:sz w:val="20"/>
                <w:szCs w:val="20"/>
                <w:color w:val="auto"/>
              </w:rPr>
            </w:pPr>
            <w:r>
              <w:rPr>
                <w:rFonts w:ascii="Arial" w:cs="Arial" w:eastAsia="Arial" w:hAnsi="Arial"/>
                <w:sz w:val="16"/>
                <w:szCs w:val="16"/>
                <w:color w:val="auto"/>
              </w:rPr>
              <w:t>Administrative Agent, and several lenders, filed as Exhibit 10.1 to AFG’s Form 8-K filed on June 27, 2023.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1100" w:hanging="1047"/>
        <w:spacing w:after="0"/>
        <w:tabs>
          <w:tab w:leader="none" w:pos="1100" w:val="left"/>
        </w:tabs>
        <w:numPr>
          <w:ilvl w:val="0"/>
          <w:numId w:val="78"/>
        </w:numPr>
        <w:rPr>
          <w:rFonts w:ascii="Arial" w:cs="Arial" w:eastAsia="Arial" w:hAnsi="Arial"/>
          <w:sz w:val="16"/>
          <w:szCs w:val="16"/>
          <w:color w:val="0000FF"/>
        </w:rPr>
      </w:pPr>
      <w:r>
        <w:rPr>
          <w:rFonts w:ascii="Arial" w:cs="Arial" w:eastAsia="Arial" w:hAnsi="Arial"/>
          <w:sz w:val="16"/>
          <w:szCs w:val="16"/>
          <w:color w:val="auto"/>
        </w:rPr>
        <w:t>Subsidiaries of the Registrant.</w:t>
      </w:r>
    </w:p>
    <w:p>
      <w:pPr>
        <w:spacing w:after="0" w:line="32" w:lineRule="exact"/>
        <w:rPr>
          <w:sz w:val="20"/>
          <w:szCs w:val="20"/>
          <w:color w:val="auto"/>
        </w:rPr>
      </w:pPr>
    </w:p>
    <w:p>
      <w:pPr>
        <w:ind w:left="1100" w:hanging="1047"/>
        <w:spacing w:after="0"/>
        <w:tabs>
          <w:tab w:leader="none" w:pos="1100" w:val="left"/>
        </w:tabs>
        <w:numPr>
          <w:ilvl w:val="0"/>
          <w:numId w:val="79"/>
        </w:numPr>
        <w:rPr>
          <w:rFonts w:ascii="Arial" w:cs="Arial" w:eastAsia="Arial" w:hAnsi="Arial"/>
          <w:sz w:val="16"/>
          <w:szCs w:val="16"/>
          <w:color w:val="0000FF"/>
        </w:rPr>
      </w:pPr>
      <w:r>
        <w:rPr>
          <w:rFonts w:ascii="Arial" w:cs="Arial" w:eastAsia="Arial" w:hAnsi="Arial"/>
          <w:sz w:val="16"/>
          <w:szCs w:val="16"/>
          <w:color w:val="auto"/>
        </w:rPr>
        <w:t>Consent of independent registered public accounting firm.</w:t>
      </w:r>
    </w:p>
    <w:p>
      <w:pPr>
        <w:spacing w:after="0" w:line="32"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700" w:type="dxa"/>
            <w:vAlign w:val="bottom"/>
          </w:tcPr>
          <w:p>
            <w:pPr>
              <w:spacing w:after="0"/>
              <w:rPr>
                <w:sz w:val="20"/>
                <w:szCs w:val="20"/>
                <w:color w:val="auto"/>
              </w:rPr>
            </w:pPr>
            <w:r>
              <w:rPr>
                <w:rFonts w:ascii="Arial" w:cs="Arial" w:eastAsia="Arial" w:hAnsi="Arial"/>
                <w:sz w:val="16"/>
                <w:szCs w:val="16"/>
                <w:color w:val="0000FF"/>
              </w:rPr>
              <w:t>31(a)</w:t>
            </w:r>
          </w:p>
        </w:tc>
        <w:tc>
          <w:tcPr>
            <w:tcW w:w="7840" w:type="dxa"/>
            <w:vAlign w:val="bottom"/>
          </w:tcPr>
          <w:p>
            <w:pPr>
              <w:ind w:left="340"/>
              <w:spacing w:after="0"/>
              <w:rPr>
                <w:sz w:val="20"/>
                <w:szCs w:val="20"/>
                <w:color w:val="auto"/>
              </w:rPr>
            </w:pPr>
            <w:r>
              <w:rPr>
                <w:rFonts w:ascii="Arial" w:cs="Arial" w:eastAsia="Arial" w:hAnsi="Arial"/>
                <w:sz w:val="16"/>
                <w:szCs w:val="16"/>
                <w:color w:val="auto"/>
              </w:rPr>
              <w:t>Certification of Co-Chief Executive Officer pursuant to Section 302(a) of the Sarbanes-Oxley Act of 2002.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0000FF"/>
              </w:rPr>
              <w:t>31(b)</w:t>
            </w:r>
          </w:p>
        </w:tc>
        <w:tc>
          <w:tcPr>
            <w:tcW w:w="7840" w:type="dxa"/>
            <w:vAlign w:val="bottom"/>
          </w:tcPr>
          <w:p>
            <w:pPr>
              <w:ind w:left="340"/>
              <w:spacing w:after="0"/>
              <w:rPr>
                <w:sz w:val="20"/>
                <w:szCs w:val="20"/>
                <w:color w:val="auto"/>
              </w:rPr>
            </w:pPr>
            <w:r>
              <w:rPr>
                <w:rFonts w:ascii="Arial" w:cs="Arial" w:eastAsia="Arial" w:hAnsi="Arial"/>
                <w:sz w:val="16"/>
                <w:szCs w:val="16"/>
                <w:color w:val="auto"/>
              </w:rPr>
              <w:t>Certification of Co-Chief Executive Officer pursuant to Section 302(a) of the Sarbanes-Oxley Act of 2002.</w:t>
            </w:r>
          </w:p>
        </w:tc>
      </w:tr>
      <w:tr>
        <w:trPr>
          <w:trHeight w:val="216"/>
        </w:trPr>
        <w:tc>
          <w:tcPr>
            <w:tcW w:w="700" w:type="dxa"/>
            <w:vAlign w:val="bottom"/>
          </w:tcPr>
          <w:p>
            <w:pPr>
              <w:spacing w:after="0"/>
              <w:rPr>
                <w:sz w:val="20"/>
                <w:szCs w:val="20"/>
                <w:color w:val="auto"/>
              </w:rPr>
            </w:pPr>
            <w:r>
              <w:rPr>
                <w:rFonts w:ascii="Arial" w:cs="Arial" w:eastAsia="Arial" w:hAnsi="Arial"/>
                <w:sz w:val="16"/>
                <w:szCs w:val="16"/>
                <w:color w:val="0000FF"/>
              </w:rPr>
              <w:t>31(c)</w:t>
            </w:r>
          </w:p>
        </w:tc>
        <w:tc>
          <w:tcPr>
            <w:tcW w:w="7840" w:type="dxa"/>
            <w:vAlign w:val="bottom"/>
          </w:tcPr>
          <w:p>
            <w:pPr>
              <w:ind w:left="340"/>
              <w:spacing w:after="0"/>
              <w:rPr>
                <w:sz w:val="20"/>
                <w:szCs w:val="20"/>
                <w:color w:val="auto"/>
              </w:rPr>
            </w:pPr>
            <w:r>
              <w:rPr>
                <w:rFonts w:ascii="Arial" w:cs="Arial" w:eastAsia="Arial" w:hAnsi="Arial"/>
                <w:sz w:val="16"/>
                <w:szCs w:val="16"/>
                <w:color w:val="auto"/>
              </w:rPr>
              <w:t>Certification of Chief Financial Officer pursuant to Section 302(a) of the Sarbanes-Oxley Act of 2002.</w:t>
            </w:r>
          </w:p>
        </w:tc>
      </w:tr>
    </w:tbl>
    <w:p>
      <w:pPr>
        <w:spacing w:after="0" w:line="1" w:lineRule="exact"/>
        <w:rPr>
          <w:sz w:val="20"/>
          <w:szCs w:val="20"/>
          <w:color w:val="auto"/>
        </w:rPr>
      </w:pPr>
    </w:p>
    <w:p>
      <w:pPr>
        <w:ind w:left="1100" w:hanging="1047"/>
        <w:spacing w:after="0"/>
        <w:tabs>
          <w:tab w:leader="none" w:pos="1100" w:val="left"/>
        </w:tabs>
        <w:numPr>
          <w:ilvl w:val="0"/>
          <w:numId w:val="80"/>
        </w:numPr>
        <w:rPr>
          <w:rFonts w:ascii="Arial" w:cs="Arial" w:eastAsia="Arial" w:hAnsi="Arial"/>
          <w:sz w:val="16"/>
          <w:szCs w:val="16"/>
          <w:color w:val="0000FF"/>
        </w:rPr>
      </w:pPr>
      <w:r>
        <w:rPr>
          <w:rFonts w:ascii="Arial" w:cs="Arial" w:eastAsia="Arial" w:hAnsi="Arial"/>
          <w:sz w:val="16"/>
          <w:szCs w:val="16"/>
          <w:color w:val="auto"/>
        </w:rPr>
        <w:t>Certification of Co-Chief Executive Officers and Chief Financial Officer pursuant to Section 906 of the Sarbanes-Oxley Act of 2002.</w:t>
      </w:r>
    </w:p>
    <w:p>
      <w:pPr>
        <w:spacing w:after="0" w:line="32" w:lineRule="exact"/>
        <w:rPr>
          <w:sz w:val="20"/>
          <w:szCs w:val="20"/>
          <w:color w:val="auto"/>
        </w:rPr>
      </w:pPr>
    </w:p>
    <w:p>
      <w:pPr>
        <w:ind w:left="1100" w:hanging="1047"/>
        <w:spacing w:after="0"/>
        <w:tabs>
          <w:tab w:leader="none" w:pos="1100" w:val="left"/>
        </w:tabs>
        <w:numPr>
          <w:ilvl w:val="0"/>
          <w:numId w:val="81"/>
        </w:numPr>
        <w:rPr>
          <w:rFonts w:ascii="Arial" w:cs="Arial" w:eastAsia="Arial" w:hAnsi="Arial"/>
          <w:sz w:val="16"/>
          <w:szCs w:val="16"/>
          <w:color w:val="0000FF"/>
        </w:rPr>
      </w:pPr>
      <w:r>
        <w:rPr>
          <w:rFonts w:ascii="Arial" w:cs="Arial" w:eastAsia="Arial" w:hAnsi="Arial"/>
          <w:sz w:val="16"/>
          <w:szCs w:val="16"/>
          <w:color w:val="auto"/>
        </w:rPr>
        <w:t>American Financial Group, Inc. Executive Officer Clawback Policy</w:t>
      </w:r>
    </w:p>
    <w:p>
      <w:pPr>
        <w:spacing w:after="0" w:line="11"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840" w:type="dxa"/>
            <w:vAlign w:val="bottom"/>
          </w:tcPr>
          <w:p>
            <w:pPr>
              <w:spacing w:after="0"/>
              <w:rPr>
                <w:sz w:val="20"/>
                <w:szCs w:val="20"/>
                <w:color w:val="auto"/>
              </w:rPr>
            </w:pPr>
            <w:r>
              <w:rPr>
                <w:rFonts w:ascii="Arial" w:cs="Arial" w:eastAsia="Arial" w:hAnsi="Arial"/>
                <w:sz w:val="16"/>
                <w:szCs w:val="16"/>
                <w:color w:val="auto"/>
              </w:rPr>
              <w:t>101.INS</w:t>
            </w:r>
          </w:p>
        </w:tc>
        <w:tc>
          <w:tcPr>
            <w:tcW w:w="9740" w:type="dxa"/>
            <w:vAlign w:val="bottom"/>
          </w:tcPr>
          <w:p>
            <w:pPr>
              <w:ind w:left="200"/>
              <w:spacing w:after="0"/>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w:t>
            </w:r>
          </w:p>
        </w:tc>
      </w:tr>
      <w:tr>
        <w:trPr>
          <w:trHeight w:val="215"/>
        </w:trPr>
        <w:tc>
          <w:tcPr>
            <w:tcW w:w="840" w:type="dxa"/>
            <w:vAlign w:val="bottom"/>
          </w:tcPr>
          <w:p>
            <w:pPr>
              <w:spacing w:after="0"/>
              <w:rPr>
                <w:sz w:val="18"/>
                <w:szCs w:val="18"/>
                <w:color w:val="auto"/>
              </w:rPr>
            </w:pPr>
          </w:p>
        </w:tc>
        <w:tc>
          <w:tcPr>
            <w:tcW w:w="9740" w:type="dxa"/>
            <w:vAlign w:val="bottom"/>
          </w:tcPr>
          <w:p>
            <w:pPr>
              <w:ind w:left="200"/>
              <w:spacing w:after="0"/>
              <w:rPr>
                <w:sz w:val="20"/>
                <w:szCs w:val="20"/>
                <w:color w:val="auto"/>
              </w:rPr>
            </w:pPr>
            <w:r>
              <w:rPr>
                <w:rFonts w:ascii="Arial" w:cs="Arial" w:eastAsia="Arial" w:hAnsi="Arial"/>
                <w:sz w:val="16"/>
                <w:szCs w:val="16"/>
                <w:color w:val="auto"/>
              </w:rPr>
              <w:t>within the Inline XBRL document.</w:t>
            </w:r>
          </w:p>
        </w:tc>
      </w:tr>
      <w:tr>
        <w:trPr>
          <w:trHeight w:val="215"/>
        </w:trPr>
        <w:tc>
          <w:tcPr>
            <w:tcW w:w="840" w:type="dxa"/>
            <w:vAlign w:val="bottom"/>
          </w:tcPr>
          <w:p>
            <w:pPr>
              <w:spacing w:after="0"/>
              <w:rPr>
                <w:sz w:val="20"/>
                <w:szCs w:val="20"/>
                <w:color w:val="auto"/>
              </w:rPr>
            </w:pPr>
            <w:r>
              <w:rPr>
                <w:rFonts w:ascii="Arial" w:cs="Arial" w:eastAsia="Arial" w:hAnsi="Arial"/>
                <w:sz w:val="16"/>
                <w:szCs w:val="16"/>
                <w:color w:val="auto"/>
              </w:rPr>
              <w:t>101.SCH</w:t>
            </w:r>
          </w:p>
        </w:tc>
        <w:tc>
          <w:tcPr>
            <w:tcW w:w="9740" w:type="dxa"/>
            <w:vAlign w:val="bottom"/>
          </w:tcPr>
          <w:p>
            <w:pPr>
              <w:ind w:left="200"/>
              <w:spacing w:after="0"/>
              <w:rPr>
                <w:sz w:val="20"/>
                <w:szCs w:val="20"/>
                <w:color w:val="auto"/>
              </w:rPr>
            </w:pPr>
            <w:r>
              <w:rPr>
                <w:rFonts w:ascii="Arial" w:cs="Arial" w:eastAsia="Arial" w:hAnsi="Arial"/>
                <w:sz w:val="16"/>
                <w:szCs w:val="16"/>
                <w:color w:val="auto"/>
              </w:rPr>
              <w:t>Inline XBRL Taxonomy Extension Schema Document.</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101.CAL</w:t>
            </w:r>
          </w:p>
        </w:tc>
        <w:tc>
          <w:tcPr>
            <w:tcW w:w="9740" w:type="dxa"/>
            <w:vAlign w:val="bottom"/>
          </w:tcPr>
          <w:p>
            <w:pPr>
              <w:ind w:left="200"/>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101.DEF</w:t>
            </w:r>
          </w:p>
        </w:tc>
        <w:tc>
          <w:tcPr>
            <w:tcW w:w="9740" w:type="dxa"/>
            <w:vAlign w:val="bottom"/>
          </w:tcPr>
          <w:p>
            <w:pPr>
              <w:ind w:left="200"/>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101.LAB</w:t>
            </w:r>
          </w:p>
        </w:tc>
        <w:tc>
          <w:tcPr>
            <w:tcW w:w="9740" w:type="dxa"/>
            <w:vAlign w:val="bottom"/>
          </w:tcPr>
          <w:p>
            <w:pPr>
              <w:ind w:left="200"/>
              <w:spacing w:after="0"/>
              <w:rPr>
                <w:sz w:val="20"/>
                <w:szCs w:val="20"/>
                <w:color w:val="auto"/>
              </w:rPr>
            </w:pPr>
            <w:r>
              <w:rPr>
                <w:rFonts w:ascii="Arial" w:cs="Arial" w:eastAsia="Arial" w:hAnsi="Arial"/>
                <w:sz w:val="16"/>
                <w:szCs w:val="16"/>
                <w:color w:val="auto"/>
              </w:rPr>
              <w:t>Inline XBRL Taxonomy Extension Label Linkbase Document.</w:t>
            </w:r>
          </w:p>
        </w:tc>
      </w:tr>
      <w:tr>
        <w:trPr>
          <w:trHeight w:val="216"/>
        </w:trPr>
        <w:tc>
          <w:tcPr>
            <w:tcW w:w="840" w:type="dxa"/>
            <w:vAlign w:val="bottom"/>
          </w:tcPr>
          <w:p>
            <w:pPr>
              <w:spacing w:after="0"/>
              <w:rPr>
                <w:sz w:val="20"/>
                <w:szCs w:val="20"/>
                <w:color w:val="auto"/>
              </w:rPr>
            </w:pPr>
            <w:r>
              <w:rPr>
                <w:rFonts w:ascii="Arial" w:cs="Arial" w:eastAsia="Arial" w:hAnsi="Arial"/>
                <w:sz w:val="16"/>
                <w:szCs w:val="16"/>
                <w:color w:val="auto"/>
              </w:rPr>
              <w:t>101.PRE</w:t>
            </w:r>
          </w:p>
        </w:tc>
        <w:tc>
          <w:tcPr>
            <w:tcW w:w="9740" w:type="dxa"/>
            <w:vAlign w:val="bottom"/>
          </w:tcPr>
          <w:p>
            <w:pPr>
              <w:ind w:left="200"/>
              <w:spacing w:after="0"/>
              <w:rPr>
                <w:sz w:val="20"/>
                <w:szCs w:val="20"/>
                <w:color w:val="auto"/>
              </w:rPr>
            </w:pPr>
            <w:r>
              <w:rPr>
                <w:rFonts w:ascii="Arial" w:cs="Arial" w:eastAsia="Arial" w:hAnsi="Arial"/>
                <w:sz w:val="16"/>
                <w:szCs w:val="16"/>
                <w:color w:val="auto"/>
              </w:rPr>
              <w:t>Inline XBRL Taxonomy Extension Presentation Linkbase Document.</w:t>
            </w:r>
          </w:p>
        </w:tc>
      </w:tr>
    </w:tbl>
    <w:p>
      <w:pPr>
        <w:spacing w:after="0" w:line="1" w:lineRule="exact"/>
        <w:rPr>
          <w:sz w:val="20"/>
          <w:szCs w:val="20"/>
          <w:color w:val="auto"/>
        </w:rPr>
      </w:pPr>
    </w:p>
    <w:p>
      <w:pPr>
        <w:ind w:left="1100" w:hanging="1047"/>
        <w:spacing w:after="0"/>
        <w:tabs>
          <w:tab w:leader="none" w:pos="11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 101).</w:t>
      </w:r>
    </w:p>
    <w:p>
      <w:pPr>
        <w:spacing w:after="0" w:line="200" w:lineRule="exact"/>
        <w:rPr>
          <w:rFonts w:ascii="Arial" w:cs="Arial" w:eastAsia="Arial" w:hAnsi="Arial"/>
          <w:sz w:val="16"/>
          <w:szCs w:val="16"/>
          <w:color w:val="auto"/>
        </w:rPr>
      </w:pPr>
    </w:p>
    <w:p>
      <w:pPr>
        <w:spacing w:after="0" w:line="372" w:lineRule="exact"/>
        <w:rPr>
          <w:rFonts w:ascii="Arial" w:cs="Arial" w:eastAsia="Arial" w:hAnsi="Arial"/>
          <w:sz w:val="16"/>
          <w:szCs w:val="16"/>
          <w:color w:val="auto"/>
        </w:rPr>
      </w:pPr>
    </w:p>
    <w:p>
      <w:pPr>
        <w:ind w:left="60"/>
        <w:spacing w:after="0"/>
        <w:rPr>
          <w:rFonts w:ascii="Arial" w:cs="Arial" w:eastAsia="Arial" w:hAnsi="Arial"/>
          <w:sz w:val="16"/>
          <w:szCs w:val="16"/>
          <w:color w:val="auto"/>
        </w:rPr>
      </w:pPr>
      <w:r>
        <w:rPr>
          <w:rFonts w:ascii="Arial" w:cs="Arial" w:eastAsia="Arial" w:hAnsi="Arial"/>
          <w:sz w:val="16"/>
          <w:szCs w:val="16"/>
          <w:color w:val="auto"/>
        </w:rPr>
        <w:t>(*)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5" w:right="539" w:bottom="1440" w:gutter="0" w:footer="0" w:header="0"/>
        </w:sectPr>
      </w:pPr>
    </w:p>
    <w:bookmarkStart w:id="135" w:name="page136"/>
    <w:bookmarkEnd w:id="13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left="3060"/>
        <w:spacing w:after="0"/>
        <w:rPr>
          <w:sz w:val="20"/>
          <w:szCs w:val="20"/>
          <w:color w:val="auto"/>
        </w:rPr>
      </w:pPr>
      <w:r>
        <w:rPr>
          <w:rFonts w:ascii="Arial" w:cs="Arial" w:eastAsia="Arial" w:hAnsi="Arial"/>
          <w:sz w:val="20"/>
          <w:szCs w:val="20"/>
          <w:b w:val="1"/>
          <w:bCs w:val="1"/>
          <w:color w:val="00274E"/>
        </w:rPr>
        <w:t>AMERICAN FINANCIAL GROUP, INC. — PARENT ONLY</w:t>
      </w:r>
    </w:p>
    <w:p>
      <w:pPr>
        <w:spacing w:after="0" w:line="33" w:lineRule="exact"/>
        <w:rPr>
          <w:sz w:val="20"/>
          <w:szCs w:val="20"/>
          <w:color w:val="auto"/>
        </w:rPr>
      </w:pPr>
    </w:p>
    <w:p>
      <w:pPr>
        <w:ind w:left="2100"/>
        <w:spacing w:after="0"/>
        <w:rPr>
          <w:sz w:val="20"/>
          <w:szCs w:val="20"/>
          <w:color w:val="auto"/>
        </w:rPr>
      </w:pPr>
      <w:r>
        <w:rPr>
          <w:rFonts w:ascii="Arial" w:cs="Arial" w:eastAsia="Arial" w:hAnsi="Arial"/>
          <w:sz w:val="20"/>
          <w:szCs w:val="20"/>
          <w:b w:val="1"/>
          <w:bCs w:val="1"/>
          <w:color w:val="00274E"/>
        </w:rPr>
        <w:t>SCHEDULE II — CONDENSED FINANCIAL INFORMATION OF REGISTRANT</w:t>
      </w:r>
    </w:p>
    <w:p>
      <w:pPr>
        <w:jc w:val="center"/>
        <w:spacing w:after="0"/>
        <w:rPr>
          <w:sz w:val="20"/>
          <w:szCs w:val="20"/>
          <w:color w:val="auto"/>
        </w:rPr>
      </w:pPr>
      <w:r>
        <w:rPr>
          <w:rFonts w:ascii="Arial" w:cs="Arial" w:eastAsia="Arial" w:hAnsi="Arial"/>
          <w:sz w:val="20"/>
          <w:szCs w:val="20"/>
          <w:b w:val="1"/>
          <w:bCs w:val="1"/>
          <w:color w:val="00274E"/>
        </w:rPr>
        <w:t>(In Millions)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Condensed Balance Sheet</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December 31,</w:t>
            </w:r>
          </w:p>
        </w:tc>
        <w:tc>
          <w:tcPr>
            <w:tcW w:w="780" w:type="dxa"/>
            <w:vAlign w:val="bottom"/>
            <w:tcBorders>
              <w:bottom w:val="single" w:sz="8" w:color="auto"/>
            </w:tcBorders>
          </w:tcPr>
          <w:p>
            <w:pPr>
              <w:spacing w:after="0"/>
              <w:rPr>
                <w:sz w:val="16"/>
                <w:szCs w:val="16"/>
                <w:color w:val="auto"/>
              </w:rPr>
            </w:pPr>
          </w:p>
        </w:tc>
      </w:tr>
      <w:tr>
        <w:trPr>
          <w:trHeight w:val="196"/>
        </w:trPr>
        <w:tc>
          <w:tcPr>
            <w:tcW w:w="87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2023</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2022</w:t>
            </w:r>
          </w:p>
        </w:tc>
      </w:tr>
      <w:tr>
        <w:trPr>
          <w:trHeight w:val="200"/>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5"/>
        </w:trPr>
        <w:tc>
          <w:tcPr>
            <w:tcW w:w="872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268</w:t>
            </w:r>
          </w:p>
        </w:tc>
        <w:tc>
          <w:tcPr>
            <w:tcW w:w="8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225</w:t>
            </w:r>
          </w:p>
        </w:tc>
      </w:tr>
      <w:tr>
        <w:trPr>
          <w:trHeight w:val="217"/>
        </w:trPr>
        <w:tc>
          <w:tcPr>
            <w:tcW w:w="8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in securities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w:t>
            </w:r>
          </w:p>
        </w:tc>
      </w:tr>
      <w:tr>
        <w:trPr>
          <w:trHeight w:val="215"/>
        </w:trPr>
        <w:tc>
          <w:tcPr>
            <w:tcW w:w="8720" w:type="dxa"/>
            <w:vAlign w:val="bottom"/>
          </w:tcPr>
          <w:p>
            <w:pPr>
              <w:ind w:left="140"/>
              <w:spacing w:after="0"/>
              <w:rPr>
                <w:sz w:val="20"/>
                <w:szCs w:val="20"/>
                <w:color w:val="auto"/>
              </w:rPr>
            </w:pPr>
            <w:r>
              <w:rPr>
                <w:rFonts w:ascii="Arial" w:cs="Arial" w:eastAsia="Arial" w:hAnsi="Arial"/>
                <w:sz w:val="16"/>
                <w:szCs w:val="16"/>
                <w:color w:val="auto"/>
              </w:rPr>
              <w:t>Investment in subsidiaries (*)</w:t>
            </w:r>
          </w:p>
        </w:tc>
        <w:tc>
          <w:tcPr>
            <w:tcW w:w="2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5,396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4,825</w:t>
            </w:r>
          </w:p>
        </w:tc>
      </w:tr>
      <w:tr>
        <w:trPr>
          <w:trHeight w:val="217"/>
        </w:trPr>
        <w:tc>
          <w:tcPr>
            <w:tcW w:w="8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Real estate and other investments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15"/>
        </w:trPr>
        <w:tc>
          <w:tcPr>
            <w:tcW w:w="87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189</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r>
      <w:tr>
        <w:trPr>
          <w:trHeight w:val="235"/>
        </w:trPr>
        <w:tc>
          <w:tcPr>
            <w:tcW w:w="8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6,070</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5,836</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16"/>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5"/>
        </w:trPr>
        <w:tc>
          <w:tcPr>
            <w:tcW w:w="8720" w:type="dxa"/>
            <w:vAlign w:val="bottom"/>
          </w:tcPr>
          <w:p>
            <w:pPr>
              <w:ind w:left="140"/>
              <w:spacing w:after="0"/>
              <w:rPr>
                <w:sz w:val="20"/>
                <w:szCs w:val="20"/>
                <w:color w:val="auto"/>
              </w:rPr>
            </w:pPr>
            <w:r>
              <w:rPr>
                <w:rFonts w:ascii="Arial" w:cs="Arial" w:eastAsia="Arial" w:hAnsi="Arial"/>
                <w:sz w:val="16"/>
                <w:szCs w:val="16"/>
                <w:color w:val="auto"/>
              </w:rPr>
              <w:t>Long-term debt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1,475</w:t>
            </w:r>
          </w:p>
        </w:tc>
        <w:tc>
          <w:tcPr>
            <w:tcW w:w="8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1,496</w:t>
            </w:r>
          </w:p>
        </w:tc>
      </w:tr>
      <w:tr>
        <w:trPr>
          <w:trHeight w:val="217"/>
        </w:trPr>
        <w:tc>
          <w:tcPr>
            <w:tcW w:w="8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liabilities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337</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r>
      <w:tr>
        <w:trPr>
          <w:trHeight w:val="215"/>
        </w:trPr>
        <w:tc>
          <w:tcPr>
            <w:tcW w:w="87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Shareholders’ equity</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4,258</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4,052</w:t>
            </w:r>
          </w:p>
        </w:tc>
      </w:tr>
      <w:tr>
        <w:trPr>
          <w:trHeight w:val="235"/>
        </w:trPr>
        <w:tc>
          <w:tcPr>
            <w:tcW w:w="8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liabilities and equity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6,070</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5,836</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Condensed Statement of Earnings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4"/>
                <w:szCs w:val="14"/>
                <w:color w:val="auto"/>
              </w:rPr>
              <w:t>Year ended December 31,</w:t>
            </w:r>
          </w:p>
        </w:tc>
        <w:tc>
          <w:tcPr>
            <w:tcW w:w="920" w:type="dxa"/>
            <w:vAlign w:val="bottom"/>
            <w:tcBorders>
              <w:bottom w:val="single" w:sz="8" w:color="auto"/>
            </w:tcBorders>
          </w:tcPr>
          <w:p>
            <w:pPr>
              <w:spacing w:after="0"/>
              <w:rPr>
                <w:sz w:val="16"/>
                <w:szCs w:val="16"/>
                <w:color w:val="auto"/>
              </w:rPr>
            </w:pPr>
          </w:p>
        </w:tc>
      </w:tr>
      <w:tr>
        <w:trPr>
          <w:trHeight w:val="196"/>
        </w:trPr>
        <w:tc>
          <w:tcPr>
            <w:tcW w:w="74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2022</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2021</w:t>
            </w:r>
          </w:p>
        </w:tc>
      </w:tr>
      <w:tr>
        <w:trPr>
          <w:trHeight w:val="200"/>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5"/>
        </w:trPr>
        <w:tc>
          <w:tcPr>
            <w:tcW w:w="7400" w:type="dxa"/>
            <w:vAlign w:val="bottom"/>
          </w:tcPr>
          <w:p>
            <w:pPr>
              <w:ind w:left="140"/>
              <w:spacing w:after="0"/>
              <w:rPr>
                <w:sz w:val="20"/>
                <w:szCs w:val="20"/>
                <w:color w:val="auto"/>
              </w:rPr>
            </w:pPr>
            <w:r>
              <w:rPr>
                <w:rFonts w:ascii="Arial" w:cs="Arial" w:eastAsia="Arial" w:hAnsi="Arial"/>
                <w:sz w:val="16"/>
                <w:szCs w:val="16"/>
                <w:color w:val="auto"/>
              </w:rPr>
              <w:t>Dividends from subsidiaries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903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879</w:t>
            </w:r>
          </w:p>
        </w:tc>
        <w:tc>
          <w:tcPr>
            <w:tcW w:w="8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835</w:t>
            </w:r>
          </w:p>
        </w:tc>
      </w:tr>
      <w:tr>
        <w:trPr>
          <w:trHeight w:val="217"/>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 in undistributed earnings of subsidiaries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1,721</w:t>
            </w:r>
          </w:p>
        </w:tc>
      </w:tr>
      <w:tr>
        <w:trPr>
          <w:trHeight w:val="215"/>
        </w:trPr>
        <w:tc>
          <w:tcPr>
            <w:tcW w:w="7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Investment and other income</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r>
      <w:tr>
        <w:trPr>
          <w:trHeight w:val="210"/>
        </w:trPr>
        <w:tc>
          <w:tcPr>
            <w:tcW w:w="7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revenues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2,585</w:t>
            </w:r>
          </w:p>
        </w:tc>
      </w:tr>
      <w:tr>
        <w:trPr>
          <w:trHeight w:val="216"/>
        </w:trPr>
        <w:tc>
          <w:tcPr>
            <w:tcW w:w="7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5"/>
        </w:trPr>
        <w:tc>
          <w:tcPr>
            <w:tcW w:w="7400" w:type="dxa"/>
            <w:vAlign w:val="bottom"/>
          </w:tcPr>
          <w:p>
            <w:pPr>
              <w:ind w:left="140"/>
              <w:spacing w:after="0"/>
              <w:rPr>
                <w:sz w:val="20"/>
                <w:szCs w:val="20"/>
                <w:color w:val="auto"/>
              </w:rPr>
            </w:pPr>
            <w:r>
              <w:rPr>
                <w:rFonts w:ascii="Arial" w:cs="Arial" w:eastAsia="Arial" w:hAnsi="Arial"/>
                <w:sz w:val="16"/>
                <w:szCs w:val="16"/>
                <w:color w:val="auto"/>
              </w:rPr>
              <w:t>Interest charges on intercompany borrowings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7"/>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charges on other borrowings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15"/>
        </w:trPr>
        <w:tc>
          <w:tcPr>
            <w:tcW w:w="7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expenses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r>
      <w:tr>
        <w:trPr>
          <w:trHeight w:val="209"/>
        </w:trPr>
        <w:tc>
          <w:tcPr>
            <w:tcW w:w="7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costs and expenses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r>
      <w:tr>
        <w:trPr>
          <w:trHeight w:val="197"/>
        </w:trPr>
        <w:tc>
          <w:tcPr>
            <w:tcW w:w="7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before income taxes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2,355</w:t>
            </w:r>
          </w:p>
        </w:tc>
      </w:tr>
      <w:tr>
        <w:trPr>
          <w:trHeight w:val="215"/>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w:t>
            </w:r>
          </w:p>
        </w:tc>
      </w:tr>
      <w:tr>
        <w:trPr>
          <w:trHeight w:val="235"/>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1,995</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Condensed Statement of Comprehensive Income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center"/>
              <w:ind w:left="563"/>
              <w:spacing w:after="0"/>
              <w:rPr>
                <w:sz w:val="20"/>
                <w:szCs w:val="20"/>
                <w:color w:val="auto"/>
              </w:rPr>
            </w:pPr>
            <w:r>
              <w:rPr>
                <w:rFonts w:ascii="Arial" w:cs="Arial" w:eastAsia="Arial" w:hAnsi="Arial"/>
                <w:sz w:val="14"/>
                <w:szCs w:val="14"/>
                <w:color w:val="auto"/>
              </w:rPr>
              <w:t>Year ended December 31,</w:t>
            </w:r>
          </w:p>
        </w:tc>
        <w:tc>
          <w:tcPr>
            <w:tcW w:w="920" w:type="dxa"/>
            <w:vAlign w:val="bottom"/>
            <w:tcBorders>
              <w:bottom w:val="single" w:sz="8" w:color="auto"/>
            </w:tcBorders>
          </w:tcPr>
          <w:p>
            <w:pPr>
              <w:spacing w:after="0"/>
              <w:rPr>
                <w:sz w:val="16"/>
                <w:szCs w:val="16"/>
                <w:color w:val="auto"/>
              </w:rPr>
            </w:pPr>
          </w:p>
        </w:tc>
      </w:tr>
      <w:tr>
        <w:trPr>
          <w:trHeight w:val="196"/>
        </w:trPr>
        <w:tc>
          <w:tcPr>
            <w:tcW w:w="74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2022</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2021</w:t>
            </w:r>
          </w:p>
        </w:tc>
      </w:tr>
      <w:tr>
        <w:trPr>
          <w:trHeight w:val="214"/>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852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center"/>
              <w:ind w:left="421"/>
              <w:spacing w:after="0"/>
              <w:rPr>
                <w:sz w:val="20"/>
                <w:szCs w:val="20"/>
                <w:color w:val="auto"/>
              </w:rPr>
            </w:pPr>
            <w:r>
              <w:rPr>
                <w:rFonts w:ascii="Arial" w:cs="Arial" w:eastAsia="Arial" w:hAnsi="Arial"/>
                <w:sz w:val="16"/>
                <w:szCs w:val="16"/>
                <w:color w:val="auto"/>
              </w:rPr>
              <w:t>898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1,995</w:t>
            </w:r>
          </w:p>
        </w:tc>
      </w:tr>
      <w:tr>
        <w:trPr>
          <w:trHeight w:val="215"/>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left="401"/>
              <w:spacing w:after="0"/>
              <w:rPr>
                <w:sz w:val="20"/>
                <w:szCs w:val="20"/>
                <w:color w:val="auto"/>
              </w:rPr>
            </w:pPr>
            <w:r>
              <w:rPr>
                <w:rFonts w:ascii="Arial" w:cs="Arial" w:eastAsia="Arial" w:hAnsi="Arial"/>
                <w:sz w:val="16"/>
                <w:szCs w:val="16"/>
                <w:color w:val="auto"/>
              </w:rPr>
              <w:t>(662)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(1,154)</w:t>
            </w:r>
          </w:p>
        </w:tc>
      </w:tr>
      <w:tr>
        <w:trPr>
          <w:trHeight w:val="235"/>
        </w:trPr>
        <w:tc>
          <w:tcPr>
            <w:tcW w:w="7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comprehensive income, net of tax</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1,076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center"/>
              <w:ind w:left="421"/>
              <w:spacing w:after="0"/>
              <w:rPr>
                <w:sz w:val="20"/>
                <w:szCs w:val="20"/>
                <w:color w:val="auto"/>
              </w:rPr>
            </w:pPr>
            <w:r>
              <w:rPr>
                <w:rFonts w:ascii="Arial" w:cs="Arial" w:eastAsia="Arial" w:hAnsi="Arial"/>
                <w:sz w:val="16"/>
                <w:szCs w:val="16"/>
                <w:color w:val="auto"/>
              </w:rPr>
              <w:t>236</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841</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w:t>
      </w:r>
    </w:p>
    <w:p>
      <w:pPr>
        <w:spacing w:after="0" w:line="23" w:lineRule="exact"/>
        <w:rPr>
          <w:sz w:val="20"/>
          <w:szCs w:val="20"/>
          <w:color w:val="auto"/>
        </w:rPr>
      </w:pPr>
    </w:p>
    <w:p>
      <w:pPr>
        <w:ind w:left="400" w:hanging="392"/>
        <w:spacing w:after="0"/>
        <w:tabs>
          <w:tab w:leader="none" w:pos="4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Investment in subsidiaries includes intercompany receivables and payables.</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36" w:name="page137"/>
    <w:bookmarkEnd w:id="13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left="3060"/>
        <w:spacing w:after="0"/>
        <w:rPr>
          <w:sz w:val="20"/>
          <w:szCs w:val="20"/>
          <w:color w:val="auto"/>
        </w:rPr>
      </w:pPr>
      <w:r>
        <w:rPr>
          <w:rFonts w:ascii="Arial" w:cs="Arial" w:eastAsia="Arial" w:hAnsi="Arial"/>
          <w:sz w:val="20"/>
          <w:szCs w:val="20"/>
          <w:b w:val="1"/>
          <w:bCs w:val="1"/>
          <w:color w:val="00274E"/>
        </w:rPr>
        <w:t>AMERICAN FINANCIAL GROUP, INC. — PARENT ONLY</w:t>
      </w:r>
    </w:p>
    <w:p>
      <w:pPr>
        <w:spacing w:after="0" w:line="33"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00274E"/>
        </w:rPr>
        <w:t>SCHEDULE II — CONDENSED FINANCIAL INFORMATION OF REGISTRANT — CONTINUED</w:t>
      </w:r>
    </w:p>
    <w:p>
      <w:pPr>
        <w:jc w:val="center"/>
        <w:spacing w:after="0"/>
        <w:rPr>
          <w:sz w:val="20"/>
          <w:szCs w:val="20"/>
          <w:color w:val="auto"/>
        </w:rPr>
      </w:pPr>
      <w:r>
        <w:rPr>
          <w:rFonts w:ascii="Arial" w:cs="Arial" w:eastAsia="Arial" w:hAnsi="Arial"/>
          <w:sz w:val="20"/>
          <w:szCs w:val="20"/>
          <w:b w:val="1"/>
          <w:bCs w:val="1"/>
          <w:color w:val="00274E"/>
        </w:rPr>
        <w:t>(In Millions)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274E"/>
        </w:rPr>
        <w:t>Condensed Statement of Cash Flows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4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4"/>
                <w:szCs w:val="14"/>
                <w:color w:val="auto"/>
              </w:rPr>
              <w:t>Year ended December 31,</w:t>
            </w:r>
          </w:p>
        </w:tc>
        <w:tc>
          <w:tcPr>
            <w:tcW w:w="920" w:type="dxa"/>
            <w:vAlign w:val="bottom"/>
            <w:tcBorders>
              <w:bottom w:val="single" w:sz="8" w:color="auto"/>
            </w:tcBorders>
          </w:tcPr>
          <w:p>
            <w:pPr>
              <w:spacing w:after="0"/>
              <w:rPr>
                <w:sz w:val="16"/>
                <w:szCs w:val="16"/>
                <w:color w:val="auto"/>
              </w:rPr>
            </w:pPr>
          </w:p>
        </w:tc>
      </w:tr>
      <w:tr>
        <w:trPr>
          <w:trHeight w:val="196"/>
        </w:trPr>
        <w:tc>
          <w:tcPr>
            <w:tcW w:w="74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2022</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2021</w:t>
            </w:r>
          </w:p>
        </w:tc>
      </w:tr>
      <w:tr>
        <w:trPr>
          <w:trHeight w:val="200"/>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5"/>
        </w:trPr>
        <w:tc>
          <w:tcPr>
            <w:tcW w:w="7400" w:type="dxa"/>
            <w:vAlign w:val="bottom"/>
          </w:tcPr>
          <w:p>
            <w:pPr>
              <w:ind w:left="140"/>
              <w:spacing w:after="0"/>
              <w:rPr>
                <w:sz w:val="20"/>
                <w:szCs w:val="20"/>
                <w:color w:val="auto"/>
              </w:rPr>
            </w:pPr>
            <w:r>
              <w:rPr>
                <w:rFonts w:ascii="Arial" w:cs="Arial" w:eastAsia="Arial" w:hAnsi="Arial"/>
                <w:sz w:val="16"/>
                <w:szCs w:val="16"/>
                <w:color w:val="auto"/>
              </w:rPr>
              <w:t>Net earnings</w:t>
            </w:r>
          </w:p>
        </w:tc>
        <w:tc>
          <w:tcPr>
            <w:tcW w:w="800" w:type="dxa"/>
            <w:vAlign w:val="bottom"/>
          </w:tcPr>
          <w:p>
            <w:pPr>
              <w:jc w:val="right"/>
              <w:ind w:right="602"/>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852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898</w:t>
            </w:r>
          </w:p>
        </w:tc>
        <w:tc>
          <w:tcPr>
            <w:tcW w:w="8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1,995</w:t>
            </w:r>
          </w:p>
        </w:tc>
      </w:tr>
      <w:tr>
        <w:trPr>
          <w:trHeight w:val="217"/>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5"/>
        </w:trPr>
        <w:tc>
          <w:tcPr>
            <w:tcW w:w="7400" w:type="dxa"/>
            <w:vAlign w:val="bottom"/>
          </w:tcPr>
          <w:p>
            <w:pPr>
              <w:ind w:left="360"/>
              <w:spacing w:after="0"/>
              <w:rPr>
                <w:sz w:val="20"/>
                <w:szCs w:val="20"/>
                <w:color w:val="auto"/>
              </w:rPr>
            </w:pPr>
            <w:r>
              <w:rPr>
                <w:rFonts w:ascii="Arial" w:cs="Arial" w:eastAsia="Arial" w:hAnsi="Arial"/>
                <w:sz w:val="16"/>
                <w:szCs w:val="16"/>
                <w:color w:val="auto"/>
              </w:rPr>
              <w:t>Equity in net earnings of subsidiaries</w:t>
            </w: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(967)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(1,030)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(2,144)</w:t>
            </w:r>
          </w:p>
        </w:tc>
      </w:tr>
      <w:tr>
        <w:trPr>
          <w:trHeight w:val="217"/>
        </w:trPr>
        <w:tc>
          <w:tcPr>
            <w:tcW w:w="7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Dividends from subsidiaries</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w:t>
            </w:r>
          </w:p>
        </w:tc>
      </w:tr>
      <w:tr>
        <w:trPr>
          <w:trHeight w:val="215"/>
        </w:trPr>
        <w:tc>
          <w:tcPr>
            <w:tcW w:w="7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operating activities, net</w:t>
            </w:r>
          </w:p>
        </w:tc>
        <w:tc>
          <w:tcPr>
            <w:tcW w:w="8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r>
      <w:tr>
        <w:trPr>
          <w:trHeight w:val="209"/>
        </w:trPr>
        <w:tc>
          <w:tcPr>
            <w:tcW w:w="7400" w:type="dxa"/>
            <w:vAlign w:val="bottom"/>
            <w:shd w:val="clear" w:color="auto" w:fill="CCEEFF"/>
          </w:tcPr>
          <w:p>
            <w:pPr>
              <w:ind w:left="560"/>
              <w:spacing w:after="0"/>
              <w:rPr>
                <w:sz w:val="20"/>
                <w:szCs w:val="20"/>
                <w:color w:val="auto"/>
              </w:rPr>
            </w:pPr>
            <w:r>
              <w:rPr>
                <w:rFonts w:ascii="Arial" w:cs="Arial" w:eastAsia="Arial" w:hAnsi="Arial"/>
                <w:sz w:val="16"/>
                <w:szCs w:val="16"/>
                <w:color w:val="auto"/>
              </w:rPr>
              <w:t>Net cash provided by operating activities</w:t>
            </w:r>
          </w:p>
        </w:tc>
        <w:tc>
          <w:tcPr>
            <w:tcW w:w="8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w:t>
            </w:r>
          </w:p>
        </w:tc>
      </w:tr>
      <w:tr>
        <w:trPr>
          <w:trHeight w:val="237"/>
        </w:trPr>
        <w:tc>
          <w:tcPr>
            <w:tcW w:w="7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5"/>
        </w:trPr>
        <w:tc>
          <w:tcPr>
            <w:tcW w:w="7400" w:type="dxa"/>
            <w:vAlign w:val="bottom"/>
          </w:tcPr>
          <w:p>
            <w:pPr>
              <w:ind w:left="140"/>
              <w:spacing w:after="0"/>
              <w:rPr>
                <w:sz w:val="20"/>
                <w:szCs w:val="20"/>
                <w:color w:val="auto"/>
              </w:rPr>
            </w:pPr>
            <w:r>
              <w:rPr>
                <w:rFonts w:ascii="Arial" w:cs="Arial" w:eastAsia="Arial" w:hAnsi="Arial"/>
                <w:sz w:val="16"/>
                <w:szCs w:val="16"/>
                <w:color w:val="auto"/>
              </w:rPr>
              <w:t>Capital contributions to subsidiaries</w:t>
            </w: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217"/>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Returns of capital from subsidiaries</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5"/>
        </w:trPr>
        <w:tc>
          <w:tcPr>
            <w:tcW w:w="7400" w:type="dxa"/>
            <w:vAlign w:val="bottom"/>
          </w:tcPr>
          <w:p>
            <w:pPr>
              <w:ind w:left="140"/>
              <w:spacing w:after="0"/>
              <w:rPr>
                <w:sz w:val="20"/>
                <w:szCs w:val="20"/>
                <w:color w:val="auto"/>
              </w:rPr>
            </w:pPr>
            <w:r>
              <w:rPr>
                <w:rFonts w:ascii="Arial" w:cs="Arial" w:eastAsia="Arial" w:hAnsi="Arial"/>
                <w:sz w:val="16"/>
                <w:szCs w:val="16"/>
                <w:color w:val="auto"/>
              </w:rPr>
              <w:t>Purchases of:</w:t>
            </w: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7"/>
        </w:trPr>
        <w:tc>
          <w:tcPr>
            <w:tcW w:w="7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Investments, property and equipment</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(1,478)</w:t>
            </w:r>
          </w:p>
        </w:tc>
      </w:tr>
      <w:tr>
        <w:trPr>
          <w:trHeight w:val="215"/>
        </w:trPr>
        <w:tc>
          <w:tcPr>
            <w:tcW w:w="7400" w:type="dxa"/>
            <w:vAlign w:val="bottom"/>
          </w:tcPr>
          <w:p>
            <w:pPr>
              <w:ind w:left="360"/>
              <w:spacing w:after="0"/>
              <w:rPr>
                <w:sz w:val="20"/>
                <w:szCs w:val="20"/>
                <w:color w:val="auto"/>
              </w:rPr>
            </w:pPr>
            <w:r>
              <w:rPr>
                <w:rFonts w:ascii="Arial" w:cs="Arial" w:eastAsia="Arial" w:hAnsi="Arial"/>
                <w:sz w:val="16"/>
                <w:szCs w:val="16"/>
                <w:color w:val="auto"/>
              </w:rPr>
              <w:t>Businesses</w:t>
            </w:r>
          </w:p>
        </w:tc>
        <w:tc>
          <w:tcPr>
            <w:tcW w:w="80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217"/>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5"/>
        </w:trPr>
        <w:tc>
          <w:tcPr>
            <w:tcW w:w="7400" w:type="dxa"/>
            <w:vAlign w:val="bottom"/>
          </w:tcPr>
          <w:p>
            <w:pPr>
              <w:ind w:left="360"/>
              <w:spacing w:after="0"/>
              <w:rPr>
                <w:sz w:val="20"/>
                <w:szCs w:val="20"/>
                <w:color w:val="auto"/>
              </w:rPr>
            </w:pPr>
            <w:r>
              <w:rPr>
                <w:rFonts w:ascii="Arial" w:cs="Arial" w:eastAsia="Arial" w:hAnsi="Arial"/>
                <w:sz w:val="16"/>
                <w:szCs w:val="16"/>
                <w:color w:val="auto"/>
              </w:rPr>
              <w:t>Maturities and redemptions of investments</w:t>
            </w: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277</w:t>
            </w:r>
          </w:p>
        </w:tc>
      </w:tr>
      <w:tr>
        <w:trPr>
          <w:trHeight w:val="217"/>
        </w:trPr>
        <w:tc>
          <w:tcPr>
            <w:tcW w:w="7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Sales of investments, property and equipment</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5"/>
        </w:trPr>
        <w:tc>
          <w:tcPr>
            <w:tcW w:w="7400" w:type="dxa"/>
            <w:vAlign w:val="bottom"/>
          </w:tcPr>
          <w:p>
            <w:pPr>
              <w:ind w:left="360"/>
              <w:spacing w:after="0"/>
              <w:rPr>
                <w:sz w:val="20"/>
                <w:szCs w:val="20"/>
                <w:color w:val="auto"/>
              </w:rPr>
            </w:pPr>
            <w:r>
              <w:rPr>
                <w:rFonts w:ascii="Arial" w:cs="Arial" w:eastAsia="Arial" w:hAnsi="Arial"/>
                <w:sz w:val="16"/>
                <w:szCs w:val="16"/>
                <w:color w:val="auto"/>
              </w:rPr>
              <w:t>Sales of businesses</w:t>
            </w:r>
          </w:p>
        </w:tc>
        <w:tc>
          <w:tcPr>
            <w:tcW w:w="80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3,581</w:t>
            </w:r>
          </w:p>
        </w:tc>
      </w:tr>
      <w:tr>
        <w:trPr>
          <w:trHeight w:val="210"/>
        </w:trPr>
        <w:tc>
          <w:tcPr>
            <w:tcW w:w="740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Net cash provided by investing activities</w:t>
            </w: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2,167</w:t>
            </w:r>
          </w:p>
        </w:tc>
      </w:tr>
      <w:tr>
        <w:trPr>
          <w:trHeight w:val="237"/>
        </w:trPr>
        <w:tc>
          <w:tcPr>
            <w:tcW w:w="7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5"/>
        </w:trPr>
        <w:tc>
          <w:tcPr>
            <w:tcW w:w="7400" w:type="dxa"/>
            <w:vAlign w:val="bottom"/>
          </w:tcPr>
          <w:p>
            <w:pPr>
              <w:ind w:left="140"/>
              <w:spacing w:after="0"/>
              <w:rPr>
                <w:sz w:val="20"/>
                <w:szCs w:val="20"/>
                <w:color w:val="auto"/>
              </w:rPr>
            </w:pPr>
            <w:r>
              <w:rPr>
                <w:rFonts w:ascii="Arial" w:cs="Arial" w:eastAsia="Arial" w:hAnsi="Arial"/>
                <w:sz w:val="16"/>
                <w:szCs w:val="16"/>
                <w:color w:val="auto"/>
              </w:rPr>
              <w:t>Reductions of long-term debt</w:t>
            </w: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Issuances of Common Stock</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15"/>
        </w:trPr>
        <w:tc>
          <w:tcPr>
            <w:tcW w:w="7400" w:type="dxa"/>
            <w:vAlign w:val="bottom"/>
          </w:tcPr>
          <w:p>
            <w:pPr>
              <w:ind w:left="140"/>
              <w:spacing w:after="0"/>
              <w:rPr>
                <w:sz w:val="20"/>
                <w:szCs w:val="20"/>
                <w:color w:val="auto"/>
              </w:rPr>
            </w:pPr>
            <w:r>
              <w:rPr>
                <w:rFonts w:ascii="Arial" w:cs="Arial" w:eastAsia="Arial" w:hAnsi="Arial"/>
                <w:sz w:val="16"/>
                <w:szCs w:val="16"/>
                <w:color w:val="auto"/>
              </w:rPr>
              <w:t>Repurchases of Common Stock</w:t>
            </w: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(319)</w:t>
            </w:r>
          </w:p>
        </w:tc>
      </w:tr>
      <w:tr>
        <w:trPr>
          <w:trHeight w:val="217"/>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dividends paid on Common Stock</w:t>
            </w:r>
          </w:p>
        </w:tc>
        <w:tc>
          <w:tcPr>
            <w:tcW w:w="8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(1,213)</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(2,374)</w:t>
            </w:r>
          </w:p>
        </w:tc>
      </w:tr>
      <w:tr>
        <w:trPr>
          <w:trHeight w:val="209"/>
        </w:trPr>
        <w:tc>
          <w:tcPr>
            <w:tcW w:w="7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cash used in financing activities</w:t>
            </w:r>
          </w:p>
        </w:tc>
        <w:tc>
          <w:tcPr>
            <w:tcW w:w="8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(1,683)</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(2,626)</w:t>
            </w:r>
          </w:p>
        </w:tc>
      </w:tr>
      <w:tr>
        <w:trPr>
          <w:trHeight w:val="237"/>
        </w:trPr>
        <w:tc>
          <w:tcPr>
            <w:tcW w:w="74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16"/>
        </w:trPr>
        <w:tc>
          <w:tcPr>
            <w:tcW w:w="7400" w:type="dxa"/>
            <w:vAlign w:val="bottom"/>
          </w:tcPr>
          <w:p>
            <w:pPr>
              <w:ind w:left="20"/>
              <w:spacing w:after="0"/>
              <w:rPr>
                <w:sz w:val="20"/>
                <w:szCs w:val="20"/>
                <w:color w:val="auto"/>
              </w:rPr>
            </w:pPr>
            <w:r>
              <w:rPr>
                <w:rFonts w:ascii="Arial" w:cs="Arial" w:eastAsia="Arial" w:hAnsi="Arial"/>
                <w:sz w:val="16"/>
                <w:szCs w:val="16"/>
                <w:b w:val="1"/>
                <w:bCs w:val="1"/>
                <w:color w:val="auto"/>
              </w:rPr>
              <w:t>Net Change in Cash and Cash Equivalents</w:t>
            </w: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374</w:t>
            </w:r>
          </w:p>
        </w:tc>
      </w:tr>
      <w:tr>
        <w:trPr>
          <w:trHeight w:val="215"/>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8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w:t>
            </w:r>
          </w:p>
        </w:tc>
      </w:tr>
      <w:tr>
        <w:trPr>
          <w:trHeight w:val="210"/>
        </w:trPr>
        <w:tc>
          <w:tcPr>
            <w:tcW w:w="7400" w:type="dxa"/>
            <w:vAlign w:val="bottom"/>
          </w:tcPr>
          <w:p>
            <w:pPr>
              <w:ind w:left="20"/>
              <w:spacing w:after="0"/>
              <w:rPr>
                <w:sz w:val="20"/>
                <w:szCs w:val="20"/>
                <w:color w:val="auto"/>
              </w:rPr>
            </w:pPr>
            <w:r>
              <w:rPr>
                <w:rFonts w:ascii="Arial" w:cs="Arial" w:eastAsia="Arial" w:hAnsi="Arial"/>
                <w:sz w:val="16"/>
                <w:szCs w:val="16"/>
                <w:color w:val="auto"/>
              </w:rPr>
              <w:t>Cash and cash equivalents at end of year</w:t>
            </w:r>
          </w:p>
        </w:tc>
        <w:tc>
          <w:tcPr>
            <w:tcW w:w="800" w:type="dxa"/>
            <w:vAlign w:val="bottom"/>
            <w:tcBorders>
              <w:bottom w:val="single" w:sz="8" w:color="auto"/>
            </w:tcBorders>
          </w:tcPr>
          <w:p>
            <w:pPr>
              <w:jc w:val="right"/>
              <w:ind w:right="602"/>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w:t>
            </w:r>
          </w:p>
        </w:tc>
      </w:tr>
      <w:tr>
        <w:trPr>
          <w:trHeight w:val="20"/>
        </w:trPr>
        <w:tc>
          <w:tcPr>
            <w:tcW w:w="7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37" w:name="page138"/>
    <w:bookmarkEnd w:id="13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920"/>
        <w:spacing w:after="0"/>
        <w:rPr>
          <w:sz w:val="20"/>
          <w:szCs w:val="20"/>
          <w:color w:val="auto"/>
        </w:rPr>
      </w:pPr>
      <w:r>
        <w:rPr>
          <w:rFonts w:ascii="Arial" w:cs="Arial" w:eastAsia="Arial" w:hAnsi="Arial"/>
          <w:sz w:val="20"/>
          <w:szCs w:val="20"/>
          <w:b w:val="1"/>
          <w:bCs w:val="1"/>
          <w:color w:val="00274E"/>
        </w:rPr>
        <w:t>AMERICAN FINANCIAL GROUP, INC. AND SUBSIDIARIES</w:t>
      </w:r>
    </w:p>
    <w:p>
      <w:pPr>
        <w:spacing w:after="0" w:line="33" w:lineRule="exact"/>
        <w:rPr>
          <w:sz w:val="20"/>
          <w:szCs w:val="20"/>
          <w:color w:val="auto"/>
        </w:rPr>
      </w:pPr>
    </w:p>
    <w:p>
      <w:pPr>
        <w:ind w:left="2600"/>
        <w:spacing w:after="0"/>
        <w:rPr>
          <w:sz w:val="20"/>
          <w:szCs w:val="20"/>
          <w:color w:val="auto"/>
        </w:rPr>
      </w:pPr>
      <w:r>
        <w:rPr>
          <w:rFonts w:ascii="Arial" w:cs="Arial" w:eastAsia="Arial" w:hAnsi="Arial"/>
          <w:sz w:val="20"/>
          <w:szCs w:val="20"/>
          <w:b w:val="1"/>
          <w:bCs w:val="1"/>
          <w:color w:val="00274E"/>
        </w:rPr>
        <w:t>SCHEDULE III — SUPPLEMENTARY INSURANCE INFORMATION</w:t>
      </w:r>
    </w:p>
    <w:p>
      <w:pPr>
        <w:jc w:val="center"/>
        <w:ind w:right="-19"/>
        <w:spacing w:after="0"/>
        <w:rPr>
          <w:sz w:val="20"/>
          <w:szCs w:val="20"/>
          <w:color w:val="auto"/>
        </w:rPr>
      </w:pPr>
      <w:r>
        <w:rPr>
          <w:rFonts w:ascii="Arial" w:cs="Arial" w:eastAsia="Arial" w:hAnsi="Arial"/>
          <w:sz w:val="20"/>
          <w:szCs w:val="20"/>
          <w:b w:val="1"/>
          <w:bCs w:val="1"/>
          <w:color w:val="00274E"/>
        </w:rPr>
        <w:t>THREE YEARS ENDED DECEMBER 31, 2023</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274E"/>
        </w:rPr>
        <w:t>(IN MILLIONS)</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color w:val="auto"/>
              </w:rPr>
              <w:t>Deferred</w:t>
            </w:r>
          </w:p>
        </w:tc>
        <w:tc>
          <w:tcPr>
            <w:tcW w:w="10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color w:val="auto"/>
              </w:rPr>
              <w:t>Reserves for</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ind w:left="20"/>
              <w:spacing w:after="0"/>
              <w:rPr>
                <w:sz w:val="20"/>
                <w:szCs w:val="20"/>
                <w:color w:val="auto"/>
              </w:rPr>
            </w:pPr>
            <w:r>
              <w:rPr>
                <w:rFonts w:ascii="Arial" w:cs="Arial" w:eastAsia="Arial" w:hAnsi="Arial"/>
                <w:sz w:val="13"/>
                <w:szCs w:val="13"/>
                <w:color w:val="auto"/>
              </w:rPr>
              <w:t>Claims, losses</w:t>
            </w:r>
          </w:p>
        </w:tc>
        <w:tc>
          <w:tcPr>
            <w:tcW w:w="100" w:type="dxa"/>
            <w:vAlign w:val="bottom"/>
          </w:tcPr>
          <w:p>
            <w:pPr>
              <w:spacing w:after="0"/>
              <w:rPr>
                <w:sz w:val="13"/>
                <w:szCs w:val="13"/>
                <w:color w:val="auto"/>
              </w:rPr>
            </w:pPr>
          </w:p>
        </w:tc>
        <w:tc>
          <w:tcPr>
            <w:tcW w:w="1080" w:type="dxa"/>
            <w:vAlign w:val="bottom"/>
            <w:gridSpan w:val="2"/>
            <w:vMerge w:val="restart"/>
          </w:tcPr>
          <w:p>
            <w:pPr>
              <w:jc w:val="center"/>
              <w:ind w:right="180"/>
              <w:spacing w:after="0"/>
              <w:rPr>
                <w:sz w:val="20"/>
                <w:szCs w:val="20"/>
                <w:color w:val="auto"/>
              </w:rPr>
            </w:pPr>
            <w:r>
              <w:rPr>
                <w:rFonts w:ascii="Arial" w:cs="Arial" w:eastAsia="Arial" w:hAnsi="Arial"/>
                <w:sz w:val="13"/>
                <w:szCs w:val="13"/>
                <w:color w:val="auto"/>
              </w:rPr>
              <w:t>Amortization of</w:t>
            </w:r>
          </w:p>
        </w:tc>
        <w:tc>
          <w:tcPr>
            <w:tcW w:w="120" w:type="dxa"/>
            <w:vAlign w:val="bottom"/>
          </w:tcPr>
          <w:p>
            <w:pPr>
              <w:spacing w:after="0"/>
              <w:rPr>
                <w:sz w:val="13"/>
                <w:szCs w:val="13"/>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3"/>
                <w:szCs w:val="13"/>
                <w:color w:val="auto"/>
              </w:rPr>
              <w:t>Other</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color w:val="auto"/>
              </w:rPr>
              <w:t>policy</w:t>
            </w:r>
          </w:p>
        </w:tc>
        <w:tc>
          <w:tcPr>
            <w:tcW w:w="100" w:type="dxa"/>
            <w:vAlign w:val="bottom"/>
          </w:tcPr>
          <w:p>
            <w:pPr>
              <w:spacing w:after="0"/>
              <w:rPr>
                <w:sz w:val="11"/>
                <w:szCs w:val="11"/>
                <w:color w:val="auto"/>
              </w:rPr>
            </w:pPr>
          </w:p>
        </w:tc>
        <w:tc>
          <w:tcPr>
            <w:tcW w:w="106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rPr>
              <w:t>claims and</w:t>
            </w:r>
          </w:p>
        </w:tc>
        <w:tc>
          <w:tcPr>
            <w:tcW w:w="120" w:type="dxa"/>
            <w:vAlign w:val="bottom"/>
          </w:tcPr>
          <w:p>
            <w:pPr>
              <w:spacing w:after="0"/>
              <w:rPr>
                <w:sz w:val="11"/>
                <w:szCs w:val="11"/>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3"/>
                <w:szCs w:val="13"/>
                <w:color w:val="auto"/>
              </w:rPr>
              <w:t>Unearned</w:t>
            </w:r>
          </w:p>
        </w:tc>
        <w:tc>
          <w:tcPr>
            <w:tcW w:w="100" w:type="dxa"/>
            <w:vAlign w:val="bottom"/>
          </w:tcPr>
          <w:p>
            <w:pPr>
              <w:spacing w:after="0"/>
              <w:rPr>
                <w:sz w:val="11"/>
                <w:szCs w:val="11"/>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3"/>
                <w:szCs w:val="13"/>
                <w:color w:val="auto"/>
              </w:rPr>
              <w:t>Net earned</w:t>
            </w:r>
          </w:p>
        </w:tc>
        <w:tc>
          <w:tcPr>
            <w:tcW w:w="1060" w:type="dxa"/>
            <w:vAlign w:val="bottom"/>
            <w:gridSpan w:val="3"/>
            <w:vMerge w:val="restart"/>
          </w:tcPr>
          <w:p>
            <w:pPr>
              <w:ind w:left="40"/>
              <w:spacing w:after="0"/>
              <w:rPr>
                <w:sz w:val="20"/>
                <w:szCs w:val="20"/>
                <w:color w:val="auto"/>
              </w:rPr>
            </w:pPr>
            <w:r>
              <w:rPr>
                <w:rFonts w:ascii="Arial" w:cs="Arial" w:eastAsia="Arial" w:hAnsi="Arial"/>
                <w:sz w:val="13"/>
                <w:szCs w:val="13"/>
                <w:color w:val="auto"/>
              </w:rPr>
              <w:t>Net investment</w:t>
            </w: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rPr>
              <w:t>and</w:t>
            </w:r>
          </w:p>
        </w:tc>
        <w:tc>
          <w:tcPr>
            <w:tcW w:w="1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restart"/>
          </w:tcPr>
          <w:p>
            <w:pPr>
              <w:jc w:val="right"/>
              <w:ind w:right="89"/>
              <w:spacing w:after="0"/>
              <w:rPr>
                <w:sz w:val="20"/>
                <w:szCs w:val="20"/>
                <w:color w:val="auto"/>
              </w:rPr>
            </w:pPr>
            <w:r>
              <w:rPr>
                <w:rFonts w:ascii="Arial" w:cs="Arial" w:eastAsia="Arial" w:hAnsi="Arial"/>
                <w:sz w:val="13"/>
                <w:szCs w:val="13"/>
                <w:color w:val="auto"/>
              </w:rPr>
              <w:t>Net written</w:t>
            </w:r>
          </w:p>
        </w:tc>
        <w:tc>
          <w:tcPr>
            <w:tcW w:w="0" w:type="dxa"/>
            <w:vAlign w:val="bottom"/>
          </w:tcPr>
          <w:p>
            <w:pPr>
              <w:spacing w:after="0"/>
              <w:rPr>
                <w:sz w:val="1"/>
                <w:szCs w:val="1"/>
                <w:color w:val="auto"/>
              </w:rPr>
            </w:pPr>
          </w:p>
        </w:tc>
      </w:tr>
      <w:tr>
        <w:trPr>
          <w:trHeight w:val="135"/>
        </w:trPr>
        <w:tc>
          <w:tcPr>
            <w:tcW w:w="1860" w:type="dxa"/>
            <w:vAlign w:val="bottom"/>
            <w:gridSpan w:val="4"/>
            <w:vMerge w:val="restart"/>
          </w:tcPr>
          <w:p>
            <w:pPr>
              <w:ind w:left="20"/>
              <w:spacing w:after="0"/>
              <w:rPr>
                <w:sz w:val="20"/>
                <w:szCs w:val="20"/>
                <w:color w:val="auto"/>
              </w:rPr>
            </w:pPr>
            <w:r>
              <w:rPr>
                <w:rFonts w:ascii="Arial" w:cs="Arial" w:eastAsia="Arial" w:hAnsi="Arial"/>
                <w:sz w:val="13"/>
                <w:szCs w:val="13"/>
                <w:color w:val="auto"/>
              </w:rPr>
              <w:t>Segment</w:t>
            </w: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rPr>
              <w:t>acquisition</w:t>
            </w:r>
          </w:p>
        </w:tc>
        <w:tc>
          <w:tcPr>
            <w:tcW w:w="100" w:type="dxa"/>
            <w:vAlign w:val="bottom"/>
          </w:tcPr>
          <w:p>
            <w:pPr>
              <w:spacing w:after="0"/>
              <w:rPr>
                <w:sz w:val="11"/>
                <w:szCs w:val="11"/>
                <w:color w:val="auto"/>
              </w:rPr>
            </w:pPr>
          </w:p>
        </w:tc>
        <w:tc>
          <w:tcPr>
            <w:tcW w:w="106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rPr>
              <w:t>unpaid losses</w:t>
            </w: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rPr>
              <w:t>settlement</w:t>
            </w:r>
          </w:p>
        </w:tc>
        <w:tc>
          <w:tcPr>
            <w:tcW w:w="100" w:type="dxa"/>
            <w:vAlign w:val="bottom"/>
          </w:tcPr>
          <w:p>
            <w:pPr>
              <w:spacing w:after="0"/>
              <w:rPr>
                <w:sz w:val="11"/>
                <w:szCs w:val="11"/>
                <w:color w:val="auto"/>
              </w:rPr>
            </w:pPr>
          </w:p>
        </w:tc>
        <w:tc>
          <w:tcPr>
            <w:tcW w:w="108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rPr>
              <w:t>deferred policy</w:t>
            </w:r>
          </w:p>
        </w:tc>
        <w:tc>
          <w:tcPr>
            <w:tcW w:w="12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rPr>
              <w:t>operating</w:t>
            </w:r>
          </w:p>
        </w:tc>
        <w:tc>
          <w:tcPr>
            <w:tcW w:w="1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86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color w:val="auto"/>
              </w:rPr>
              <w:t>costs</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color w:val="auto"/>
              </w:rPr>
              <w:t>and LAE</w:t>
            </w:r>
          </w:p>
        </w:tc>
        <w:tc>
          <w:tcPr>
            <w:tcW w:w="120" w:type="dxa"/>
            <w:vAlign w:val="bottom"/>
          </w:tcPr>
          <w:p>
            <w:pPr>
              <w:spacing w:after="0"/>
              <w:rPr>
                <w:sz w:val="15"/>
                <w:szCs w:val="15"/>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color w:val="auto"/>
              </w:rPr>
              <w:t>premiums</w:t>
            </w:r>
          </w:p>
        </w:tc>
        <w:tc>
          <w:tcPr>
            <w:tcW w:w="10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color w:val="auto"/>
              </w:rPr>
              <w:t>premiums</w:t>
            </w:r>
          </w:p>
        </w:tc>
        <w:tc>
          <w:tcPr>
            <w:tcW w:w="18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income</w:t>
            </w:r>
          </w:p>
        </w:tc>
        <w:tc>
          <w:tcPr>
            <w:tcW w:w="12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color w:val="auto"/>
              </w:rPr>
              <w:t>expenses</w:t>
            </w:r>
          </w:p>
        </w:tc>
        <w:tc>
          <w:tcPr>
            <w:tcW w:w="1180" w:type="dxa"/>
            <w:vAlign w:val="bottom"/>
            <w:gridSpan w:val="3"/>
          </w:tcPr>
          <w:p>
            <w:pPr>
              <w:jc w:val="center"/>
              <w:ind w:right="100"/>
              <w:spacing w:after="0"/>
              <w:rPr>
                <w:sz w:val="20"/>
                <w:szCs w:val="20"/>
                <w:color w:val="auto"/>
              </w:rPr>
            </w:pPr>
            <w:r>
              <w:rPr>
                <w:rFonts w:ascii="Arial" w:cs="Arial" w:eastAsia="Arial" w:hAnsi="Arial"/>
                <w:sz w:val="13"/>
                <w:szCs w:val="13"/>
                <w:color w:val="auto"/>
              </w:rPr>
              <w:t>acquisition costs</w:t>
            </w:r>
          </w:p>
        </w:tc>
        <w:tc>
          <w:tcPr>
            <w:tcW w:w="12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3"/>
                <w:szCs w:val="13"/>
                <w:color w:val="auto"/>
              </w:rPr>
              <w:t>expenses</w:t>
            </w:r>
          </w:p>
        </w:tc>
        <w:tc>
          <w:tcPr>
            <w:tcW w:w="140" w:type="dxa"/>
            <w:vAlign w:val="bottom"/>
          </w:tcPr>
          <w:p>
            <w:pPr>
              <w:spacing w:after="0"/>
              <w:rPr>
                <w:sz w:val="15"/>
                <w:szCs w:val="15"/>
                <w:color w:val="auto"/>
              </w:rPr>
            </w:pPr>
          </w:p>
        </w:tc>
        <w:tc>
          <w:tcPr>
            <w:tcW w:w="820" w:type="dxa"/>
            <w:vAlign w:val="bottom"/>
          </w:tcPr>
          <w:p>
            <w:pPr>
              <w:jc w:val="right"/>
              <w:ind w:right="109"/>
              <w:spacing w:after="0"/>
              <w:rPr>
                <w:sz w:val="20"/>
                <w:szCs w:val="20"/>
                <w:color w:val="auto"/>
              </w:rPr>
            </w:pPr>
            <w:r>
              <w:rPr>
                <w:rFonts w:ascii="Arial" w:cs="Arial" w:eastAsia="Arial" w:hAnsi="Arial"/>
                <w:sz w:val="13"/>
                <w:szCs w:val="13"/>
                <w:color w:val="auto"/>
              </w:rPr>
              <w:t>premiums</w:t>
            </w:r>
          </w:p>
        </w:tc>
        <w:tc>
          <w:tcPr>
            <w:tcW w:w="0" w:type="dxa"/>
            <w:vAlign w:val="bottom"/>
          </w:tcPr>
          <w:p>
            <w:pPr>
              <w:spacing w:after="0"/>
              <w:rPr>
                <w:sz w:val="1"/>
                <w:szCs w:val="1"/>
                <w:color w:val="auto"/>
              </w:rPr>
            </w:pPr>
          </w:p>
        </w:tc>
      </w:tr>
      <w:tr>
        <w:trPr>
          <w:trHeight w:val="162"/>
        </w:trPr>
        <w:tc>
          <w:tcPr>
            <w:tcW w:w="3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w w:val="96"/>
              </w:rPr>
              <w:t>2023</w:t>
            </w:r>
          </w:p>
        </w:tc>
        <w:tc>
          <w:tcPr>
            <w:tcW w:w="14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860" w:type="dxa"/>
            <w:vAlign w:val="bottom"/>
            <w:gridSpan w:val="4"/>
          </w:tcPr>
          <w:p>
            <w:pPr>
              <w:ind w:left="20"/>
              <w:spacing w:after="0" w:line="153" w:lineRule="exact"/>
              <w:rPr>
                <w:sz w:val="20"/>
                <w:szCs w:val="20"/>
                <w:color w:val="auto"/>
              </w:rPr>
            </w:pPr>
            <w:r>
              <w:rPr>
                <w:rFonts w:ascii="Arial" w:cs="Arial" w:eastAsia="Arial" w:hAnsi="Arial"/>
                <w:sz w:val="14"/>
                <w:szCs w:val="14"/>
                <w:color w:val="auto"/>
              </w:rPr>
              <w:t>Property and casualty</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309</w:t>
            </w:r>
          </w:p>
        </w:tc>
        <w:tc>
          <w:tcPr>
            <w:tcW w:w="10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13,087</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3,451</w:t>
            </w:r>
          </w:p>
        </w:tc>
        <w:tc>
          <w:tcPr>
            <w:tcW w:w="10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6,531</w:t>
            </w:r>
          </w:p>
        </w:tc>
        <w:tc>
          <w:tcPr>
            <w:tcW w:w="100" w:type="dxa"/>
            <w:vAlign w:val="bottom"/>
          </w:tcPr>
          <w:p>
            <w:pPr>
              <w:spacing w:after="0"/>
              <w:rPr>
                <w:sz w:val="13"/>
                <w:szCs w:val="13"/>
                <w:color w:val="auto"/>
              </w:rPr>
            </w:pPr>
          </w:p>
        </w:tc>
        <w:tc>
          <w:tcPr>
            <w:tcW w:w="1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729</w:t>
            </w:r>
          </w:p>
        </w:tc>
        <w:tc>
          <w:tcPr>
            <w:tcW w:w="100" w:type="dxa"/>
            <w:vAlign w:val="bottom"/>
          </w:tcPr>
          <w:p>
            <w:pPr>
              <w:spacing w:after="0"/>
              <w:rPr>
                <w:sz w:val="13"/>
                <w:szCs w:val="13"/>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4,017</w:t>
            </w:r>
          </w:p>
        </w:tc>
        <w:tc>
          <w:tcPr>
            <w:tcW w:w="10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720</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1,235</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6,692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840" w:type="dxa"/>
            <w:vAlign w:val="bottom"/>
            <w:gridSpan w:val="3"/>
          </w:tcPr>
          <w:p>
            <w:pPr>
              <w:jc w:val="center"/>
              <w:ind w:right="900"/>
              <w:spacing w:after="0"/>
              <w:rPr>
                <w:sz w:val="20"/>
                <w:szCs w:val="20"/>
                <w:color w:val="auto"/>
              </w:rPr>
            </w:pPr>
            <w:r>
              <w:rPr>
                <w:rFonts w:ascii="Arial" w:cs="Arial" w:eastAsia="Arial" w:hAnsi="Arial"/>
                <w:sz w:val="14"/>
                <w:szCs w:val="14"/>
                <w:color w:val="auto"/>
              </w:rPr>
              <w:t>insurance</w:t>
            </w:r>
          </w:p>
        </w:tc>
        <w:tc>
          <w:tcPr>
            <w:tcW w:w="12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86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766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gridSpan w:val="2"/>
          </w:tcPr>
          <w:p>
            <w:pPr>
              <w:jc w:val="center"/>
              <w:ind w:right="1220"/>
              <w:spacing w:after="0"/>
              <w:rPr>
                <w:sz w:val="20"/>
                <w:szCs w:val="20"/>
                <w:color w:val="auto"/>
              </w:rPr>
            </w:pPr>
            <w:r>
              <w:rPr>
                <w:rFonts w:ascii="Arial" w:cs="Arial" w:eastAsia="Arial" w:hAnsi="Arial"/>
                <w:sz w:val="14"/>
                <w:szCs w:val="14"/>
                <w:color w:val="auto"/>
                <w:w w:val="96"/>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309</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13,087</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3,451</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6,531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4,033</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2,001</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6,692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2022</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860" w:type="dxa"/>
            <w:vAlign w:val="bottom"/>
            <w:gridSpan w:val="4"/>
            <w:shd w:val="clear" w:color="auto" w:fill="CCEEFF"/>
          </w:tcPr>
          <w:p>
            <w:pPr>
              <w:ind w:left="20"/>
              <w:spacing w:after="0" w:line="153" w:lineRule="exact"/>
              <w:rPr>
                <w:sz w:val="20"/>
                <w:szCs w:val="20"/>
                <w:color w:val="auto"/>
              </w:rPr>
            </w:pPr>
            <w:r>
              <w:rPr>
                <w:rFonts w:ascii="Arial" w:cs="Arial" w:eastAsia="Arial" w:hAnsi="Arial"/>
                <w:sz w:val="14"/>
                <w:szCs w:val="14"/>
                <w:color w:val="auto"/>
              </w:rPr>
              <w:t>Property and casualty</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10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11,974</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3,246</w:t>
            </w:r>
          </w:p>
        </w:tc>
        <w:tc>
          <w:tcPr>
            <w:tcW w:w="10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6,085</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683</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3,629</w:t>
            </w:r>
          </w:p>
        </w:tc>
        <w:tc>
          <w:tcPr>
            <w:tcW w:w="10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641</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1,091</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6,206</w:t>
            </w: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1840" w:type="dxa"/>
            <w:vAlign w:val="bottom"/>
            <w:gridSpan w:val="3"/>
            <w:shd w:val="clear" w:color="auto" w:fill="CCEEFF"/>
          </w:tcPr>
          <w:p>
            <w:pPr>
              <w:jc w:val="center"/>
              <w:ind w:right="900"/>
              <w:spacing w:after="0"/>
              <w:rPr>
                <w:sz w:val="20"/>
                <w:szCs w:val="20"/>
                <w:color w:val="auto"/>
              </w:rPr>
            </w:pPr>
            <w:r>
              <w:rPr>
                <w:rFonts w:ascii="Arial" w:cs="Arial" w:eastAsia="Arial" w:hAnsi="Arial"/>
                <w:sz w:val="14"/>
                <w:szCs w:val="14"/>
                <w:color w:val="auto"/>
              </w:rPr>
              <w:t>insurance</w:t>
            </w:r>
          </w:p>
        </w:tc>
        <w:tc>
          <w:tcPr>
            <w:tcW w:w="12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860" w:type="dxa"/>
            <w:vAlign w:val="bottom"/>
            <w:gridSpan w:val="4"/>
          </w:tcPr>
          <w:p>
            <w:pPr>
              <w:ind w:left="20"/>
              <w:spacing w:after="0"/>
              <w:rPr>
                <w:sz w:val="20"/>
                <w:szCs w:val="20"/>
                <w:color w:val="auto"/>
              </w:rPr>
            </w:pPr>
            <w:r>
              <w:rPr>
                <w:rFonts w:ascii="Arial" w:cs="Arial" w:eastAsia="Arial" w:hAnsi="Arial"/>
                <w:sz w:val="14"/>
                <w:szCs w:val="14"/>
                <w:color w:val="auto"/>
              </w:rPr>
              <w:t>Other</w:t>
            </w: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556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520" w:type="dxa"/>
            <w:vAlign w:val="bottom"/>
            <w:tcBorders>
              <w:top w:val="single" w:sz="8" w:color="CCEEFF"/>
              <w:bottom w:val="single" w:sz="8" w:color="CCEEFF"/>
            </w:tcBorders>
            <w:gridSpan w:val="2"/>
            <w:shd w:val="clear" w:color="auto" w:fill="CCEEFF"/>
          </w:tcPr>
          <w:p>
            <w:pPr>
              <w:jc w:val="center"/>
              <w:ind w:right="1220"/>
              <w:spacing w:after="0"/>
              <w:rPr>
                <w:sz w:val="20"/>
                <w:szCs w:val="20"/>
                <w:color w:val="auto"/>
              </w:rPr>
            </w:pPr>
            <w:r>
              <w:rPr>
                <w:rFonts w:ascii="Arial" w:cs="Arial" w:eastAsia="Arial" w:hAnsi="Arial"/>
                <w:sz w:val="14"/>
                <w:szCs w:val="14"/>
                <w:color w:val="auto"/>
                <w:w w:val="96"/>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1,647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6,206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w w:val="96"/>
              </w:rPr>
              <w:t>2021</w:t>
            </w: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860" w:type="dxa"/>
            <w:vAlign w:val="bottom"/>
            <w:gridSpan w:val="4"/>
          </w:tcPr>
          <w:p>
            <w:pPr>
              <w:ind w:left="20"/>
              <w:spacing w:after="0" w:line="153" w:lineRule="exact"/>
              <w:rPr>
                <w:sz w:val="20"/>
                <w:szCs w:val="20"/>
                <w:color w:val="auto"/>
              </w:rPr>
            </w:pPr>
            <w:r>
              <w:rPr>
                <w:rFonts w:ascii="Arial" w:cs="Arial" w:eastAsia="Arial" w:hAnsi="Arial"/>
                <w:sz w:val="14"/>
                <w:szCs w:val="14"/>
                <w:color w:val="auto"/>
              </w:rPr>
              <w:t>Property and casualty</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11,074</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3,041</w:t>
            </w:r>
          </w:p>
        </w:tc>
        <w:tc>
          <w:tcPr>
            <w:tcW w:w="10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5,404</w:t>
            </w:r>
          </w:p>
        </w:tc>
        <w:tc>
          <w:tcPr>
            <w:tcW w:w="100" w:type="dxa"/>
            <w:vAlign w:val="bottom"/>
          </w:tcPr>
          <w:p>
            <w:pPr>
              <w:spacing w:after="0"/>
              <w:rPr>
                <w:sz w:val="13"/>
                <w:szCs w:val="13"/>
                <w:color w:val="auto"/>
              </w:rPr>
            </w:pPr>
          </w:p>
        </w:tc>
        <w:tc>
          <w:tcPr>
            <w:tcW w:w="1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663</w:t>
            </w:r>
          </w:p>
        </w:tc>
        <w:tc>
          <w:tcPr>
            <w:tcW w:w="100" w:type="dxa"/>
            <w:vAlign w:val="bottom"/>
          </w:tcPr>
          <w:p>
            <w:pPr>
              <w:spacing w:after="0"/>
              <w:rPr>
                <w:sz w:val="13"/>
                <w:szCs w:val="13"/>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3,157</w:t>
            </w:r>
          </w:p>
        </w:tc>
        <w:tc>
          <w:tcPr>
            <w:tcW w:w="10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580</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9"/>
              <w:spacing w:after="0"/>
              <w:rPr>
                <w:sz w:val="20"/>
                <w:szCs w:val="20"/>
                <w:color w:val="auto"/>
              </w:rPr>
            </w:pPr>
            <w:r>
              <w:rPr>
                <w:rFonts w:ascii="Arial" w:cs="Arial" w:eastAsia="Arial" w:hAnsi="Arial"/>
                <w:sz w:val="14"/>
                <w:szCs w:val="14"/>
                <w:color w:val="auto"/>
              </w:rPr>
              <w:t>967</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5,573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840" w:type="dxa"/>
            <w:vAlign w:val="bottom"/>
            <w:gridSpan w:val="3"/>
          </w:tcPr>
          <w:p>
            <w:pPr>
              <w:jc w:val="center"/>
              <w:ind w:right="900"/>
              <w:spacing w:after="0"/>
              <w:rPr>
                <w:sz w:val="20"/>
                <w:szCs w:val="20"/>
                <w:color w:val="auto"/>
              </w:rPr>
            </w:pPr>
            <w:r>
              <w:rPr>
                <w:rFonts w:ascii="Arial" w:cs="Arial" w:eastAsia="Arial" w:hAnsi="Arial"/>
                <w:sz w:val="14"/>
                <w:szCs w:val="14"/>
                <w:color w:val="auto"/>
              </w:rPr>
              <w:t>insurance</w:t>
            </w:r>
          </w:p>
        </w:tc>
        <w:tc>
          <w:tcPr>
            <w:tcW w:w="12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86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513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gridSpan w:val="2"/>
          </w:tcPr>
          <w:p>
            <w:pPr>
              <w:jc w:val="center"/>
              <w:ind w:right="1220"/>
              <w:spacing w:after="0"/>
              <w:rPr>
                <w:sz w:val="20"/>
                <w:szCs w:val="20"/>
                <w:color w:val="auto"/>
              </w:rPr>
            </w:pPr>
            <w:r>
              <w:rPr>
                <w:rFonts w:ascii="Arial" w:cs="Arial" w:eastAsia="Arial" w:hAnsi="Arial"/>
                <w:sz w:val="14"/>
                <w:szCs w:val="14"/>
                <w:color w:val="auto"/>
                <w:w w:val="96"/>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11,074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3,041</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5,404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3,157</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1,480</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5,573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38" w:name="page139"/>
    <w:bookmarkEnd w:id="13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274E"/>
        </w:rPr>
        <w:t>Signatures</w:t>
      </w:r>
    </w:p>
    <w:p>
      <w:pPr>
        <w:spacing w:after="0" w:line="257"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7840" w:type="dxa"/>
            <w:vAlign w:val="bottom"/>
            <w:gridSpan w:val="2"/>
          </w:tcPr>
          <w:p>
            <w:pPr>
              <w:ind w:left="2040"/>
              <w:spacing w:after="0"/>
              <w:rPr>
                <w:sz w:val="20"/>
                <w:szCs w:val="20"/>
                <w:color w:val="auto"/>
              </w:rPr>
            </w:pPr>
            <w:r>
              <w:rPr>
                <w:rFonts w:ascii="Arial" w:cs="Arial" w:eastAsia="Arial" w:hAnsi="Arial"/>
                <w:sz w:val="16"/>
                <w:szCs w:val="16"/>
                <w:color w:val="auto"/>
              </w:rPr>
              <w:t>American Financial Group, Inc.</w:t>
            </w:r>
          </w:p>
        </w:tc>
      </w:tr>
      <w:tr>
        <w:trPr>
          <w:trHeight w:val="541"/>
        </w:trPr>
        <w:tc>
          <w:tcPr>
            <w:tcW w:w="3360" w:type="dxa"/>
            <w:vAlign w:val="bottom"/>
          </w:tcPr>
          <w:p>
            <w:pPr>
              <w:spacing w:after="0"/>
              <w:rPr>
                <w:sz w:val="20"/>
                <w:szCs w:val="20"/>
                <w:color w:val="auto"/>
              </w:rPr>
            </w:pPr>
            <w:r>
              <w:rPr>
                <w:rFonts w:ascii="Arial" w:cs="Arial" w:eastAsia="Arial" w:hAnsi="Arial"/>
                <w:sz w:val="16"/>
                <w:szCs w:val="16"/>
                <w:color w:val="auto"/>
              </w:rPr>
              <w:t>February 23, 2024</w:t>
            </w:r>
          </w:p>
        </w:tc>
        <w:tc>
          <w:tcPr>
            <w:tcW w:w="2680" w:type="dxa"/>
            <w:vAlign w:val="bottom"/>
          </w:tcPr>
          <w:p>
            <w:pPr>
              <w:ind w:left="2040"/>
              <w:spacing w:after="0"/>
              <w:rPr>
                <w:sz w:val="20"/>
                <w:szCs w:val="20"/>
                <w:color w:val="auto"/>
              </w:rPr>
            </w:pPr>
            <w:r>
              <w:rPr>
                <w:rFonts w:ascii="Arial" w:cs="Arial" w:eastAsia="Arial" w:hAnsi="Arial"/>
                <w:sz w:val="16"/>
                <w:szCs w:val="16"/>
                <w:color w:val="auto"/>
              </w:rPr>
              <w:t>By:</w:t>
            </w: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Brian S. Hertzman</w:t>
            </w:r>
          </w:p>
        </w:tc>
      </w:tr>
      <w:tr>
        <w:trPr>
          <w:trHeight w:val="209"/>
        </w:trPr>
        <w:tc>
          <w:tcPr>
            <w:tcW w:w="3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Brian S. Hertzman</w:t>
            </w:r>
          </w:p>
        </w:tc>
      </w:tr>
      <w:tr>
        <w:trPr>
          <w:trHeight w:val="215"/>
        </w:trPr>
        <w:tc>
          <w:tcPr>
            <w:tcW w:w="3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Senior Vice President and Chief Financial Officer</w:t>
            </w:r>
          </w:p>
        </w:tc>
      </w:tr>
    </w:tbl>
    <w:p>
      <w:pPr>
        <w:spacing w:after="0" w:line="61" w:lineRule="exact"/>
        <w:rPr>
          <w:sz w:val="20"/>
          <w:szCs w:val="20"/>
          <w:color w:val="auto"/>
        </w:rPr>
      </w:pPr>
    </w:p>
    <w:p>
      <w:pPr>
        <w:ind w:left="1580"/>
        <w:spacing w:after="0"/>
        <w:rPr>
          <w:sz w:val="20"/>
          <w:szCs w:val="20"/>
          <w:color w:val="auto"/>
        </w:rPr>
      </w:pPr>
      <w:r>
        <w:rPr>
          <w:rFonts w:ascii="Arial" w:cs="Arial" w:eastAsia="Arial" w:hAnsi="Arial"/>
          <w:sz w:val="17"/>
          <w:szCs w:val="17"/>
          <w:color w:val="auto"/>
        </w:rPr>
        <w:t>__________________________________________________________________________________________</w:t>
      </w:r>
    </w:p>
    <w:p>
      <w:pPr>
        <w:spacing w:after="0" w:line="250" w:lineRule="exact"/>
        <w:rPr>
          <w:sz w:val="20"/>
          <w:szCs w:val="20"/>
          <w:color w:val="auto"/>
        </w:rPr>
      </w:pPr>
    </w:p>
    <w:p>
      <w:pPr>
        <w:ind w:right="260"/>
        <w:spacing w:after="0" w:line="301"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00" w:type="dxa"/>
            <w:vAlign w:val="bottom"/>
          </w:tcPr>
          <w:p>
            <w:pPr>
              <w:spacing w:after="0"/>
              <w:rPr>
                <w:sz w:val="16"/>
                <w:szCs w:val="16"/>
                <w:color w:val="auto"/>
              </w:rPr>
            </w:pPr>
          </w:p>
        </w:tc>
        <w:tc>
          <w:tcPr>
            <w:tcW w:w="2000" w:type="dxa"/>
            <w:vAlign w:val="bottom"/>
            <w:gridSpan w:val="2"/>
          </w:tcPr>
          <w:p>
            <w:pPr>
              <w:spacing w:after="0"/>
              <w:rPr>
                <w:sz w:val="20"/>
                <w:szCs w:val="20"/>
                <w:color w:val="auto"/>
              </w:rPr>
            </w:pPr>
            <w:r>
              <w:rPr>
                <w:rFonts w:ascii="Arial" w:cs="Arial" w:eastAsia="Arial" w:hAnsi="Arial"/>
                <w:sz w:val="16"/>
                <w:szCs w:val="16"/>
                <w:color w:val="auto"/>
              </w:rPr>
              <w:t>Signature</w:t>
            </w:r>
          </w:p>
        </w:tc>
        <w:tc>
          <w:tcPr>
            <w:tcW w:w="5040" w:type="dxa"/>
            <w:vAlign w:val="bottom"/>
            <w:gridSpan w:val="3"/>
          </w:tcPr>
          <w:p>
            <w:pPr>
              <w:ind w:left="2760"/>
              <w:spacing w:after="0"/>
              <w:rPr>
                <w:sz w:val="20"/>
                <w:szCs w:val="20"/>
                <w:color w:val="auto"/>
              </w:rPr>
            </w:pPr>
            <w:r>
              <w:rPr>
                <w:rFonts w:ascii="Arial" w:cs="Arial" w:eastAsia="Arial" w:hAnsi="Arial"/>
                <w:sz w:val="16"/>
                <w:szCs w:val="16"/>
                <w:color w:val="auto"/>
              </w:rPr>
              <w:t>Capacity</w:t>
            </w:r>
          </w:p>
        </w:tc>
        <w:tc>
          <w:tcPr>
            <w:tcW w:w="1800" w:type="dxa"/>
            <w:vAlign w:val="bottom"/>
          </w:tcPr>
          <w:p>
            <w:pPr>
              <w:spacing w:after="0"/>
              <w:rPr>
                <w:sz w:val="16"/>
                <w:szCs w:val="16"/>
                <w:color w:val="auto"/>
              </w:rPr>
            </w:pPr>
          </w:p>
        </w:tc>
        <w:tc>
          <w:tcPr>
            <w:tcW w:w="840" w:type="dxa"/>
            <w:vAlign w:val="bottom"/>
            <w:gridSpan w:val="2"/>
          </w:tcPr>
          <w:p>
            <w:pPr>
              <w:jc w:val="center"/>
              <w:ind w:right="500"/>
              <w:spacing w:after="0"/>
              <w:rPr>
                <w:sz w:val="20"/>
                <w:szCs w:val="20"/>
                <w:color w:val="auto"/>
              </w:rPr>
            </w:pPr>
            <w:r>
              <w:rPr>
                <w:rFonts w:ascii="Arial" w:cs="Arial" w:eastAsia="Arial" w:hAnsi="Arial"/>
                <w:sz w:val="16"/>
                <w:szCs w:val="16"/>
                <w:color w:val="auto"/>
              </w:rPr>
              <w:t>Date</w:t>
            </w:r>
          </w:p>
        </w:tc>
      </w:tr>
      <w:tr>
        <w:trPr>
          <w:trHeight w:val="20"/>
        </w:trPr>
        <w:tc>
          <w:tcPr>
            <w:tcW w:w="1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50"/>
        </w:trPr>
        <w:tc>
          <w:tcPr>
            <w:tcW w:w="33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/s/ Carl H. Lindner III</w:t>
            </w:r>
          </w:p>
        </w:tc>
        <w:tc>
          <w:tcPr>
            <w:tcW w:w="5040" w:type="dxa"/>
            <w:vAlign w:val="bottom"/>
            <w:gridSpan w:val="3"/>
          </w:tcPr>
          <w:p>
            <w:pPr>
              <w:ind w:left="220"/>
              <w:spacing w:after="0"/>
              <w:rPr>
                <w:sz w:val="20"/>
                <w:szCs w:val="20"/>
                <w:color w:val="auto"/>
              </w:rPr>
            </w:pPr>
            <w:r>
              <w:rPr>
                <w:rFonts w:ascii="Arial" w:cs="Arial" w:eastAsia="Arial" w:hAnsi="Arial"/>
                <w:sz w:val="16"/>
                <w:szCs w:val="16"/>
                <w:color w:val="auto"/>
              </w:rPr>
              <w:t>Co-Chief Executive Officer and Director</w:t>
            </w:r>
          </w:p>
        </w:tc>
        <w:tc>
          <w:tcPr>
            <w:tcW w:w="2640" w:type="dxa"/>
            <w:vAlign w:val="bottom"/>
            <w:gridSpan w:val="3"/>
          </w:tcPr>
          <w:p>
            <w:pPr>
              <w:jc w:val="center"/>
              <w:ind w:left="1239"/>
              <w:spacing w:after="0"/>
              <w:rPr>
                <w:sz w:val="20"/>
                <w:szCs w:val="20"/>
                <w:color w:val="auto"/>
              </w:rPr>
            </w:pPr>
            <w:r>
              <w:rPr>
                <w:rFonts w:ascii="Arial" w:cs="Arial" w:eastAsia="Arial" w:hAnsi="Arial"/>
                <w:sz w:val="16"/>
                <w:szCs w:val="16"/>
                <w:color w:val="auto"/>
              </w:rPr>
              <w:t>February 23, 2024</w:t>
            </w:r>
          </w:p>
        </w:tc>
      </w:tr>
      <w:tr>
        <w:trPr>
          <w:trHeight w:val="210"/>
        </w:trPr>
        <w:tc>
          <w:tcPr>
            <w:tcW w:w="3300" w:type="dxa"/>
            <w:vAlign w:val="bottom"/>
            <w:gridSpan w:val="3"/>
          </w:tcPr>
          <w:p>
            <w:pPr>
              <w:ind w:left="20"/>
              <w:spacing w:after="0"/>
              <w:rPr>
                <w:sz w:val="20"/>
                <w:szCs w:val="20"/>
                <w:color w:val="auto"/>
              </w:rPr>
            </w:pPr>
            <w:r>
              <w:rPr>
                <w:rFonts w:ascii="Arial" w:cs="Arial" w:eastAsia="Arial" w:hAnsi="Arial"/>
                <w:sz w:val="16"/>
                <w:szCs w:val="16"/>
                <w:color w:val="auto"/>
              </w:rPr>
              <w:t>Carl H. Lindner III</w:t>
            </w:r>
          </w:p>
        </w:tc>
        <w:tc>
          <w:tcPr>
            <w:tcW w:w="5040" w:type="dxa"/>
            <w:vAlign w:val="bottom"/>
            <w:gridSpan w:val="3"/>
          </w:tcPr>
          <w:p>
            <w:pPr>
              <w:ind w:left="220"/>
              <w:spacing w:after="0"/>
              <w:rPr>
                <w:sz w:val="20"/>
                <w:szCs w:val="20"/>
                <w:color w:val="auto"/>
              </w:rPr>
            </w:pPr>
            <w:r>
              <w:rPr>
                <w:rFonts w:ascii="Arial" w:cs="Arial" w:eastAsia="Arial" w:hAnsi="Arial"/>
                <w:sz w:val="16"/>
                <w:szCs w:val="16"/>
                <w:color w:val="auto"/>
              </w:rPr>
              <w:t>(Principal Executive Officer)</w:t>
            </w: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1"/>
        </w:trPr>
        <w:tc>
          <w:tcPr>
            <w:tcW w:w="33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/s/ S. Craig Lindner</w:t>
            </w:r>
          </w:p>
        </w:tc>
        <w:tc>
          <w:tcPr>
            <w:tcW w:w="5040" w:type="dxa"/>
            <w:vAlign w:val="bottom"/>
            <w:gridSpan w:val="3"/>
          </w:tcPr>
          <w:p>
            <w:pPr>
              <w:ind w:left="220"/>
              <w:spacing w:after="0"/>
              <w:rPr>
                <w:sz w:val="20"/>
                <w:szCs w:val="20"/>
                <w:color w:val="auto"/>
              </w:rPr>
            </w:pPr>
            <w:r>
              <w:rPr>
                <w:rFonts w:ascii="Arial" w:cs="Arial" w:eastAsia="Arial" w:hAnsi="Arial"/>
                <w:sz w:val="16"/>
                <w:szCs w:val="16"/>
                <w:color w:val="auto"/>
              </w:rPr>
              <w:t>Co-Chief Executive Officer and Director</w:t>
            </w:r>
          </w:p>
        </w:tc>
        <w:tc>
          <w:tcPr>
            <w:tcW w:w="2640" w:type="dxa"/>
            <w:vAlign w:val="bottom"/>
            <w:gridSpan w:val="3"/>
          </w:tcPr>
          <w:p>
            <w:pPr>
              <w:jc w:val="center"/>
              <w:ind w:left="1239"/>
              <w:spacing w:after="0"/>
              <w:rPr>
                <w:sz w:val="20"/>
                <w:szCs w:val="20"/>
                <w:color w:val="auto"/>
              </w:rPr>
            </w:pPr>
            <w:r>
              <w:rPr>
                <w:rFonts w:ascii="Arial" w:cs="Arial" w:eastAsia="Arial" w:hAnsi="Arial"/>
                <w:sz w:val="16"/>
                <w:szCs w:val="16"/>
                <w:color w:val="auto"/>
              </w:rPr>
              <w:t>February 23, 2024</w:t>
            </w:r>
          </w:p>
        </w:tc>
      </w:tr>
      <w:tr>
        <w:trPr>
          <w:trHeight w:val="210"/>
        </w:trPr>
        <w:tc>
          <w:tcPr>
            <w:tcW w:w="3300" w:type="dxa"/>
            <w:vAlign w:val="bottom"/>
            <w:gridSpan w:val="3"/>
          </w:tcPr>
          <w:p>
            <w:pPr>
              <w:ind w:left="20"/>
              <w:spacing w:after="0"/>
              <w:rPr>
                <w:sz w:val="20"/>
                <w:szCs w:val="20"/>
                <w:color w:val="auto"/>
              </w:rPr>
            </w:pPr>
            <w:r>
              <w:rPr>
                <w:rFonts w:ascii="Arial" w:cs="Arial" w:eastAsia="Arial" w:hAnsi="Arial"/>
                <w:sz w:val="16"/>
                <w:szCs w:val="16"/>
                <w:color w:val="auto"/>
              </w:rPr>
              <w:t>S. Craig Lindner</w:t>
            </w:r>
          </w:p>
        </w:tc>
        <w:tc>
          <w:tcPr>
            <w:tcW w:w="5040" w:type="dxa"/>
            <w:vAlign w:val="bottom"/>
            <w:gridSpan w:val="3"/>
          </w:tcPr>
          <w:p>
            <w:pPr>
              <w:ind w:left="220"/>
              <w:spacing w:after="0"/>
              <w:rPr>
                <w:sz w:val="20"/>
                <w:szCs w:val="20"/>
                <w:color w:val="auto"/>
              </w:rPr>
            </w:pPr>
            <w:r>
              <w:rPr>
                <w:rFonts w:ascii="Arial" w:cs="Arial" w:eastAsia="Arial" w:hAnsi="Arial"/>
                <w:sz w:val="16"/>
                <w:szCs w:val="16"/>
                <w:color w:val="auto"/>
              </w:rPr>
              <w:t>(Principal Executive Officer)</w:t>
            </w: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1"/>
        </w:trPr>
        <w:tc>
          <w:tcPr>
            <w:tcW w:w="33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/s/ Brian S. Hertzman</w:t>
            </w:r>
          </w:p>
        </w:tc>
        <w:tc>
          <w:tcPr>
            <w:tcW w:w="5040" w:type="dxa"/>
            <w:vAlign w:val="bottom"/>
            <w:gridSpan w:val="3"/>
          </w:tcPr>
          <w:p>
            <w:pPr>
              <w:ind w:left="220"/>
              <w:spacing w:after="0"/>
              <w:rPr>
                <w:sz w:val="20"/>
                <w:szCs w:val="20"/>
                <w:color w:val="auto"/>
              </w:rPr>
            </w:pPr>
            <w:r>
              <w:rPr>
                <w:rFonts w:ascii="Arial" w:cs="Arial" w:eastAsia="Arial" w:hAnsi="Arial"/>
                <w:sz w:val="16"/>
                <w:szCs w:val="16"/>
                <w:color w:val="auto"/>
              </w:rPr>
              <w:t>Senior Vice President and Chief Financial Officer</w:t>
            </w:r>
          </w:p>
        </w:tc>
        <w:tc>
          <w:tcPr>
            <w:tcW w:w="2640" w:type="dxa"/>
            <w:vAlign w:val="bottom"/>
            <w:gridSpan w:val="3"/>
          </w:tcPr>
          <w:p>
            <w:pPr>
              <w:jc w:val="center"/>
              <w:ind w:left="1239"/>
              <w:spacing w:after="0"/>
              <w:rPr>
                <w:sz w:val="20"/>
                <w:szCs w:val="20"/>
                <w:color w:val="auto"/>
              </w:rPr>
            </w:pPr>
            <w:r>
              <w:rPr>
                <w:rFonts w:ascii="Arial" w:cs="Arial" w:eastAsia="Arial" w:hAnsi="Arial"/>
                <w:sz w:val="16"/>
                <w:szCs w:val="16"/>
                <w:color w:val="auto"/>
              </w:rPr>
              <w:t>February 23, 2024</w:t>
            </w:r>
          </w:p>
        </w:tc>
      </w:tr>
      <w:tr>
        <w:trPr>
          <w:trHeight w:val="210"/>
        </w:trPr>
        <w:tc>
          <w:tcPr>
            <w:tcW w:w="3300" w:type="dxa"/>
            <w:vAlign w:val="bottom"/>
            <w:gridSpan w:val="3"/>
          </w:tcPr>
          <w:p>
            <w:pPr>
              <w:ind w:left="20"/>
              <w:spacing w:after="0"/>
              <w:rPr>
                <w:sz w:val="20"/>
                <w:szCs w:val="20"/>
                <w:color w:val="auto"/>
              </w:rPr>
            </w:pPr>
            <w:r>
              <w:rPr>
                <w:rFonts w:ascii="Arial" w:cs="Arial" w:eastAsia="Arial" w:hAnsi="Arial"/>
                <w:sz w:val="16"/>
                <w:szCs w:val="16"/>
                <w:color w:val="auto"/>
              </w:rPr>
              <w:t>Brian S. Hertzman</w:t>
            </w:r>
          </w:p>
        </w:tc>
        <w:tc>
          <w:tcPr>
            <w:tcW w:w="5040" w:type="dxa"/>
            <w:vAlign w:val="bottom"/>
            <w:gridSpan w:val="3"/>
          </w:tcPr>
          <w:p>
            <w:pPr>
              <w:ind w:left="220"/>
              <w:spacing w:after="0"/>
              <w:rPr>
                <w:sz w:val="20"/>
                <w:szCs w:val="20"/>
                <w:color w:val="auto"/>
              </w:rPr>
            </w:pPr>
            <w:r>
              <w:rPr>
                <w:rFonts w:ascii="Arial" w:cs="Arial" w:eastAsia="Arial" w:hAnsi="Arial"/>
                <w:sz w:val="16"/>
                <w:szCs w:val="16"/>
                <w:color w:val="auto"/>
              </w:rPr>
              <w:t>(Principal Financial and Accounting Officer)</w:t>
            </w: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2"/>
        </w:trPr>
        <w:tc>
          <w:tcPr>
            <w:tcW w:w="33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/s/ John B. Berding</w:t>
            </w:r>
          </w:p>
        </w:tc>
        <w:tc>
          <w:tcPr>
            <w:tcW w:w="5040" w:type="dxa"/>
            <w:vAlign w:val="bottom"/>
            <w:gridSpan w:val="3"/>
          </w:tcPr>
          <w:p>
            <w:pPr>
              <w:ind w:left="220"/>
              <w:spacing w:after="0"/>
              <w:rPr>
                <w:sz w:val="20"/>
                <w:szCs w:val="20"/>
                <w:color w:val="auto"/>
              </w:rPr>
            </w:pPr>
            <w:r>
              <w:rPr>
                <w:rFonts w:ascii="Arial" w:cs="Arial" w:eastAsia="Arial" w:hAnsi="Arial"/>
                <w:sz w:val="16"/>
                <w:szCs w:val="16"/>
                <w:color w:val="auto"/>
              </w:rPr>
              <w:t>President and Director</w:t>
            </w:r>
          </w:p>
        </w:tc>
        <w:tc>
          <w:tcPr>
            <w:tcW w:w="2640" w:type="dxa"/>
            <w:vAlign w:val="bottom"/>
            <w:gridSpan w:val="3"/>
          </w:tcPr>
          <w:p>
            <w:pPr>
              <w:jc w:val="center"/>
              <w:ind w:left="1239"/>
              <w:spacing w:after="0"/>
              <w:rPr>
                <w:sz w:val="20"/>
                <w:szCs w:val="20"/>
                <w:color w:val="auto"/>
              </w:rPr>
            </w:pPr>
            <w:r>
              <w:rPr>
                <w:rFonts w:ascii="Arial" w:cs="Arial" w:eastAsia="Arial" w:hAnsi="Arial"/>
                <w:sz w:val="16"/>
                <w:szCs w:val="16"/>
                <w:color w:val="auto"/>
              </w:rPr>
              <w:t>February 23, 2024</w:t>
            </w:r>
          </w:p>
        </w:tc>
      </w:tr>
      <w:tr>
        <w:trPr>
          <w:trHeight w:val="209"/>
        </w:trPr>
        <w:tc>
          <w:tcPr>
            <w:tcW w:w="3300" w:type="dxa"/>
            <w:vAlign w:val="bottom"/>
            <w:gridSpan w:val="3"/>
          </w:tcPr>
          <w:p>
            <w:pPr>
              <w:ind w:left="20"/>
              <w:spacing w:after="0"/>
              <w:rPr>
                <w:sz w:val="20"/>
                <w:szCs w:val="20"/>
                <w:color w:val="auto"/>
              </w:rPr>
            </w:pPr>
            <w:r>
              <w:rPr>
                <w:rFonts w:ascii="Arial" w:cs="Arial" w:eastAsia="Arial" w:hAnsi="Arial"/>
                <w:sz w:val="16"/>
                <w:szCs w:val="16"/>
                <w:color w:val="auto"/>
              </w:rPr>
              <w:t>John B. Berding</w:t>
            </w:r>
          </w:p>
        </w:tc>
        <w:tc>
          <w:tcPr>
            <w:tcW w:w="2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2"/>
        </w:trPr>
        <w:tc>
          <w:tcPr>
            <w:tcW w:w="33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/s/ James E. Evans</w:t>
            </w:r>
          </w:p>
        </w:tc>
        <w:tc>
          <w:tcPr>
            <w:tcW w:w="5040" w:type="dxa"/>
            <w:vAlign w:val="bottom"/>
            <w:gridSpan w:val="3"/>
          </w:tcPr>
          <w:p>
            <w:pPr>
              <w:ind w:left="220"/>
              <w:spacing w:after="0"/>
              <w:rPr>
                <w:sz w:val="20"/>
                <w:szCs w:val="20"/>
                <w:color w:val="auto"/>
              </w:rPr>
            </w:pPr>
            <w:r>
              <w:rPr>
                <w:rFonts w:ascii="Arial" w:cs="Arial" w:eastAsia="Arial" w:hAnsi="Arial"/>
                <w:sz w:val="16"/>
                <w:szCs w:val="16"/>
                <w:color w:val="auto"/>
              </w:rPr>
              <w:t>Director</w:t>
            </w:r>
          </w:p>
        </w:tc>
        <w:tc>
          <w:tcPr>
            <w:tcW w:w="2640" w:type="dxa"/>
            <w:vAlign w:val="bottom"/>
            <w:gridSpan w:val="3"/>
          </w:tcPr>
          <w:p>
            <w:pPr>
              <w:jc w:val="center"/>
              <w:ind w:left="1239"/>
              <w:spacing w:after="0"/>
              <w:rPr>
                <w:sz w:val="20"/>
                <w:szCs w:val="20"/>
                <w:color w:val="auto"/>
              </w:rPr>
            </w:pPr>
            <w:r>
              <w:rPr>
                <w:rFonts w:ascii="Arial" w:cs="Arial" w:eastAsia="Arial" w:hAnsi="Arial"/>
                <w:sz w:val="16"/>
                <w:szCs w:val="16"/>
                <w:color w:val="auto"/>
              </w:rPr>
              <w:t>February 23, 2024</w:t>
            </w:r>
          </w:p>
        </w:tc>
      </w:tr>
      <w:tr>
        <w:trPr>
          <w:trHeight w:val="209"/>
        </w:trPr>
        <w:tc>
          <w:tcPr>
            <w:tcW w:w="3300" w:type="dxa"/>
            <w:vAlign w:val="bottom"/>
            <w:gridSpan w:val="3"/>
          </w:tcPr>
          <w:p>
            <w:pPr>
              <w:ind w:left="80"/>
              <w:spacing w:after="0"/>
              <w:rPr>
                <w:sz w:val="20"/>
                <w:szCs w:val="20"/>
                <w:color w:val="auto"/>
              </w:rPr>
            </w:pPr>
            <w:r>
              <w:rPr>
                <w:rFonts w:ascii="Arial" w:cs="Arial" w:eastAsia="Arial" w:hAnsi="Arial"/>
                <w:sz w:val="16"/>
                <w:szCs w:val="16"/>
                <w:color w:val="auto"/>
              </w:rPr>
              <w:t>James E. Evans</w:t>
            </w:r>
          </w:p>
        </w:tc>
        <w:tc>
          <w:tcPr>
            <w:tcW w:w="2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2"/>
        </w:trPr>
        <w:tc>
          <w:tcPr>
            <w:tcW w:w="33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/s/ Terry S. Jacobs</w:t>
            </w:r>
          </w:p>
        </w:tc>
        <w:tc>
          <w:tcPr>
            <w:tcW w:w="5040" w:type="dxa"/>
            <w:vAlign w:val="bottom"/>
            <w:gridSpan w:val="3"/>
          </w:tcPr>
          <w:p>
            <w:pPr>
              <w:ind w:left="220"/>
              <w:spacing w:after="0"/>
              <w:rPr>
                <w:sz w:val="20"/>
                <w:szCs w:val="20"/>
                <w:color w:val="auto"/>
              </w:rPr>
            </w:pPr>
            <w:r>
              <w:rPr>
                <w:rFonts w:ascii="Arial" w:cs="Arial" w:eastAsia="Arial" w:hAnsi="Arial"/>
                <w:sz w:val="16"/>
                <w:szCs w:val="16"/>
                <w:color w:val="auto"/>
              </w:rPr>
              <w:t>Director*</w:t>
            </w:r>
          </w:p>
        </w:tc>
        <w:tc>
          <w:tcPr>
            <w:tcW w:w="2640" w:type="dxa"/>
            <w:vAlign w:val="bottom"/>
            <w:gridSpan w:val="3"/>
          </w:tcPr>
          <w:p>
            <w:pPr>
              <w:jc w:val="center"/>
              <w:ind w:left="1239"/>
              <w:spacing w:after="0"/>
              <w:rPr>
                <w:sz w:val="20"/>
                <w:szCs w:val="20"/>
                <w:color w:val="auto"/>
              </w:rPr>
            </w:pPr>
            <w:r>
              <w:rPr>
                <w:rFonts w:ascii="Arial" w:cs="Arial" w:eastAsia="Arial" w:hAnsi="Arial"/>
                <w:sz w:val="16"/>
                <w:szCs w:val="16"/>
                <w:color w:val="auto"/>
              </w:rPr>
              <w:t>February 23, 2024</w:t>
            </w:r>
          </w:p>
        </w:tc>
      </w:tr>
      <w:tr>
        <w:trPr>
          <w:trHeight w:val="209"/>
        </w:trPr>
        <w:tc>
          <w:tcPr>
            <w:tcW w:w="3300" w:type="dxa"/>
            <w:vAlign w:val="bottom"/>
            <w:gridSpan w:val="3"/>
          </w:tcPr>
          <w:p>
            <w:pPr>
              <w:ind w:left="20"/>
              <w:spacing w:after="0"/>
              <w:rPr>
                <w:sz w:val="20"/>
                <w:szCs w:val="20"/>
                <w:color w:val="auto"/>
              </w:rPr>
            </w:pPr>
            <w:r>
              <w:rPr>
                <w:rFonts w:ascii="Arial" w:cs="Arial" w:eastAsia="Arial" w:hAnsi="Arial"/>
                <w:sz w:val="16"/>
                <w:szCs w:val="16"/>
                <w:color w:val="auto"/>
              </w:rPr>
              <w:t>Terry S. Jacobs</w:t>
            </w:r>
          </w:p>
        </w:tc>
        <w:tc>
          <w:tcPr>
            <w:tcW w:w="2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2"/>
        </w:trPr>
        <w:tc>
          <w:tcPr>
            <w:tcW w:w="33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/s/ Gregory G. Joseph</w:t>
            </w:r>
          </w:p>
        </w:tc>
        <w:tc>
          <w:tcPr>
            <w:tcW w:w="5040" w:type="dxa"/>
            <w:vAlign w:val="bottom"/>
            <w:gridSpan w:val="3"/>
          </w:tcPr>
          <w:p>
            <w:pPr>
              <w:ind w:left="220"/>
              <w:spacing w:after="0"/>
              <w:rPr>
                <w:sz w:val="20"/>
                <w:szCs w:val="20"/>
                <w:color w:val="auto"/>
              </w:rPr>
            </w:pPr>
            <w:r>
              <w:rPr>
                <w:rFonts w:ascii="Arial" w:cs="Arial" w:eastAsia="Arial" w:hAnsi="Arial"/>
                <w:sz w:val="16"/>
                <w:szCs w:val="16"/>
                <w:color w:val="auto"/>
              </w:rPr>
              <w:t>Lead Independent Director*</w:t>
            </w:r>
          </w:p>
        </w:tc>
        <w:tc>
          <w:tcPr>
            <w:tcW w:w="2640" w:type="dxa"/>
            <w:vAlign w:val="bottom"/>
            <w:gridSpan w:val="3"/>
          </w:tcPr>
          <w:p>
            <w:pPr>
              <w:jc w:val="center"/>
              <w:ind w:left="1239"/>
              <w:spacing w:after="0"/>
              <w:rPr>
                <w:sz w:val="20"/>
                <w:szCs w:val="20"/>
                <w:color w:val="auto"/>
              </w:rPr>
            </w:pPr>
            <w:r>
              <w:rPr>
                <w:rFonts w:ascii="Arial" w:cs="Arial" w:eastAsia="Arial" w:hAnsi="Arial"/>
                <w:sz w:val="16"/>
                <w:szCs w:val="16"/>
                <w:color w:val="auto"/>
              </w:rPr>
              <w:t>February 23, 2024</w:t>
            </w:r>
          </w:p>
        </w:tc>
      </w:tr>
      <w:tr>
        <w:trPr>
          <w:trHeight w:val="209"/>
        </w:trPr>
        <w:tc>
          <w:tcPr>
            <w:tcW w:w="3300" w:type="dxa"/>
            <w:vAlign w:val="bottom"/>
            <w:gridSpan w:val="3"/>
          </w:tcPr>
          <w:p>
            <w:pPr>
              <w:ind w:left="20"/>
              <w:spacing w:after="0"/>
              <w:rPr>
                <w:sz w:val="20"/>
                <w:szCs w:val="20"/>
                <w:color w:val="auto"/>
              </w:rPr>
            </w:pPr>
            <w:r>
              <w:rPr>
                <w:rFonts w:ascii="Arial" w:cs="Arial" w:eastAsia="Arial" w:hAnsi="Arial"/>
                <w:sz w:val="16"/>
                <w:szCs w:val="16"/>
                <w:color w:val="auto"/>
              </w:rPr>
              <w:t>Gregory G. Joseph</w:t>
            </w:r>
          </w:p>
        </w:tc>
        <w:tc>
          <w:tcPr>
            <w:tcW w:w="2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2"/>
        </w:trPr>
        <w:tc>
          <w:tcPr>
            <w:tcW w:w="33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/s/ Mary Beth Martin</w:t>
            </w:r>
          </w:p>
        </w:tc>
        <w:tc>
          <w:tcPr>
            <w:tcW w:w="5040" w:type="dxa"/>
            <w:vAlign w:val="bottom"/>
            <w:gridSpan w:val="3"/>
          </w:tcPr>
          <w:p>
            <w:pPr>
              <w:ind w:left="220"/>
              <w:spacing w:after="0"/>
              <w:rPr>
                <w:sz w:val="20"/>
                <w:szCs w:val="20"/>
                <w:color w:val="auto"/>
              </w:rPr>
            </w:pPr>
            <w:r>
              <w:rPr>
                <w:rFonts w:ascii="Arial" w:cs="Arial" w:eastAsia="Arial" w:hAnsi="Arial"/>
                <w:sz w:val="16"/>
                <w:szCs w:val="16"/>
                <w:color w:val="auto"/>
              </w:rPr>
              <w:t>Director</w:t>
            </w:r>
          </w:p>
        </w:tc>
        <w:tc>
          <w:tcPr>
            <w:tcW w:w="2640" w:type="dxa"/>
            <w:vAlign w:val="bottom"/>
            <w:gridSpan w:val="3"/>
          </w:tcPr>
          <w:p>
            <w:pPr>
              <w:jc w:val="center"/>
              <w:ind w:left="1239"/>
              <w:spacing w:after="0"/>
              <w:rPr>
                <w:sz w:val="20"/>
                <w:szCs w:val="20"/>
                <w:color w:val="auto"/>
              </w:rPr>
            </w:pPr>
            <w:r>
              <w:rPr>
                <w:rFonts w:ascii="Arial" w:cs="Arial" w:eastAsia="Arial" w:hAnsi="Arial"/>
                <w:sz w:val="16"/>
                <w:szCs w:val="16"/>
                <w:color w:val="auto"/>
              </w:rPr>
              <w:t>February 23, 2024</w:t>
            </w:r>
          </w:p>
        </w:tc>
      </w:tr>
      <w:tr>
        <w:trPr>
          <w:trHeight w:val="209"/>
        </w:trPr>
        <w:tc>
          <w:tcPr>
            <w:tcW w:w="3300" w:type="dxa"/>
            <w:vAlign w:val="bottom"/>
            <w:gridSpan w:val="3"/>
          </w:tcPr>
          <w:p>
            <w:pPr>
              <w:ind w:left="20"/>
              <w:spacing w:after="0"/>
              <w:rPr>
                <w:sz w:val="20"/>
                <w:szCs w:val="20"/>
                <w:color w:val="auto"/>
              </w:rPr>
            </w:pPr>
            <w:r>
              <w:rPr>
                <w:rFonts w:ascii="Arial" w:cs="Arial" w:eastAsia="Arial" w:hAnsi="Arial"/>
                <w:sz w:val="16"/>
                <w:szCs w:val="16"/>
                <w:color w:val="auto"/>
              </w:rPr>
              <w:t>Mary Beth Martin</w:t>
            </w:r>
          </w:p>
        </w:tc>
        <w:tc>
          <w:tcPr>
            <w:tcW w:w="2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2"/>
        </w:trPr>
        <w:tc>
          <w:tcPr>
            <w:tcW w:w="33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/s/ Amy Y. Murray</w:t>
            </w:r>
          </w:p>
        </w:tc>
        <w:tc>
          <w:tcPr>
            <w:tcW w:w="5040" w:type="dxa"/>
            <w:vAlign w:val="bottom"/>
            <w:gridSpan w:val="3"/>
          </w:tcPr>
          <w:p>
            <w:pPr>
              <w:ind w:left="220"/>
              <w:spacing w:after="0"/>
              <w:rPr>
                <w:sz w:val="20"/>
                <w:szCs w:val="20"/>
                <w:color w:val="auto"/>
              </w:rPr>
            </w:pPr>
            <w:r>
              <w:rPr>
                <w:rFonts w:ascii="Arial" w:cs="Arial" w:eastAsia="Arial" w:hAnsi="Arial"/>
                <w:sz w:val="16"/>
                <w:szCs w:val="16"/>
                <w:color w:val="auto"/>
              </w:rPr>
              <w:t>Director*</w:t>
            </w:r>
          </w:p>
        </w:tc>
        <w:tc>
          <w:tcPr>
            <w:tcW w:w="2640" w:type="dxa"/>
            <w:vAlign w:val="bottom"/>
            <w:gridSpan w:val="3"/>
          </w:tcPr>
          <w:p>
            <w:pPr>
              <w:jc w:val="center"/>
              <w:ind w:left="1239"/>
              <w:spacing w:after="0"/>
              <w:rPr>
                <w:sz w:val="20"/>
                <w:szCs w:val="20"/>
                <w:color w:val="auto"/>
              </w:rPr>
            </w:pPr>
            <w:r>
              <w:rPr>
                <w:rFonts w:ascii="Arial" w:cs="Arial" w:eastAsia="Arial" w:hAnsi="Arial"/>
                <w:sz w:val="16"/>
                <w:szCs w:val="16"/>
                <w:color w:val="auto"/>
              </w:rPr>
              <w:t>February 23, 2024</w:t>
            </w:r>
          </w:p>
        </w:tc>
      </w:tr>
      <w:tr>
        <w:trPr>
          <w:trHeight w:val="209"/>
        </w:trPr>
        <w:tc>
          <w:tcPr>
            <w:tcW w:w="3300" w:type="dxa"/>
            <w:vAlign w:val="bottom"/>
            <w:gridSpan w:val="3"/>
          </w:tcPr>
          <w:p>
            <w:pPr>
              <w:ind w:left="20"/>
              <w:spacing w:after="0"/>
              <w:rPr>
                <w:sz w:val="20"/>
                <w:szCs w:val="20"/>
                <w:color w:val="auto"/>
              </w:rPr>
            </w:pPr>
            <w:r>
              <w:rPr>
                <w:rFonts w:ascii="Arial" w:cs="Arial" w:eastAsia="Arial" w:hAnsi="Arial"/>
                <w:sz w:val="16"/>
                <w:szCs w:val="16"/>
                <w:color w:val="auto"/>
              </w:rPr>
              <w:t>Amy Y. Murray</w:t>
            </w:r>
          </w:p>
        </w:tc>
        <w:tc>
          <w:tcPr>
            <w:tcW w:w="2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2"/>
        </w:trPr>
        <w:tc>
          <w:tcPr>
            <w:tcW w:w="33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/s/ Evans N. Nwankwo</w:t>
            </w:r>
          </w:p>
        </w:tc>
        <w:tc>
          <w:tcPr>
            <w:tcW w:w="5040" w:type="dxa"/>
            <w:vAlign w:val="bottom"/>
            <w:gridSpan w:val="3"/>
          </w:tcPr>
          <w:p>
            <w:pPr>
              <w:ind w:left="220"/>
              <w:spacing w:after="0"/>
              <w:rPr>
                <w:sz w:val="20"/>
                <w:szCs w:val="20"/>
                <w:color w:val="auto"/>
              </w:rPr>
            </w:pPr>
            <w:r>
              <w:rPr>
                <w:rFonts w:ascii="Arial" w:cs="Arial" w:eastAsia="Arial" w:hAnsi="Arial"/>
                <w:sz w:val="16"/>
                <w:szCs w:val="16"/>
                <w:color w:val="auto"/>
              </w:rPr>
              <w:t>Director</w:t>
            </w:r>
          </w:p>
        </w:tc>
        <w:tc>
          <w:tcPr>
            <w:tcW w:w="2640" w:type="dxa"/>
            <w:vAlign w:val="bottom"/>
            <w:gridSpan w:val="3"/>
          </w:tcPr>
          <w:p>
            <w:pPr>
              <w:jc w:val="center"/>
              <w:ind w:left="1239"/>
              <w:spacing w:after="0"/>
              <w:rPr>
                <w:sz w:val="20"/>
                <w:szCs w:val="20"/>
                <w:color w:val="auto"/>
              </w:rPr>
            </w:pPr>
            <w:r>
              <w:rPr>
                <w:rFonts w:ascii="Arial" w:cs="Arial" w:eastAsia="Arial" w:hAnsi="Arial"/>
                <w:sz w:val="16"/>
                <w:szCs w:val="16"/>
                <w:color w:val="auto"/>
              </w:rPr>
              <w:t>February 23, 2024</w:t>
            </w:r>
          </w:p>
        </w:tc>
      </w:tr>
      <w:tr>
        <w:trPr>
          <w:trHeight w:val="209"/>
        </w:trPr>
        <w:tc>
          <w:tcPr>
            <w:tcW w:w="3300" w:type="dxa"/>
            <w:vAlign w:val="bottom"/>
            <w:gridSpan w:val="3"/>
          </w:tcPr>
          <w:p>
            <w:pPr>
              <w:ind w:left="20"/>
              <w:spacing w:after="0"/>
              <w:rPr>
                <w:sz w:val="20"/>
                <w:szCs w:val="20"/>
                <w:color w:val="auto"/>
              </w:rPr>
            </w:pPr>
            <w:r>
              <w:rPr>
                <w:rFonts w:ascii="Arial" w:cs="Arial" w:eastAsia="Arial" w:hAnsi="Arial"/>
                <w:sz w:val="16"/>
                <w:szCs w:val="16"/>
                <w:color w:val="auto"/>
              </w:rPr>
              <w:t>Evans N. Nwankwo</w:t>
            </w:r>
          </w:p>
        </w:tc>
        <w:tc>
          <w:tcPr>
            <w:tcW w:w="2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2"/>
        </w:trPr>
        <w:tc>
          <w:tcPr>
            <w:tcW w:w="33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/s/ William W. Verity</w:t>
            </w:r>
          </w:p>
        </w:tc>
        <w:tc>
          <w:tcPr>
            <w:tcW w:w="5040" w:type="dxa"/>
            <w:vAlign w:val="bottom"/>
            <w:gridSpan w:val="3"/>
          </w:tcPr>
          <w:p>
            <w:pPr>
              <w:ind w:left="220"/>
              <w:spacing w:after="0"/>
              <w:rPr>
                <w:sz w:val="20"/>
                <w:szCs w:val="20"/>
                <w:color w:val="auto"/>
              </w:rPr>
            </w:pPr>
            <w:r>
              <w:rPr>
                <w:rFonts w:ascii="Arial" w:cs="Arial" w:eastAsia="Arial" w:hAnsi="Arial"/>
                <w:sz w:val="16"/>
                <w:szCs w:val="16"/>
                <w:color w:val="auto"/>
              </w:rPr>
              <w:t>Director</w:t>
            </w:r>
          </w:p>
        </w:tc>
        <w:tc>
          <w:tcPr>
            <w:tcW w:w="2640" w:type="dxa"/>
            <w:vAlign w:val="bottom"/>
            <w:gridSpan w:val="3"/>
          </w:tcPr>
          <w:p>
            <w:pPr>
              <w:jc w:val="center"/>
              <w:ind w:left="1239"/>
              <w:spacing w:after="0"/>
              <w:rPr>
                <w:sz w:val="20"/>
                <w:szCs w:val="20"/>
                <w:color w:val="auto"/>
              </w:rPr>
            </w:pPr>
            <w:r>
              <w:rPr>
                <w:rFonts w:ascii="Arial" w:cs="Arial" w:eastAsia="Arial" w:hAnsi="Arial"/>
                <w:sz w:val="16"/>
                <w:szCs w:val="16"/>
                <w:color w:val="auto"/>
              </w:rPr>
              <w:t>February 23, 2024</w:t>
            </w:r>
          </w:p>
        </w:tc>
      </w:tr>
      <w:tr>
        <w:trPr>
          <w:trHeight w:val="209"/>
        </w:trPr>
        <w:tc>
          <w:tcPr>
            <w:tcW w:w="3300" w:type="dxa"/>
            <w:vAlign w:val="bottom"/>
            <w:gridSpan w:val="3"/>
          </w:tcPr>
          <w:p>
            <w:pPr>
              <w:ind w:left="20"/>
              <w:spacing w:after="0"/>
              <w:rPr>
                <w:sz w:val="20"/>
                <w:szCs w:val="20"/>
                <w:color w:val="auto"/>
              </w:rPr>
            </w:pPr>
            <w:r>
              <w:rPr>
                <w:rFonts w:ascii="Arial" w:cs="Arial" w:eastAsia="Arial" w:hAnsi="Arial"/>
                <w:sz w:val="16"/>
                <w:szCs w:val="16"/>
                <w:color w:val="auto"/>
              </w:rPr>
              <w:t>William W. Verity</w:t>
            </w:r>
          </w:p>
        </w:tc>
        <w:tc>
          <w:tcPr>
            <w:tcW w:w="2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2"/>
        </w:trPr>
        <w:tc>
          <w:tcPr>
            <w:tcW w:w="33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color w:val="auto"/>
              </w:rPr>
              <w:t>/s/ John I. Von Lehman</w:t>
            </w:r>
          </w:p>
        </w:tc>
        <w:tc>
          <w:tcPr>
            <w:tcW w:w="5040" w:type="dxa"/>
            <w:vAlign w:val="bottom"/>
            <w:gridSpan w:val="3"/>
          </w:tcPr>
          <w:p>
            <w:pPr>
              <w:ind w:left="220"/>
              <w:spacing w:after="0"/>
              <w:rPr>
                <w:sz w:val="20"/>
                <w:szCs w:val="20"/>
                <w:color w:val="auto"/>
              </w:rPr>
            </w:pPr>
            <w:r>
              <w:rPr>
                <w:rFonts w:ascii="Arial" w:cs="Arial" w:eastAsia="Arial" w:hAnsi="Arial"/>
                <w:sz w:val="16"/>
                <w:szCs w:val="16"/>
                <w:color w:val="auto"/>
              </w:rPr>
              <w:t>Director*</w:t>
            </w:r>
          </w:p>
        </w:tc>
        <w:tc>
          <w:tcPr>
            <w:tcW w:w="2640" w:type="dxa"/>
            <w:vAlign w:val="bottom"/>
            <w:gridSpan w:val="3"/>
          </w:tcPr>
          <w:p>
            <w:pPr>
              <w:jc w:val="center"/>
              <w:ind w:left="1239"/>
              <w:spacing w:after="0"/>
              <w:rPr>
                <w:sz w:val="20"/>
                <w:szCs w:val="20"/>
                <w:color w:val="auto"/>
              </w:rPr>
            </w:pPr>
            <w:r>
              <w:rPr>
                <w:rFonts w:ascii="Arial" w:cs="Arial" w:eastAsia="Arial" w:hAnsi="Arial"/>
                <w:sz w:val="16"/>
                <w:szCs w:val="16"/>
                <w:color w:val="auto"/>
              </w:rPr>
              <w:t>February 23, 2024</w:t>
            </w:r>
          </w:p>
        </w:tc>
      </w:tr>
      <w:tr>
        <w:trPr>
          <w:trHeight w:val="209"/>
        </w:trPr>
        <w:tc>
          <w:tcPr>
            <w:tcW w:w="3300" w:type="dxa"/>
            <w:vAlign w:val="bottom"/>
            <w:gridSpan w:val="3"/>
          </w:tcPr>
          <w:p>
            <w:pPr>
              <w:ind w:left="20"/>
              <w:spacing w:after="0"/>
              <w:rPr>
                <w:sz w:val="20"/>
                <w:szCs w:val="20"/>
                <w:color w:val="auto"/>
              </w:rPr>
            </w:pPr>
            <w:r>
              <w:rPr>
                <w:rFonts w:ascii="Arial" w:cs="Arial" w:eastAsia="Arial" w:hAnsi="Arial"/>
                <w:sz w:val="16"/>
                <w:szCs w:val="16"/>
                <w:color w:val="auto"/>
              </w:rPr>
              <w:t>John I. Von Lehman</w:t>
            </w:r>
          </w:p>
        </w:tc>
        <w:tc>
          <w:tcPr>
            <w:tcW w:w="2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647"/>
        </w:trPr>
        <w:tc>
          <w:tcPr>
            <w:tcW w:w="3300" w:type="dxa"/>
            <w:vAlign w:val="bottom"/>
            <w:gridSpan w:val="3"/>
          </w:tcPr>
          <w:p>
            <w:pPr>
              <w:ind w:left="20"/>
              <w:spacing w:after="0"/>
              <w:rPr>
                <w:sz w:val="20"/>
                <w:szCs w:val="20"/>
                <w:color w:val="auto"/>
              </w:rPr>
            </w:pPr>
            <w:r>
              <w:rPr>
                <w:rFonts w:ascii="Arial" w:cs="Arial" w:eastAsia="Arial" w:hAnsi="Arial"/>
                <w:sz w:val="16"/>
                <w:szCs w:val="16"/>
                <w:color w:val="auto"/>
              </w:rPr>
              <w:t>* Member of the Audit Committee</w:t>
            </w:r>
          </w:p>
        </w:tc>
        <w:tc>
          <w:tcPr>
            <w:tcW w:w="2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20"/>
          </w:cols>
          <w:pgMar w:left="320" w:top="11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S-6</w:t>
      </w:r>
    </w:p>
    <w:p>
      <w:pPr>
        <w:sectPr>
          <w:pgSz w:w="11900" w:h="16838" w:orient="portrait"/>
          <w:cols w:equalWidth="0" w:num="1">
            <w:col w:w="11220"/>
          </w:cols>
          <w:pgMar w:left="320" w:top="115" w:right="359" w:bottom="1440" w:gutter="0" w:footer="0" w:header="0"/>
          <w:type w:val="continuous"/>
        </w:sectPr>
      </w:pPr>
    </w:p>
    <w:bookmarkStart w:id="139" w:name="page140"/>
    <w:bookmarkEnd w:id="139"/>
    <w:p>
      <w:pPr>
        <w:jc w:val="right"/>
        <w:spacing w:after="0"/>
        <w:rPr>
          <w:sz w:val="20"/>
          <w:szCs w:val="20"/>
          <w:color w:val="auto"/>
        </w:rPr>
      </w:pPr>
      <w:r>
        <w:rPr>
          <w:rFonts w:ascii="Arial" w:cs="Arial" w:eastAsia="Arial" w:hAnsi="Arial"/>
          <w:sz w:val="16"/>
          <w:szCs w:val="16"/>
          <w:b w:val="1"/>
          <w:bCs w:val="1"/>
          <w:color w:val="003366"/>
        </w:rPr>
        <w:t>Exhibit 21</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003366"/>
        </w:rPr>
        <w:t>AMERICAN FINANCIAL GROUP, INC.</w:t>
      </w:r>
    </w:p>
    <w:p>
      <w:pPr>
        <w:spacing w:after="0" w:line="13" w:lineRule="exact"/>
        <w:rPr>
          <w:sz w:val="20"/>
          <w:szCs w:val="20"/>
          <w:color w:val="auto"/>
        </w:rPr>
      </w:pPr>
    </w:p>
    <w:p>
      <w:pPr>
        <w:ind w:left="3860"/>
        <w:spacing w:after="0"/>
        <w:rPr>
          <w:sz w:val="20"/>
          <w:szCs w:val="20"/>
          <w:color w:val="auto"/>
        </w:rPr>
      </w:pPr>
      <w:r>
        <w:rPr>
          <w:rFonts w:ascii="Arial" w:cs="Arial" w:eastAsia="Arial" w:hAnsi="Arial"/>
          <w:sz w:val="20"/>
          <w:szCs w:val="20"/>
          <w:b w:val="1"/>
          <w:bCs w:val="1"/>
          <w:color w:val="003366"/>
        </w:rPr>
        <w:t>SUBSIDIARIES OF THE REGISTRANT</w:t>
      </w:r>
    </w:p>
    <w:p>
      <w:pPr>
        <w:spacing w:after="0" w:line="246"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The following is a list of subsidiaries of AFG at December 31, 2023. All corporations are subsidiaries of AFG and, if indented, subsidiaries of the company under which they are listed. The names of certain subsidiaries are omitted, as such subsidiaries in the aggregate would not constitute a significant subsidiary.</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180" w:type="dxa"/>
            <w:vAlign w:val="bottom"/>
            <w:gridSpan w:val="2"/>
          </w:tcPr>
          <w:p>
            <w:pPr>
              <w:ind w:left="20"/>
              <w:spacing w:after="0"/>
              <w:rPr>
                <w:sz w:val="20"/>
                <w:szCs w:val="20"/>
                <w:color w:val="auto"/>
              </w:rPr>
            </w:pPr>
            <w:r>
              <w:rPr>
                <w:rFonts w:ascii="Arial" w:cs="Arial" w:eastAsia="Arial" w:hAnsi="Arial"/>
                <w:sz w:val="14"/>
                <w:szCs w:val="14"/>
                <w:color w:val="auto"/>
              </w:rPr>
              <w:t>Name of Company</w:t>
            </w:r>
          </w:p>
        </w:tc>
        <w:tc>
          <w:tcPr>
            <w:tcW w:w="1720" w:type="dxa"/>
            <w:vAlign w:val="bottom"/>
            <w:gridSpan w:val="2"/>
          </w:tcPr>
          <w:p>
            <w:pPr>
              <w:ind w:left="340"/>
              <w:spacing w:after="0"/>
              <w:rPr>
                <w:sz w:val="20"/>
                <w:szCs w:val="20"/>
                <w:color w:val="auto"/>
              </w:rPr>
            </w:pPr>
            <w:r>
              <w:rPr>
                <w:rFonts w:ascii="Arial" w:cs="Arial" w:eastAsia="Arial" w:hAnsi="Arial"/>
                <w:sz w:val="14"/>
                <w:szCs w:val="14"/>
                <w:color w:val="auto"/>
              </w:rPr>
              <w:t>Incorporated</w:t>
            </w:r>
          </w:p>
        </w:tc>
        <w:tc>
          <w:tcPr>
            <w:tcW w:w="2300" w:type="dxa"/>
            <w:vAlign w:val="bottom"/>
          </w:tcPr>
          <w:p>
            <w:pPr>
              <w:jc w:val="center"/>
              <w:spacing w:after="0"/>
              <w:rPr>
                <w:sz w:val="20"/>
                <w:szCs w:val="20"/>
                <w:color w:val="auto"/>
              </w:rPr>
            </w:pPr>
            <w:r>
              <w:rPr>
                <w:rFonts w:ascii="Arial" w:cs="Arial" w:eastAsia="Arial" w:hAnsi="Arial"/>
                <w:sz w:val="14"/>
                <w:szCs w:val="14"/>
                <w:color w:val="auto"/>
              </w:rPr>
              <w:t>Percentage of Ownership</w:t>
            </w:r>
          </w:p>
        </w:tc>
      </w:tr>
      <w:tr>
        <w:trPr>
          <w:trHeight w:val="200"/>
        </w:trPr>
        <w:tc>
          <w:tcPr>
            <w:tcW w:w="6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AFG Real Estate Holding Company, LLC</w:t>
            </w:r>
          </w:p>
        </w:tc>
        <w:tc>
          <w:tcPr>
            <w:tcW w:w="24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Ohio</w:t>
            </w:r>
          </w:p>
        </w:tc>
        <w:tc>
          <w:tcPr>
            <w:tcW w:w="24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rPr>
              <w:t>100</w:t>
            </w:r>
          </w:p>
        </w:tc>
      </w:tr>
      <w:tr>
        <w:trPr>
          <w:trHeight w:val="201"/>
        </w:trPr>
        <w:tc>
          <w:tcPr>
            <w:tcW w:w="7180" w:type="dxa"/>
            <w:vAlign w:val="bottom"/>
            <w:gridSpan w:val="2"/>
          </w:tcPr>
          <w:p>
            <w:pPr>
              <w:ind w:left="20"/>
              <w:spacing w:after="0"/>
              <w:rPr>
                <w:sz w:val="20"/>
                <w:szCs w:val="20"/>
                <w:color w:val="auto"/>
              </w:rPr>
            </w:pPr>
            <w:r>
              <w:rPr>
                <w:rFonts w:ascii="Arial" w:cs="Arial" w:eastAsia="Arial" w:hAnsi="Arial"/>
                <w:sz w:val="15"/>
                <w:szCs w:val="15"/>
                <w:color w:val="auto"/>
              </w:rPr>
              <w:t>American Money Management Corporation</w:t>
            </w:r>
          </w:p>
        </w:tc>
        <w:tc>
          <w:tcPr>
            <w:tcW w:w="1720" w:type="dxa"/>
            <w:vAlign w:val="bottom"/>
            <w:gridSpan w:val="2"/>
          </w:tcPr>
          <w:p>
            <w:pPr>
              <w:ind w:left="20"/>
              <w:spacing w:after="0"/>
              <w:rPr>
                <w:sz w:val="20"/>
                <w:szCs w:val="20"/>
                <w:color w:val="auto"/>
              </w:rPr>
            </w:pPr>
            <w:r>
              <w:rPr>
                <w:rFonts w:ascii="Arial" w:cs="Arial" w:eastAsia="Arial" w:hAnsi="Arial"/>
                <w:sz w:val="15"/>
                <w:szCs w:val="15"/>
                <w:color w:val="auto"/>
              </w:rPr>
              <w:t>Ohio</w:t>
            </w:r>
          </w:p>
        </w:tc>
        <w:tc>
          <w:tcPr>
            <w:tcW w:w="2300" w:type="dxa"/>
            <w:vAlign w:val="bottom"/>
          </w:tcPr>
          <w:p>
            <w:pPr>
              <w:jc w:val="center"/>
              <w:spacing w:after="0"/>
              <w:rPr>
                <w:sz w:val="20"/>
                <w:szCs w:val="20"/>
                <w:color w:val="auto"/>
              </w:rPr>
            </w:pPr>
            <w:r>
              <w:rPr>
                <w:rFonts w:ascii="Arial" w:cs="Arial" w:eastAsia="Arial" w:hAnsi="Arial"/>
                <w:sz w:val="15"/>
                <w:szCs w:val="15"/>
                <w:color w:val="auto"/>
              </w:rPr>
              <w:t>100</w:t>
            </w:r>
          </w:p>
        </w:tc>
      </w:tr>
      <w:tr>
        <w:trPr>
          <w:trHeight w:val="204"/>
        </w:trPr>
        <w:tc>
          <w:tcPr>
            <w:tcW w:w="71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American Real Estate Capital Company, LLC</w:t>
            </w: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Ohio</w:t>
            </w:r>
          </w:p>
        </w:tc>
        <w:tc>
          <w:tcPr>
            <w:tcW w:w="23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100</w:t>
            </w:r>
          </w:p>
        </w:tc>
      </w:tr>
      <w:tr>
        <w:trPr>
          <w:trHeight w:val="201"/>
        </w:trPr>
        <w:tc>
          <w:tcPr>
            <w:tcW w:w="7180" w:type="dxa"/>
            <w:vAlign w:val="bottom"/>
            <w:gridSpan w:val="2"/>
          </w:tcPr>
          <w:p>
            <w:pPr>
              <w:ind w:left="20"/>
              <w:spacing w:after="0"/>
              <w:rPr>
                <w:sz w:val="20"/>
                <w:szCs w:val="20"/>
                <w:color w:val="auto"/>
              </w:rPr>
            </w:pPr>
            <w:r>
              <w:rPr>
                <w:rFonts w:ascii="Arial" w:cs="Arial" w:eastAsia="Arial" w:hAnsi="Arial"/>
                <w:sz w:val="15"/>
                <w:szCs w:val="15"/>
                <w:color w:val="auto"/>
              </w:rPr>
              <w:t>APU Holding Company</w:t>
            </w:r>
          </w:p>
        </w:tc>
        <w:tc>
          <w:tcPr>
            <w:tcW w:w="1720" w:type="dxa"/>
            <w:vAlign w:val="bottom"/>
            <w:gridSpan w:val="2"/>
          </w:tcPr>
          <w:p>
            <w:pPr>
              <w:ind w:left="20"/>
              <w:spacing w:after="0"/>
              <w:rPr>
                <w:sz w:val="20"/>
                <w:szCs w:val="20"/>
                <w:color w:val="auto"/>
              </w:rPr>
            </w:pPr>
            <w:r>
              <w:rPr>
                <w:rFonts w:ascii="Arial" w:cs="Arial" w:eastAsia="Arial" w:hAnsi="Arial"/>
                <w:sz w:val="15"/>
                <w:szCs w:val="15"/>
                <w:color w:val="auto"/>
              </w:rPr>
              <w:t>Ohio</w:t>
            </w:r>
          </w:p>
        </w:tc>
        <w:tc>
          <w:tcPr>
            <w:tcW w:w="2300" w:type="dxa"/>
            <w:vAlign w:val="bottom"/>
          </w:tcPr>
          <w:p>
            <w:pPr>
              <w:jc w:val="center"/>
              <w:spacing w:after="0"/>
              <w:rPr>
                <w:sz w:val="20"/>
                <w:szCs w:val="20"/>
                <w:color w:val="auto"/>
              </w:rPr>
            </w:pPr>
            <w:r>
              <w:rPr>
                <w:rFonts w:ascii="Arial" w:cs="Arial" w:eastAsia="Arial" w:hAnsi="Arial"/>
                <w:sz w:val="15"/>
                <w:szCs w:val="15"/>
                <w:color w:val="auto"/>
              </w:rPr>
              <w:t>100</w:t>
            </w:r>
          </w:p>
        </w:tc>
      </w:tr>
      <w:tr>
        <w:trPr>
          <w:trHeight w:val="204"/>
        </w:trPr>
        <w:tc>
          <w:tcPr>
            <w:tcW w:w="71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American Premier Underwriters, Inc.</w:t>
            </w: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Pennsylvania</w:t>
            </w:r>
          </w:p>
        </w:tc>
        <w:tc>
          <w:tcPr>
            <w:tcW w:w="23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100</w:t>
            </w:r>
          </w:p>
        </w:tc>
      </w:tr>
      <w:tr>
        <w:trPr>
          <w:trHeight w:val="201"/>
        </w:trPr>
        <w:tc>
          <w:tcPr>
            <w:tcW w:w="7180" w:type="dxa"/>
            <w:vAlign w:val="bottom"/>
            <w:gridSpan w:val="2"/>
          </w:tcPr>
          <w:p>
            <w:pPr>
              <w:ind w:left="140"/>
              <w:spacing w:after="0"/>
              <w:rPr>
                <w:sz w:val="20"/>
                <w:szCs w:val="20"/>
                <w:color w:val="auto"/>
              </w:rPr>
            </w:pPr>
            <w:r>
              <w:rPr>
                <w:rFonts w:ascii="Arial" w:cs="Arial" w:eastAsia="Arial" w:hAnsi="Arial"/>
                <w:sz w:val="15"/>
                <w:szCs w:val="15"/>
                <w:color w:val="auto"/>
              </w:rPr>
              <w:t>GAI Insurance Company, Ltd.</w:t>
            </w:r>
          </w:p>
        </w:tc>
        <w:tc>
          <w:tcPr>
            <w:tcW w:w="1720" w:type="dxa"/>
            <w:vAlign w:val="bottom"/>
            <w:gridSpan w:val="2"/>
          </w:tcPr>
          <w:p>
            <w:pPr>
              <w:ind w:left="20"/>
              <w:spacing w:after="0"/>
              <w:rPr>
                <w:sz w:val="20"/>
                <w:szCs w:val="20"/>
                <w:color w:val="auto"/>
              </w:rPr>
            </w:pPr>
            <w:r>
              <w:rPr>
                <w:rFonts w:ascii="Arial" w:cs="Arial" w:eastAsia="Arial" w:hAnsi="Arial"/>
                <w:sz w:val="15"/>
                <w:szCs w:val="15"/>
                <w:color w:val="auto"/>
              </w:rPr>
              <w:t>Bermuda</w:t>
            </w:r>
          </w:p>
        </w:tc>
        <w:tc>
          <w:tcPr>
            <w:tcW w:w="2300" w:type="dxa"/>
            <w:vAlign w:val="bottom"/>
          </w:tcPr>
          <w:p>
            <w:pPr>
              <w:jc w:val="center"/>
              <w:spacing w:after="0"/>
              <w:rPr>
                <w:sz w:val="20"/>
                <w:szCs w:val="20"/>
                <w:color w:val="auto"/>
              </w:rPr>
            </w:pPr>
            <w:r>
              <w:rPr>
                <w:rFonts w:ascii="Arial" w:cs="Arial" w:eastAsia="Arial" w:hAnsi="Arial"/>
                <w:sz w:val="15"/>
                <w:szCs w:val="15"/>
                <w:color w:val="auto"/>
              </w:rPr>
              <w:t>100</w:t>
            </w:r>
          </w:p>
        </w:tc>
      </w:tr>
      <w:tr>
        <w:trPr>
          <w:trHeight w:val="204"/>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Great American Financial Resources, Inc.</w:t>
            </w: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Delaware</w:t>
            </w:r>
          </w:p>
        </w:tc>
        <w:tc>
          <w:tcPr>
            <w:tcW w:w="23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100</w:t>
            </w:r>
          </w:p>
        </w:tc>
      </w:tr>
      <w:tr>
        <w:trPr>
          <w:trHeight w:val="201"/>
        </w:trPr>
        <w:tc>
          <w:tcPr>
            <w:tcW w:w="7180" w:type="dxa"/>
            <w:vAlign w:val="bottom"/>
            <w:gridSpan w:val="2"/>
          </w:tcPr>
          <w:p>
            <w:pPr>
              <w:ind w:left="20"/>
              <w:spacing w:after="0"/>
              <w:rPr>
                <w:sz w:val="20"/>
                <w:szCs w:val="20"/>
                <w:color w:val="auto"/>
              </w:rPr>
            </w:pPr>
            <w:r>
              <w:rPr>
                <w:rFonts w:ascii="Arial" w:cs="Arial" w:eastAsia="Arial" w:hAnsi="Arial"/>
                <w:sz w:val="15"/>
                <w:szCs w:val="15"/>
                <w:color w:val="auto"/>
              </w:rPr>
              <w:t>Great American Holding, Inc.</w:t>
            </w:r>
          </w:p>
        </w:tc>
        <w:tc>
          <w:tcPr>
            <w:tcW w:w="1720" w:type="dxa"/>
            <w:vAlign w:val="bottom"/>
            <w:gridSpan w:val="2"/>
          </w:tcPr>
          <w:p>
            <w:pPr>
              <w:ind w:left="20"/>
              <w:spacing w:after="0"/>
              <w:rPr>
                <w:sz w:val="20"/>
                <w:szCs w:val="20"/>
                <w:color w:val="auto"/>
              </w:rPr>
            </w:pPr>
            <w:r>
              <w:rPr>
                <w:rFonts w:ascii="Arial" w:cs="Arial" w:eastAsia="Arial" w:hAnsi="Arial"/>
                <w:sz w:val="15"/>
                <w:szCs w:val="15"/>
                <w:color w:val="auto"/>
              </w:rPr>
              <w:t>Ohio</w:t>
            </w:r>
          </w:p>
        </w:tc>
        <w:tc>
          <w:tcPr>
            <w:tcW w:w="2300" w:type="dxa"/>
            <w:vAlign w:val="bottom"/>
          </w:tcPr>
          <w:p>
            <w:pPr>
              <w:jc w:val="center"/>
              <w:spacing w:after="0"/>
              <w:rPr>
                <w:sz w:val="20"/>
                <w:szCs w:val="20"/>
                <w:color w:val="auto"/>
              </w:rPr>
            </w:pPr>
            <w:r>
              <w:rPr>
                <w:rFonts w:ascii="Arial" w:cs="Arial" w:eastAsia="Arial" w:hAnsi="Arial"/>
                <w:sz w:val="15"/>
                <w:szCs w:val="15"/>
                <w:color w:val="auto"/>
              </w:rPr>
              <w:t>100</w:t>
            </w:r>
          </w:p>
        </w:tc>
      </w:tr>
      <w:tr>
        <w:trPr>
          <w:trHeight w:val="204"/>
        </w:trPr>
        <w:tc>
          <w:tcPr>
            <w:tcW w:w="71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ABA Insurance Services, Inc.</w:t>
            </w: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Ohio</w:t>
            </w:r>
          </w:p>
        </w:tc>
        <w:tc>
          <w:tcPr>
            <w:tcW w:w="23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100</w:t>
            </w:r>
          </w:p>
        </w:tc>
      </w:tr>
      <w:tr>
        <w:trPr>
          <w:trHeight w:val="201"/>
        </w:trPr>
        <w:tc>
          <w:tcPr>
            <w:tcW w:w="7180" w:type="dxa"/>
            <w:vAlign w:val="bottom"/>
            <w:gridSpan w:val="2"/>
          </w:tcPr>
          <w:p>
            <w:pPr>
              <w:ind w:left="140"/>
              <w:spacing w:after="0"/>
              <w:rPr>
                <w:sz w:val="20"/>
                <w:szCs w:val="20"/>
                <w:color w:val="auto"/>
              </w:rPr>
            </w:pPr>
            <w:r>
              <w:rPr>
                <w:rFonts w:ascii="Arial" w:cs="Arial" w:eastAsia="Arial" w:hAnsi="Arial"/>
                <w:sz w:val="15"/>
                <w:szCs w:val="15"/>
                <w:color w:val="auto"/>
              </w:rPr>
              <w:t>Farmers Crop Insurance Alliance, Inc.</w:t>
            </w:r>
          </w:p>
        </w:tc>
        <w:tc>
          <w:tcPr>
            <w:tcW w:w="1720" w:type="dxa"/>
            <w:vAlign w:val="bottom"/>
            <w:gridSpan w:val="2"/>
          </w:tcPr>
          <w:p>
            <w:pPr>
              <w:ind w:left="20"/>
              <w:spacing w:after="0"/>
              <w:rPr>
                <w:sz w:val="20"/>
                <w:szCs w:val="20"/>
                <w:color w:val="auto"/>
              </w:rPr>
            </w:pPr>
            <w:r>
              <w:rPr>
                <w:rFonts w:ascii="Arial" w:cs="Arial" w:eastAsia="Arial" w:hAnsi="Arial"/>
                <w:sz w:val="15"/>
                <w:szCs w:val="15"/>
                <w:color w:val="auto"/>
              </w:rPr>
              <w:t>Kansas</w:t>
            </w:r>
          </w:p>
        </w:tc>
        <w:tc>
          <w:tcPr>
            <w:tcW w:w="2300" w:type="dxa"/>
            <w:vAlign w:val="bottom"/>
          </w:tcPr>
          <w:p>
            <w:pPr>
              <w:jc w:val="center"/>
              <w:spacing w:after="0"/>
              <w:rPr>
                <w:sz w:val="20"/>
                <w:szCs w:val="20"/>
                <w:color w:val="auto"/>
              </w:rPr>
            </w:pPr>
            <w:r>
              <w:rPr>
                <w:rFonts w:ascii="Arial" w:cs="Arial" w:eastAsia="Arial" w:hAnsi="Arial"/>
                <w:sz w:val="15"/>
                <w:szCs w:val="15"/>
                <w:color w:val="auto"/>
              </w:rPr>
              <w:t>100</w:t>
            </w:r>
          </w:p>
        </w:tc>
      </w:tr>
      <w:tr>
        <w:trPr>
          <w:trHeight w:val="204"/>
        </w:trPr>
        <w:tc>
          <w:tcPr>
            <w:tcW w:w="718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Crop Risk Services, Inc.</w:t>
            </w: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Illinois</w:t>
            </w:r>
          </w:p>
        </w:tc>
        <w:tc>
          <w:tcPr>
            <w:tcW w:w="23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100</w:t>
            </w:r>
          </w:p>
        </w:tc>
      </w:tr>
      <w:tr>
        <w:trPr>
          <w:trHeight w:val="201"/>
        </w:trPr>
        <w:tc>
          <w:tcPr>
            <w:tcW w:w="7180" w:type="dxa"/>
            <w:vAlign w:val="bottom"/>
            <w:gridSpan w:val="2"/>
          </w:tcPr>
          <w:p>
            <w:pPr>
              <w:ind w:left="140"/>
              <w:spacing w:after="0"/>
              <w:rPr>
                <w:sz w:val="20"/>
                <w:szCs w:val="20"/>
                <w:color w:val="auto"/>
              </w:rPr>
            </w:pPr>
            <w:r>
              <w:rPr>
                <w:rFonts w:ascii="Arial" w:cs="Arial" w:eastAsia="Arial" w:hAnsi="Arial"/>
                <w:sz w:val="15"/>
                <w:szCs w:val="15"/>
                <w:color w:val="auto"/>
              </w:rPr>
              <w:t>Great American Contemporary Insurance Company</w:t>
            </w:r>
          </w:p>
        </w:tc>
        <w:tc>
          <w:tcPr>
            <w:tcW w:w="1720" w:type="dxa"/>
            <w:vAlign w:val="bottom"/>
            <w:gridSpan w:val="2"/>
          </w:tcPr>
          <w:p>
            <w:pPr>
              <w:ind w:left="20"/>
              <w:spacing w:after="0"/>
              <w:rPr>
                <w:sz w:val="20"/>
                <w:szCs w:val="20"/>
                <w:color w:val="auto"/>
              </w:rPr>
            </w:pPr>
            <w:r>
              <w:rPr>
                <w:rFonts w:ascii="Arial" w:cs="Arial" w:eastAsia="Arial" w:hAnsi="Arial"/>
                <w:sz w:val="15"/>
                <w:szCs w:val="15"/>
                <w:color w:val="auto"/>
              </w:rPr>
              <w:t>Ohio</w:t>
            </w:r>
          </w:p>
        </w:tc>
        <w:tc>
          <w:tcPr>
            <w:tcW w:w="2300" w:type="dxa"/>
            <w:vAlign w:val="bottom"/>
          </w:tcPr>
          <w:p>
            <w:pPr>
              <w:jc w:val="center"/>
              <w:spacing w:after="0"/>
              <w:rPr>
                <w:sz w:val="20"/>
                <w:szCs w:val="20"/>
                <w:color w:val="auto"/>
              </w:rPr>
            </w:pPr>
            <w:r>
              <w:rPr>
                <w:rFonts w:ascii="Arial" w:cs="Arial" w:eastAsia="Arial" w:hAnsi="Arial"/>
                <w:sz w:val="15"/>
                <w:szCs w:val="15"/>
                <w:color w:val="auto"/>
              </w:rPr>
              <w:t>100</w:t>
            </w:r>
          </w:p>
        </w:tc>
      </w:tr>
      <w:tr>
        <w:trPr>
          <w:trHeight w:val="204"/>
        </w:trPr>
        <w:tc>
          <w:tcPr>
            <w:tcW w:w="718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Bridgefield Employers Insurance Company</w:t>
            </w: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Florida</w:t>
            </w:r>
          </w:p>
        </w:tc>
        <w:tc>
          <w:tcPr>
            <w:tcW w:w="23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100</w:t>
            </w:r>
          </w:p>
        </w:tc>
      </w:tr>
      <w:tr>
        <w:trPr>
          <w:trHeight w:val="201"/>
        </w:trPr>
        <w:tc>
          <w:tcPr>
            <w:tcW w:w="7180" w:type="dxa"/>
            <w:vAlign w:val="bottom"/>
            <w:gridSpan w:val="2"/>
          </w:tcPr>
          <w:p>
            <w:pPr>
              <w:ind w:left="560"/>
              <w:spacing w:after="0"/>
              <w:rPr>
                <w:sz w:val="20"/>
                <w:szCs w:val="20"/>
                <w:color w:val="auto"/>
              </w:rPr>
            </w:pPr>
            <w:r>
              <w:rPr>
                <w:rFonts w:ascii="Arial" w:cs="Arial" w:eastAsia="Arial" w:hAnsi="Arial"/>
                <w:sz w:val="15"/>
                <w:szCs w:val="15"/>
                <w:color w:val="auto"/>
              </w:rPr>
              <w:t>Bridgefield Casualty Insurance Company</w:t>
            </w:r>
          </w:p>
        </w:tc>
        <w:tc>
          <w:tcPr>
            <w:tcW w:w="1720" w:type="dxa"/>
            <w:vAlign w:val="bottom"/>
            <w:gridSpan w:val="2"/>
          </w:tcPr>
          <w:p>
            <w:pPr>
              <w:ind w:left="20"/>
              <w:spacing w:after="0"/>
              <w:rPr>
                <w:sz w:val="20"/>
                <w:szCs w:val="20"/>
                <w:color w:val="auto"/>
              </w:rPr>
            </w:pPr>
            <w:r>
              <w:rPr>
                <w:rFonts w:ascii="Arial" w:cs="Arial" w:eastAsia="Arial" w:hAnsi="Arial"/>
                <w:sz w:val="15"/>
                <w:szCs w:val="15"/>
                <w:color w:val="auto"/>
              </w:rPr>
              <w:t>Florida</w:t>
            </w:r>
          </w:p>
        </w:tc>
        <w:tc>
          <w:tcPr>
            <w:tcW w:w="2300" w:type="dxa"/>
            <w:vAlign w:val="bottom"/>
          </w:tcPr>
          <w:p>
            <w:pPr>
              <w:jc w:val="center"/>
              <w:spacing w:after="0"/>
              <w:rPr>
                <w:sz w:val="20"/>
                <w:szCs w:val="20"/>
                <w:color w:val="auto"/>
              </w:rPr>
            </w:pPr>
            <w:r>
              <w:rPr>
                <w:rFonts w:ascii="Arial" w:cs="Arial" w:eastAsia="Arial" w:hAnsi="Arial"/>
                <w:sz w:val="15"/>
                <w:szCs w:val="15"/>
                <w:color w:val="auto"/>
              </w:rPr>
              <w:t>100</w:t>
            </w:r>
          </w:p>
        </w:tc>
      </w:tr>
      <w:tr>
        <w:trPr>
          <w:trHeight w:val="204"/>
        </w:trPr>
        <w:tc>
          <w:tcPr>
            <w:tcW w:w="718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Bridgefield Indemnity Insurance Company</w:t>
            </w: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Ohio</w:t>
            </w:r>
          </w:p>
        </w:tc>
        <w:tc>
          <w:tcPr>
            <w:tcW w:w="23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100</w:t>
            </w:r>
          </w:p>
        </w:tc>
      </w:tr>
      <w:tr>
        <w:trPr>
          <w:trHeight w:val="201"/>
        </w:trPr>
        <w:tc>
          <w:tcPr>
            <w:tcW w:w="7180" w:type="dxa"/>
            <w:vAlign w:val="bottom"/>
            <w:gridSpan w:val="2"/>
          </w:tcPr>
          <w:p>
            <w:pPr>
              <w:ind w:left="360"/>
              <w:spacing w:after="0"/>
              <w:rPr>
                <w:sz w:val="20"/>
                <w:szCs w:val="20"/>
                <w:color w:val="auto"/>
              </w:rPr>
            </w:pPr>
            <w:r>
              <w:rPr>
                <w:rFonts w:ascii="Arial" w:cs="Arial" w:eastAsia="Arial" w:hAnsi="Arial"/>
                <w:sz w:val="15"/>
                <w:szCs w:val="15"/>
                <w:color w:val="auto"/>
              </w:rPr>
              <w:t>Republic Indemnity Company of America</w:t>
            </w:r>
          </w:p>
        </w:tc>
        <w:tc>
          <w:tcPr>
            <w:tcW w:w="1720" w:type="dxa"/>
            <w:vAlign w:val="bottom"/>
            <w:gridSpan w:val="2"/>
          </w:tcPr>
          <w:p>
            <w:pPr>
              <w:ind w:left="20"/>
              <w:spacing w:after="0"/>
              <w:rPr>
                <w:sz w:val="20"/>
                <w:szCs w:val="20"/>
                <w:color w:val="auto"/>
              </w:rPr>
            </w:pPr>
            <w:r>
              <w:rPr>
                <w:rFonts w:ascii="Arial" w:cs="Arial" w:eastAsia="Arial" w:hAnsi="Arial"/>
                <w:sz w:val="15"/>
                <w:szCs w:val="15"/>
                <w:color w:val="auto"/>
              </w:rPr>
              <w:t>California</w:t>
            </w:r>
          </w:p>
        </w:tc>
        <w:tc>
          <w:tcPr>
            <w:tcW w:w="2300" w:type="dxa"/>
            <w:vAlign w:val="bottom"/>
          </w:tcPr>
          <w:p>
            <w:pPr>
              <w:jc w:val="center"/>
              <w:spacing w:after="0"/>
              <w:rPr>
                <w:sz w:val="20"/>
                <w:szCs w:val="20"/>
                <w:color w:val="auto"/>
              </w:rPr>
            </w:pPr>
            <w:r>
              <w:rPr>
                <w:rFonts w:ascii="Arial" w:cs="Arial" w:eastAsia="Arial" w:hAnsi="Arial"/>
                <w:sz w:val="15"/>
                <w:szCs w:val="15"/>
                <w:color w:val="auto"/>
              </w:rPr>
              <w:t>100</w:t>
            </w:r>
          </w:p>
        </w:tc>
      </w:tr>
      <w:tr>
        <w:trPr>
          <w:trHeight w:val="204"/>
        </w:trPr>
        <w:tc>
          <w:tcPr>
            <w:tcW w:w="718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Republic Indemnity Company of California</w:t>
            </w: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California</w:t>
            </w:r>
          </w:p>
        </w:tc>
        <w:tc>
          <w:tcPr>
            <w:tcW w:w="23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100</w:t>
            </w:r>
          </w:p>
        </w:tc>
      </w:tr>
      <w:tr>
        <w:trPr>
          <w:trHeight w:val="201"/>
        </w:trPr>
        <w:tc>
          <w:tcPr>
            <w:tcW w:w="7180" w:type="dxa"/>
            <w:vAlign w:val="bottom"/>
            <w:gridSpan w:val="2"/>
          </w:tcPr>
          <w:p>
            <w:pPr>
              <w:ind w:left="140"/>
              <w:spacing w:after="0"/>
              <w:rPr>
                <w:sz w:val="20"/>
                <w:szCs w:val="20"/>
                <w:color w:val="auto"/>
              </w:rPr>
            </w:pPr>
            <w:r>
              <w:rPr>
                <w:rFonts w:ascii="Arial" w:cs="Arial" w:eastAsia="Arial" w:hAnsi="Arial"/>
                <w:sz w:val="15"/>
                <w:szCs w:val="15"/>
                <w:color w:val="auto"/>
              </w:rPr>
              <w:t>Great American Holding (Europe) Limited</w:t>
            </w:r>
          </w:p>
        </w:tc>
        <w:tc>
          <w:tcPr>
            <w:tcW w:w="1720" w:type="dxa"/>
            <w:vAlign w:val="bottom"/>
            <w:gridSpan w:val="2"/>
          </w:tcPr>
          <w:p>
            <w:pPr>
              <w:ind w:left="20"/>
              <w:spacing w:after="0"/>
              <w:rPr>
                <w:sz w:val="20"/>
                <w:szCs w:val="20"/>
                <w:color w:val="auto"/>
              </w:rPr>
            </w:pPr>
            <w:r>
              <w:rPr>
                <w:rFonts w:ascii="Arial" w:cs="Arial" w:eastAsia="Arial" w:hAnsi="Arial"/>
                <w:sz w:val="15"/>
                <w:szCs w:val="15"/>
                <w:color w:val="auto"/>
              </w:rPr>
              <w:t>United Kingdom</w:t>
            </w:r>
          </w:p>
        </w:tc>
        <w:tc>
          <w:tcPr>
            <w:tcW w:w="2300" w:type="dxa"/>
            <w:vAlign w:val="bottom"/>
          </w:tcPr>
          <w:p>
            <w:pPr>
              <w:jc w:val="center"/>
              <w:spacing w:after="0"/>
              <w:rPr>
                <w:sz w:val="20"/>
                <w:szCs w:val="20"/>
                <w:color w:val="auto"/>
              </w:rPr>
            </w:pPr>
            <w:r>
              <w:rPr>
                <w:rFonts w:ascii="Arial" w:cs="Arial" w:eastAsia="Arial" w:hAnsi="Arial"/>
                <w:sz w:val="15"/>
                <w:szCs w:val="15"/>
                <w:color w:val="auto"/>
              </w:rPr>
              <w:t>100</w:t>
            </w:r>
          </w:p>
        </w:tc>
      </w:tr>
      <w:tr>
        <w:trPr>
          <w:trHeight w:val="204"/>
        </w:trPr>
        <w:tc>
          <w:tcPr>
            <w:tcW w:w="718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Great American Europe Limited</w:t>
            </w: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United Kingdom</w:t>
            </w:r>
          </w:p>
        </w:tc>
        <w:tc>
          <w:tcPr>
            <w:tcW w:w="23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100</w:t>
            </w:r>
          </w:p>
        </w:tc>
      </w:tr>
      <w:tr>
        <w:trPr>
          <w:trHeight w:val="201"/>
        </w:trPr>
        <w:tc>
          <w:tcPr>
            <w:tcW w:w="7180" w:type="dxa"/>
            <w:vAlign w:val="bottom"/>
            <w:gridSpan w:val="2"/>
          </w:tcPr>
          <w:p>
            <w:pPr>
              <w:ind w:left="560"/>
              <w:spacing w:after="0"/>
              <w:rPr>
                <w:sz w:val="20"/>
                <w:szCs w:val="20"/>
                <w:color w:val="auto"/>
              </w:rPr>
            </w:pPr>
            <w:r>
              <w:rPr>
                <w:rFonts w:ascii="Arial" w:cs="Arial" w:eastAsia="Arial" w:hAnsi="Arial"/>
                <w:sz w:val="15"/>
                <w:szCs w:val="15"/>
                <w:color w:val="auto"/>
              </w:rPr>
              <w:t>Great American International Insurance (EU) Designated Activity Company</w:t>
            </w:r>
          </w:p>
        </w:tc>
        <w:tc>
          <w:tcPr>
            <w:tcW w:w="1720" w:type="dxa"/>
            <w:vAlign w:val="bottom"/>
            <w:gridSpan w:val="2"/>
          </w:tcPr>
          <w:p>
            <w:pPr>
              <w:ind w:left="20"/>
              <w:spacing w:after="0"/>
              <w:rPr>
                <w:sz w:val="20"/>
                <w:szCs w:val="20"/>
                <w:color w:val="auto"/>
              </w:rPr>
            </w:pPr>
            <w:r>
              <w:rPr>
                <w:rFonts w:ascii="Arial" w:cs="Arial" w:eastAsia="Arial" w:hAnsi="Arial"/>
                <w:sz w:val="15"/>
                <w:szCs w:val="15"/>
                <w:color w:val="auto"/>
              </w:rPr>
              <w:t>Ireland</w:t>
            </w:r>
          </w:p>
        </w:tc>
        <w:tc>
          <w:tcPr>
            <w:tcW w:w="2300" w:type="dxa"/>
            <w:vAlign w:val="bottom"/>
          </w:tcPr>
          <w:p>
            <w:pPr>
              <w:jc w:val="center"/>
              <w:spacing w:after="0"/>
              <w:rPr>
                <w:sz w:val="20"/>
                <w:szCs w:val="20"/>
                <w:color w:val="auto"/>
              </w:rPr>
            </w:pPr>
            <w:r>
              <w:rPr>
                <w:rFonts w:ascii="Arial" w:cs="Arial" w:eastAsia="Arial" w:hAnsi="Arial"/>
                <w:sz w:val="15"/>
                <w:szCs w:val="15"/>
                <w:color w:val="auto"/>
              </w:rPr>
              <w:t>100</w:t>
            </w:r>
          </w:p>
        </w:tc>
      </w:tr>
      <w:tr>
        <w:trPr>
          <w:trHeight w:val="204"/>
        </w:trPr>
        <w:tc>
          <w:tcPr>
            <w:tcW w:w="718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Great American International Insurance (UK) Limited</w:t>
            </w: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United Kingdom</w:t>
            </w:r>
          </w:p>
        </w:tc>
        <w:tc>
          <w:tcPr>
            <w:tcW w:w="23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100</w:t>
            </w:r>
          </w:p>
        </w:tc>
      </w:tr>
      <w:tr>
        <w:trPr>
          <w:trHeight w:val="201"/>
        </w:trPr>
        <w:tc>
          <w:tcPr>
            <w:tcW w:w="7180" w:type="dxa"/>
            <w:vAlign w:val="bottom"/>
            <w:gridSpan w:val="2"/>
          </w:tcPr>
          <w:p>
            <w:pPr>
              <w:ind w:left="140"/>
              <w:spacing w:after="0"/>
              <w:rPr>
                <w:sz w:val="20"/>
                <w:szCs w:val="20"/>
                <w:color w:val="auto"/>
              </w:rPr>
            </w:pPr>
            <w:r>
              <w:rPr>
                <w:rFonts w:ascii="Arial" w:cs="Arial" w:eastAsia="Arial" w:hAnsi="Arial"/>
                <w:sz w:val="15"/>
                <w:szCs w:val="15"/>
                <w:color w:val="auto"/>
              </w:rPr>
              <w:t>Mid-Continent Casualty Company</w:t>
            </w:r>
          </w:p>
        </w:tc>
        <w:tc>
          <w:tcPr>
            <w:tcW w:w="1720" w:type="dxa"/>
            <w:vAlign w:val="bottom"/>
            <w:gridSpan w:val="2"/>
          </w:tcPr>
          <w:p>
            <w:pPr>
              <w:ind w:left="20"/>
              <w:spacing w:after="0"/>
              <w:rPr>
                <w:sz w:val="20"/>
                <w:szCs w:val="20"/>
                <w:color w:val="auto"/>
              </w:rPr>
            </w:pPr>
            <w:r>
              <w:rPr>
                <w:rFonts w:ascii="Arial" w:cs="Arial" w:eastAsia="Arial" w:hAnsi="Arial"/>
                <w:sz w:val="15"/>
                <w:szCs w:val="15"/>
                <w:color w:val="auto"/>
              </w:rPr>
              <w:t>Ohio</w:t>
            </w:r>
          </w:p>
        </w:tc>
        <w:tc>
          <w:tcPr>
            <w:tcW w:w="2300" w:type="dxa"/>
            <w:vAlign w:val="bottom"/>
          </w:tcPr>
          <w:p>
            <w:pPr>
              <w:jc w:val="center"/>
              <w:spacing w:after="0"/>
              <w:rPr>
                <w:sz w:val="20"/>
                <w:szCs w:val="20"/>
                <w:color w:val="auto"/>
              </w:rPr>
            </w:pPr>
            <w:r>
              <w:rPr>
                <w:rFonts w:ascii="Arial" w:cs="Arial" w:eastAsia="Arial" w:hAnsi="Arial"/>
                <w:sz w:val="15"/>
                <w:szCs w:val="15"/>
                <w:color w:val="auto"/>
              </w:rPr>
              <w:t>100</w:t>
            </w:r>
          </w:p>
        </w:tc>
      </w:tr>
      <w:tr>
        <w:trPr>
          <w:trHeight w:val="204"/>
        </w:trPr>
        <w:tc>
          <w:tcPr>
            <w:tcW w:w="718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Mid-Continent Assurance Company</w:t>
            </w: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Ohio</w:t>
            </w:r>
          </w:p>
        </w:tc>
        <w:tc>
          <w:tcPr>
            <w:tcW w:w="23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100</w:t>
            </w:r>
          </w:p>
        </w:tc>
      </w:tr>
      <w:tr>
        <w:trPr>
          <w:trHeight w:val="201"/>
        </w:trPr>
        <w:tc>
          <w:tcPr>
            <w:tcW w:w="7180" w:type="dxa"/>
            <w:vAlign w:val="bottom"/>
            <w:gridSpan w:val="2"/>
          </w:tcPr>
          <w:p>
            <w:pPr>
              <w:ind w:left="360"/>
              <w:spacing w:after="0"/>
              <w:rPr>
                <w:sz w:val="20"/>
                <w:szCs w:val="20"/>
                <w:color w:val="auto"/>
              </w:rPr>
            </w:pPr>
            <w:r>
              <w:rPr>
                <w:rFonts w:ascii="Arial" w:cs="Arial" w:eastAsia="Arial" w:hAnsi="Arial"/>
                <w:sz w:val="15"/>
                <w:szCs w:val="15"/>
                <w:color w:val="auto"/>
              </w:rPr>
              <w:t>Mid-Continent Excess and Surplus Insurance Company</w:t>
            </w:r>
          </w:p>
        </w:tc>
        <w:tc>
          <w:tcPr>
            <w:tcW w:w="1720" w:type="dxa"/>
            <w:vAlign w:val="bottom"/>
            <w:gridSpan w:val="2"/>
          </w:tcPr>
          <w:p>
            <w:pPr>
              <w:ind w:left="20"/>
              <w:spacing w:after="0"/>
              <w:rPr>
                <w:sz w:val="20"/>
                <w:szCs w:val="20"/>
                <w:color w:val="auto"/>
              </w:rPr>
            </w:pPr>
            <w:r>
              <w:rPr>
                <w:rFonts w:ascii="Arial" w:cs="Arial" w:eastAsia="Arial" w:hAnsi="Arial"/>
                <w:sz w:val="15"/>
                <w:szCs w:val="15"/>
                <w:color w:val="auto"/>
              </w:rPr>
              <w:t>Ohio</w:t>
            </w:r>
          </w:p>
        </w:tc>
        <w:tc>
          <w:tcPr>
            <w:tcW w:w="2300" w:type="dxa"/>
            <w:vAlign w:val="bottom"/>
          </w:tcPr>
          <w:p>
            <w:pPr>
              <w:jc w:val="center"/>
              <w:spacing w:after="0"/>
              <w:rPr>
                <w:sz w:val="20"/>
                <w:szCs w:val="20"/>
                <w:color w:val="auto"/>
              </w:rPr>
            </w:pPr>
            <w:r>
              <w:rPr>
                <w:rFonts w:ascii="Arial" w:cs="Arial" w:eastAsia="Arial" w:hAnsi="Arial"/>
                <w:sz w:val="15"/>
                <w:szCs w:val="15"/>
                <w:color w:val="auto"/>
              </w:rPr>
              <w:t>100</w:t>
            </w:r>
          </w:p>
        </w:tc>
      </w:tr>
      <w:tr>
        <w:trPr>
          <w:trHeight w:val="204"/>
        </w:trPr>
        <w:tc>
          <w:tcPr>
            <w:tcW w:w="718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Oklahoma Surety Company</w:t>
            </w: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Ohio</w:t>
            </w:r>
          </w:p>
        </w:tc>
        <w:tc>
          <w:tcPr>
            <w:tcW w:w="23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100</w:t>
            </w:r>
          </w:p>
        </w:tc>
      </w:tr>
      <w:tr>
        <w:trPr>
          <w:trHeight w:val="201"/>
        </w:trPr>
        <w:tc>
          <w:tcPr>
            <w:tcW w:w="7180" w:type="dxa"/>
            <w:vAlign w:val="bottom"/>
            <w:gridSpan w:val="2"/>
          </w:tcPr>
          <w:p>
            <w:pPr>
              <w:ind w:left="140"/>
              <w:spacing w:after="0"/>
              <w:rPr>
                <w:sz w:val="20"/>
                <w:szCs w:val="20"/>
                <w:color w:val="auto"/>
              </w:rPr>
            </w:pPr>
            <w:r>
              <w:rPr>
                <w:rFonts w:ascii="Arial" w:cs="Arial" w:eastAsia="Arial" w:hAnsi="Arial"/>
                <w:sz w:val="15"/>
                <w:szCs w:val="15"/>
                <w:color w:val="auto"/>
              </w:rPr>
              <w:t>National Interstate Corporation</w:t>
            </w:r>
          </w:p>
        </w:tc>
        <w:tc>
          <w:tcPr>
            <w:tcW w:w="1720" w:type="dxa"/>
            <w:vAlign w:val="bottom"/>
            <w:gridSpan w:val="2"/>
          </w:tcPr>
          <w:p>
            <w:pPr>
              <w:ind w:left="20"/>
              <w:spacing w:after="0"/>
              <w:rPr>
                <w:sz w:val="20"/>
                <w:szCs w:val="20"/>
                <w:color w:val="auto"/>
              </w:rPr>
            </w:pPr>
            <w:r>
              <w:rPr>
                <w:rFonts w:ascii="Arial" w:cs="Arial" w:eastAsia="Arial" w:hAnsi="Arial"/>
                <w:sz w:val="15"/>
                <w:szCs w:val="15"/>
                <w:color w:val="auto"/>
              </w:rPr>
              <w:t>Ohio</w:t>
            </w:r>
          </w:p>
        </w:tc>
        <w:tc>
          <w:tcPr>
            <w:tcW w:w="2300" w:type="dxa"/>
            <w:vAlign w:val="bottom"/>
          </w:tcPr>
          <w:p>
            <w:pPr>
              <w:jc w:val="center"/>
              <w:spacing w:after="0"/>
              <w:rPr>
                <w:sz w:val="20"/>
                <w:szCs w:val="20"/>
                <w:color w:val="auto"/>
              </w:rPr>
            </w:pPr>
            <w:r>
              <w:rPr>
                <w:rFonts w:ascii="Arial" w:cs="Arial" w:eastAsia="Arial" w:hAnsi="Arial"/>
                <w:sz w:val="15"/>
                <w:szCs w:val="15"/>
                <w:color w:val="auto"/>
              </w:rPr>
              <w:t>100</w:t>
            </w:r>
          </w:p>
        </w:tc>
      </w:tr>
      <w:tr>
        <w:trPr>
          <w:trHeight w:val="204"/>
        </w:trPr>
        <w:tc>
          <w:tcPr>
            <w:tcW w:w="718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Hudson Indemnity, Ltd.</w:t>
            </w: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Cayman Islands</w:t>
            </w:r>
          </w:p>
        </w:tc>
        <w:tc>
          <w:tcPr>
            <w:tcW w:w="23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100</w:t>
            </w:r>
          </w:p>
        </w:tc>
      </w:tr>
      <w:tr>
        <w:trPr>
          <w:trHeight w:val="201"/>
        </w:trPr>
        <w:tc>
          <w:tcPr>
            <w:tcW w:w="7180" w:type="dxa"/>
            <w:vAlign w:val="bottom"/>
            <w:gridSpan w:val="2"/>
          </w:tcPr>
          <w:p>
            <w:pPr>
              <w:ind w:left="360"/>
              <w:spacing w:after="0"/>
              <w:rPr>
                <w:sz w:val="20"/>
                <w:szCs w:val="20"/>
                <w:color w:val="auto"/>
              </w:rPr>
            </w:pPr>
            <w:r>
              <w:rPr>
                <w:rFonts w:ascii="Arial" w:cs="Arial" w:eastAsia="Arial" w:hAnsi="Arial"/>
                <w:sz w:val="15"/>
                <w:szCs w:val="15"/>
                <w:color w:val="auto"/>
              </w:rPr>
              <w:t>National Interstate Insurance Company</w:t>
            </w:r>
          </w:p>
        </w:tc>
        <w:tc>
          <w:tcPr>
            <w:tcW w:w="1720" w:type="dxa"/>
            <w:vAlign w:val="bottom"/>
            <w:gridSpan w:val="2"/>
          </w:tcPr>
          <w:p>
            <w:pPr>
              <w:ind w:left="20"/>
              <w:spacing w:after="0"/>
              <w:rPr>
                <w:sz w:val="20"/>
                <w:szCs w:val="20"/>
                <w:color w:val="auto"/>
              </w:rPr>
            </w:pPr>
            <w:r>
              <w:rPr>
                <w:rFonts w:ascii="Arial" w:cs="Arial" w:eastAsia="Arial" w:hAnsi="Arial"/>
                <w:sz w:val="15"/>
                <w:szCs w:val="15"/>
                <w:color w:val="auto"/>
              </w:rPr>
              <w:t>Ohio</w:t>
            </w:r>
          </w:p>
        </w:tc>
        <w:tc>
          <w:tcPr>
            <w:tcW w:w="2300" w:type="dxa"/>
            <w:vAlign w:val="bottom"/>
          </w:tcPr>
          <w:p>
            <w:pPr>
              <w:jc w:val="center"/>
              <w:spacing w:after="0"/>
              <w:rPr>
                <w:sz w:val="20"/>
                <w:szCs w:val="20"/>
                <w:color w:val="auto"/>
              </w:rPr>
            </w:pPr>
            <w:r>
              <w:rPr>
                <w:rFonts w:ascii="Arial" w:cs="Arial" w:eastAsia="Arial" w:hAnsi="Arial"/>
                <w:sz w:val="15"/>
                <w:szCs w:val="15"/>
                <w:color w:val="auto"/>
              </w:rPr>
              <w:t>100</w:t>
            </w:r>
          </w:p>
        </w:tc>
      </w:tr>
      <w:tr>
        <w:trPr>
          <w:trHeight w:val="204"/>
        </w:trPr>
        <w:tc>
          <w:tcPr>
            <w:tcW w:w="718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National Interstate Insurance Company of Hawaii, Inc.</w:t>
            </w: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Ohio</w:t>
            </w:r>
          </w:p>
        </w:tc>
        <w:tc>
          <w:tcPr>
            <w:tcW w:w="23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100</w:t>
            </w:r>
          </w:p>
        </w:tc>
      </w:tr>
      <w:tr>
        <w:trPr>
          <w:trHeight w:val="201"/>
        </w:trPr>
        <w:tc>
          <w:tcPr>
            <w:tcW w:w="7180" w:type="dxa"/>
            <w:vAlign w:val="bottom"/>
            <w:gridSpan w:val="2"/>
          </w:tcPr>
          <w:p>
            <w:pPr>
              <w:ind w:left="560"/>
              <w:spacing w:after="0"/>
              <w:rPr>
                <w:sz w:val="20"/>
                <w:szCs w:val="20"/>
                <w:color w:val="auto"/>
              </w:rPr>
            </w:pPr>
            <w:r>
              <w:rPr>
                <w:rFonts w:ascii="Arial" w:cs="Arial" w:eastAsia="Arial" w:hAnsi="Arial"/>
                <w:sz w:val="15"/>
                <w:szCs w:val="15"/>
                <w:color w:val="auto"/>
              </w:rPr>
              <w:t>Triumphe Casualty Company</w:t>
            </w:r>
          </w:p>
        </w:tc>
        <w:tc>
          <w:tcPr>
            <w:tcW w:w="1720" w:type="dxa"/>
            <w:vAlign w:val="bottom"/>
            <w:gridSpan w:val="2"/>
          </w:tcPr>
          <w:p>
            <w:pPr>
              <w:ind w:left="20"/>
              <w:spacing w:after="0"/>
              <w:rPr>
                <w:sz w:val="20"/>
                <w:szCs w:val="20"/>
                <w:color w:val="auto"/>
              </w:rPr>
            </w:pPr>
            <w:r>
              <w:rPr>
                <w:rFonts w:ascii="Arial" w:cs="Arial" w:eastAsia="Arial" w:hAnsi="Arial"/>
                <w:sz w:val="15"/>
                <w:szCs w:val="15"/>
                <w:color w:val="auto"/>
              </w:rPr>
              <w:t>Ohio</w:t>
            </w:r>
          </w:p>
        </w:tc>
        <w:tc>
          <w:tcPr>
            <w:tcW w:w="2300" w:type="dxa"/>
            <w:vAlign w:val="bottom"/>
          </w:tcPr>
          <w:p>
            <w:pPr>
              <w:jc w:val="center"/>
              <w:spacing w:after="0"/>
              <w:rPr>
                <w:sz w:val="20"/>
                <w:szCs w:val="20"/>
                <w:color w:val="auto"/>
              </w:rPr>
            </w:pPr>
            <w:r>
              <w:rPr>
                <w:rFonts w:ascii="Arial" w:cs="Arial" w:eastAsia="Arial" w:hAnsi="Arial"/>
                <w:sz w:val="15"/>
                <w:szCs w:val="15"/>
                <w:color w:val="auto"/>
              </w:rPr>
              <w:t>100</w:t>
            </w:r>
          </w:p>
        </w:tc>
      </w:tr>
      <w:tr>
        <w:trPr>
          <w:trHeight w:val="204"/>
        </w:trPr>
        <w:tc>
          <w:tcPr>
            <w:tcW w:w="718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Vanliner Insurance Company</w:t>
            </w: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Ohio</w:t>
            </w:r>
          </w:p>
        </w:tc>
        <w:tc>
          <w:tcPr>
            <w:tcW w:w="23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100</w:t>
            </w:r>
          </w:p>
        </w:tc>
      </w:tr>
      <w:tr>
        <w:trPr>
          <w:trHeight w:val="201"/>
        </w:trPr>
        <w:tc>
          <w:tcPr>
            <w:tcW w:w="7180" w:type="dxa"/>
            <w:vAlign w:val="bottom"/>
            <w:gridSpan w:val="2"/>
          </w:tcPr>
          <w:p>
            <w:pPr>
              <w:ind w:left="140"/>
              <w:spacing w:after="0"/>
              <w:rPr>
                <w:sz w:val="20"/>
                <w:szCs w:val="20"/>
                <w:color w:val="auto"/>
              </w:rPr>
            </w:pPr>
            <w:r>
              <w:rPr>
                <w:rFonts w:ascii="Arial" w:cs="Arial" w:eastAsia="Arial" w:hAnsi="Arial"/>
                <w:sz w:val="15"/>
                <w:szCs w:val="15"/>
                <w:color w:val="auto"/>
              </w:rPr>
              <w:t>Summit Consulting, LLC</w:t>
            </w:r>
          </w:p>
        </w:tc>
        <w:tc>
          <w:tcPr>
            <w:tcW w:w="1720" w:type="dxa"/>
            <w:vAlign w:val="bottom"/>
            <w:gridSpan w:val="2"/>
          </w:tcPr>
          <w:p>
            <w:pPr>
              <w:ind w:left="20"/>
              <w:spacing w:after="0"/>
              <w:rPr>
                <w:sz w:val="20"/>
                <w:szCs w:val="20"/>
                <w:color w:val="auto"/>
              </w:rPr>
            </w:pPr>
            <w:r>
              <w:rPr>
                <w:rFonts w:ascii="Arial" w:cs="Arial" w:eastAsia="Arial" w:hAnsi="Arial"/>
                <w:sz w:val="15"/>
                <w:szCs w:val="15"/>
                <w:color w:val="auto"/>
              </w:rPr>
              <w:t>Florida</w:t>
            </w:r>
          </w:p>
        </w:tc>
        <w:tc>
          <w:tcPr>
            <w:tcW w:w="2300" w:type="dxa"/>
            <w:vAlign w:val="bottom"/>
          </w:tcPr>
          <w:p>
            <w:pPr>
              <w:jc w:val="center"/>
              <w:spacing w:after="0"/>
              <w:rPr>
                <w:sz w:val="20"/>
                <w:szCs w:val="20"/>
                <w:color w:val="auto"/>
              </w:rPr>
            </w:pPr>
            <w:r>
              <w:rPr>
                <w:rFonts w:ascii="Arial" w:cs="Arial" w:eastAsia="Arial" w:hAnsi="Arial"/>
                <w:sz w:val="15"/>
                <w:szCs w:val="15"/>
                <w:color w:val="auto"/>
              </w:rPr>
              <w:t>100</w:t>
            </w:r>
          </w:p>
        </w:tc>
      </w:tr>
      <w:tr>
        <w:trPr>
          <w:trHeight w:val="204"/>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Great American Insurance Company</w:t>
            </w: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Ohio</w:t>
            </w:r>
          </w:p>
        </w:tc>
        <w:tc>
          <w:tcPr>
            <w:tcW w:w="23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100</w:t>
            </w:r>
          </w:p>
        </w:tc>
      </w:tr>
      <w:tr>
        <w:trPr>
          <w:trHeight w:val="201"/>
        </w:trPr>
        <w:tc>
          <w:tcPr>
            <w:tcW w:w="7180" w:type="dxa"/>
            <w:vAlign w:val="bottom"/>
            <w:gridSpan w:val="2"/>
          </w:tcPr>
          <w:p>
            <w:pPr>
              <w:ind w:left="140"/>
              <w:spacing w:after="0"/>
              <w:rPr>
                <w:sz w:val="20"/>
                <w:szCs w:val="20"/>
                <w:color w:val="auto"/>
              </w:rPr>
            </w:pPr>
            <w:r>
              <w:rPr>
                <w:rFonts w:ascii="Arial" w:cs="Arial" w:eastAsia="Arial" w:hAnsi="Arial"/>
                <w:sz w:val="15"/>
                <w:szCs w:val="15"/>
                <w:color w:val="auto"/>
              </w:rPr>
              <w:t>American Empire Insurance Company</w:t>
            </w:r>
          </w:p>
        </w:tc>
        <w:tc>
          <w:tcPr>
            <w:tcW w:w="1720" w:type="dxa"/>
            <w:vAlign w:val="bottom"/>
            <w:gridSpan w:val="2"/>
          </w:tcPr>
          <w:p>
            <w:pPr>
              <w:ind w:left="20"/>
              <w:spacing w:after="0"/>
              <w:rPr>
                <w:sz w:val="20"/>
                <w:szCs w:val="20"/>
                <w:color w:val="auto"/>
              </w:rPr>
            </w:pPr>
            <w:r>
              <w:rPr>
                <w:rFonts w:ascii="Arial" w:cs="Arial" w:eastAsia="Arial" w:hAnsi="Arial"/>
                <w:sz w:val="15"/>
                <w:szCs w:val="15"/>
                <w:color w:val="auto"/>
              </w:rPr>
              <w:t>Ohio</w:t>
            </w:r>
          </w:p>
        </w:tc>
        <w:tc>
          <w:tcPr>
            <w:tcW w:w="2300" w:type="dxa"/>
            <w:vAlign w:val="bottom"/>
          </w:tcPr>
          <w:p>
            <w:pPr>
              <w:jc w:val="center"/>
              <w:spacing w:after="0"/>
              <w:rPr>
                <w:sz w:val="20"/>
                <w:szCs w:val="20"/>
                <w:color w:val="auto"/>
              </w:rPr>
            </w:pPr>
            <w:r>
              <w:rPr>
                <w:rFonts w:ascii="Arial" w:cs="Arial" w:eastAsia="Arial" w:hAnsi="Arial"/>
                <w:sz w:val="15"/>
                <w:szCs w:val="15"/>
                <w:color w:val="auto"/>
              </w:rPr>
              <w:t>100</w:t>
            </w:r>
          </w:p>
        </w:tc>
      </w:tr>
      <w:tr>
        <w:trPr>
          <w:trHeight w:val="204"/>
        </w:trPr>
        <w:tc>
          <w:tcPr>
            <w:tcW w:w="71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El Aguila, Compañia de Seguros, S.A. de C.V.</w:t>
            </w: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Mexico</w:t>
            </w:r>
          </w:p>
        </w:tc>
        <w:tc>
          <w:tcPr>
            <w:tcW w:w="23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100</w:t>
            </w:r>
          </w:p>
        </w:tc>
      </w:tr>
      <w:tr>
        <w:trPr>
          <w:trHeight w:val="201"/>
        </w:trPr>
        <w:tc>
          <w:tcPr>
            <w:tcW w:w="7180" w:type="dxa"/>
            <w:vAlign w:val="bottom"/>
            <w:gridSpan w:val="2"/>
          </w:tcPr>
          <w:p>
            <w:pPr>
              <w:ind w:left="140"/>
              <w:spacing w:after="0"/>
              <w:rPr>
                <w:sz w:val="20"/>
                <w:szCs w:val="20"/>
                <w:color w:val="auto"/>
              </w:rPr>
            </w:pPr>
            <w:r>
              <w:rPr>
                <w:rFonts w:ascii="Arial" w:cs="Arial" w:eastAsia="Arial" w:hAnsi="Arial"/>
                <w:sz w:val="15"/>
                <w:szCs w:val="15"/>
                <w:color w:val="auto"/>
              </w:rPr>
              <w:t>GAI Warranty Company</w:t>
            </w:r>
          </w:p>
        </w:tc>
        <w:tc>
          <w:tcPr>
            <w:tcW w:w="1720" w:type="dxa"/>
            <w:vAlign w:val="bottom"/>
            <w:gridSpan w:val="2"/>
          </w:tcPr>
          <w:p>
            <w:pPr>
              <w:ind w:left="20"/>
              <w:spacing w:after="0"/>
              <w:rPr>
                <w:sz w:val="20"/>
                <w:szCs w:val="20"/>
                <w:color w:val="auto"/>
              </w:rPr>
            </w:pPr>
            <w:r>
              <w:rPr>
                <w:rFonts w:ascii="Arial" w:cs="Arial" w:eastAsia="Arial" w:hAnsi="Arial"/>
                <w:sz w:val="15"/>
                <w:szCs w:val="15"/>
                <w:color w:val="auto"/>
              </w:rPr>
              <w:t>Ohio</w:t>
            </w:r>
          </w:p>
        </w:tc>
        <w:tc>
          <w:tcPr>
            <w:tcW w:w="2300" w:type="dxa"/>
            <w:vAlign w:val="bottom"/>
          </w:tcPr>
          <w:p>
            <w:pPr>
              <w:jc w:val="center"/>
              <w:spacing w:after="0"/>
              <w:rPr>
                <w:sz w:val="20"/>
                <w:szCs w:val="20"/>
                <w:color w:val="auto"/>
              </w:rPr>
            </w:pPr>
            <w:r>
              <w:rPr>
                <w:rFonts w:ascii="Arial" w:cs="Arial" w:eastAsia="Arial" w:hAnsi="Arial"/>
                <w:sz w:val="15"/>
                <w:szCs w:val="15"/>
                <w:color w:val="auto"/>
              </w:rPr>
              <w:t>100</w:t>
            </w:r>
          </w:p>
        </w:tc>
      </w:tr>
      <w:tr>
        <w:trPr>
          <w:trHeight w:val="204"/>
        </w:trPr>
        <w:tc>
          <w:tcPr>
            <w:tcW w:w="718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GAI Warranty Company of Florida</w:t>
            </w: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Florida</w:t>
            </w:r>
          </w:p>
        </w:tc>
        <w:tc>
          <w:tcPr>
            <w:tcW w:w="23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100</w:t>
            </w:r>
          </w:p>
        </w:tc>
      </w:tr>
      <w:tr>
        <w:trPr>
          <w:trHeight w:val="201"/>
        </w:trPr>
        <w:tc>
          <w:tcPr>
            <w:tcW w:w="7180" w:type="dxa"/>
            <w:vAlign w:val="bottom"/>
            <w:gridSpan w:val="2"/>
          </w:tcPr>
          <w:p>
            <w:pPr>
              <w:ind w:left="140"/>
              <w:spacing w:after="0"/>
              <w:rPr>
                <w:sz w:val="20"/>
                <w:szCs w:val="20"/>
                <w:color w:val="auto"/>
              </w:rPr>
            </w:pPr>
            <w:r>
              <w:rPr>
                <w:rFonts w:ascii="Arial" w:cs="Arial" w:eastAsia="Arial" w:hAnsi="Arial"/>
                <w:sz w:val="15"/>
                <w:szCs w:val="15"/>
                <w:color w:val="auto"/>
              </w:rPr>
              <w:t>Great American Alliance Insurance Company</w:t>
            </w:r>
          </w:p>
        </w:tc>
        <w:tc>
          <w:tcPr>
            <w:tcW w:w="1720" w:type="dxa"/>
            <w:vAlign w:val="bottom"/>
            <w:gridSpan w:val="2"/>
          </w:tcPr>
          <w:p>
            <w:pPr>
              <w:ind w:left="20"/>
              <w:spacing w:after="0"/>
              <w:rPr>
                <w:sz w:val="20"/>
                <w:szCs w:val="20"/>
                <w:color w:val="auto"/>
              </w:rPr>
            </w:pPr>
            <w:r>
              <w:rPr>
                <w:rFonts w:ascii="Arial" w:cs="Arial" w:eastAsia="Arial" w:hAnsi="Arial"/>
                <w:sz w:val="15"/>
                <w:szCs w:val="15"/>
                <w:color w:val="auto"/>
              </w:rPr>
              <w:t>Ohio</w:t>
            </w:r>
          </w:p>
        </w:tc>
        <w:tc>
          <w:tcPr>
            <w:tcW w:w="2300" w:type="dxa"/>
            <w:vAlign w:val="bottom"/>
          </w:tcPr>
          <w:p>
            <w:pPr>
              <w:jc w:val="center"/>
              <w:spacing w:after="0"/>
              <w:rPr>
                <w:sz w:val="20"/>
                <w:szCs w:val="20"/>
                <w:color w:val="auto"/>
              </w:rPr>
            </w:pPr>
            <w:r>
              <w:rPr>
                <w:rFonts w:ascii="Arial" w:cs="Arial" w:eastAsia="Arial" w:hAnsi="Arial"/>
                <w:sz w:val="15"/>
                <w:szCs w:val="15"/>
                <w:color w:val="auto"/>
              </w:rPr>
              <w:t>100</w:t>
            </w:r>
          </w:p>
        </w:tc>
      </w:tr>
      <w:tr>
        <w:trPr>
          <w:trHeight w:val="204"/>
        </w:trPr>
        <w:tc>
          <w:tcPr>
            <w:tcW w:w="71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Great American Assurance Company</w:t>
            </w: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Ohio</w:t>
            </w:r>
          </w:p>
        </w:tc>
        <w:tc>
          <w:tcPr>
            <w:tcW w:w="23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100</w:t>
            </w:r>
          </w:p>
        </w:tc>
      </w:tr>
      <w:tr>
        <w:trPr>
          <w:trHeight w:val="201"/>
        </w:trPr>
        <w:tc>
          <w:tcPr>
            <w:tcW w:w="7180" w:type="dxa"/>
            <w:vAlign w:val="bottom"/>
            <w:gridSpan w:val="2"/>
          </w:tcPr>
          <w:p>
            <w:pPr>
              <w:ind w:left="140"/>
              <w:spacing w:after="0"/>
              <w:rPr>
                <w:sz w:val="20"/>
                <w:szCs w:val="20"/>
                <w:color w:val="auto"/>
              </w:rPr>
            </w:pPr>
            <w:r>
              <w:rPr>
                <w:rFonts w:ascii="Arial" w:cs="Arial" w:eastAsia="Arial" w:hAnsi="Arial"/>
                <w:sz w:val="15"/>
                <w:szCs w:val="15"/>
                <w:color w:val="auto"/>
              </w:rPr>
              <w:t>Great American Casualty Insurance Company</w:t>
            </w:r>
          </w:p>
        </w:tc>
        <w:tc>
          <w:tcPr>
            <w:tcW w:w="1720" w:type="dxa"/>
            <w:vAlign w:val="bottom"/>
            <w:gridSpan w:val="2"/>
          </w:tcPr>
          <w:p>
            <w:pPr>
              <w:ind w:left="20"/>
              <w:spacing w:after="0"/>
              <w:rPr>
                <w:sz w:val="20"/>
                <w:szCs w:val="20"/>
                <w:color w:val="auto"/>
              </w:rPr>
            </w:pPr>
            <w:r>
              <w:rPr>
                <w:rFonts w:ascii="Arial" w:cs="Arial" w:eastAsia="Arial" w:hAnsi="Arial"/>
                <w:sz w:val="15"/>
                <w:szCs w:val="15"/>
                <w:color w:val="auto"/>
              </w:rPr>
              <w:t>Ohio</w:t>
            </w:r>
          </w:p>
        </w:tc>
        <w:tc>
          <w:tcPr>
            <w:tcW w:w="2300" w:type="dxa"/>
            <w:vAlign w:val="bottom"/>
          </w:tcPr>
          <w:p>
            <w:pPr>
              <w:jc w:val="center"/>
              <w:spacing w:after="0"/>
              <w:rPr>
                <w:sz w:val="20"/>
                <w:szCs w:val="20"/>
                <w:color w:val="auto"/>
              </w:rPr>
            </w:pPr>
            <w:r>
              <w:rPr>
                <w:rFonts w:ascii="Arial" w:cs="Arial" w:eastAsia="Arial" w:hAnsi="Arial"/>
                <w:sz w:val="15"/>
                <w:szCs w:val="15"/>
                <w:color w:val="auto"/>
              </w:rPr>
              <w:t>100</w:t>
            </w:r>
          </w:p>
        </w:tc>
      </w:tr>
      <w:tr>
        <w:trPr>
          <w:trHeight w:val="204"/>
        </w:trPr>
        <w:tc>
          <w:tcPr>
            <w:tcW w:w="71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Great American E&amp;S Insurance Company</w:t>
            </w: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Ohio</w:t>
            </w:r>
          </w:p>
        </w:tc>
        <w:tc>
          <w:tcPr>
            <w:tcW w:w="23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100</w:t>
            </w:r>
          </w:p>
        </w:tc>
      </w:tr>
      <w:tr>
        <w:trPr>
          <w:trHeight w:val="201"/>
        </w:trPr>
        <w:tc>
          <w:tcPr>
            <w:tcW w:w="7180" w:type="dxa"/>
            <w:vAlign w:val="bottom"/>
            <w:gridSpan w:val="2"/>
          </w:tcPr>
          <w:p>
            <w:pPr>
              <w:ind w:left="140"/>
              <w:spacing w:after="0"/>
              <w:rPr>
                <w:sz w:val="20"/>
                <w:szCs w:val="20"/>
                <w:color w:val="auto"/>
              </w:rPr>
            </w:pPr>
            <w:r>
              <w:rPr>
                <w:rFonts w:ascii="Arial" w:cs="Arial" w:eastAsia="Arial" w:hAnsi="Arial"/>
                <w:sz w:val="15"/>
                <w:szCs w:val="15"/>
                <w:color w:val="auto"/>
              </w:rPr>
              <w:t>Great American Fidelity Insurance Company</w:t>
            </w:r>
          </w:p>
        </w:tc>
        <w:tc>
          <w:tcPr>
            <w:tcW w:w="1720" w:type="dxa"/>
            <w:vAlign w:val="bottom"/>
            <w:gridSpan w:val="2"/>
          </w:tcPr>
          <w:p>
            <w:pPr>
              <w:ind w:left="20"/>
              <w:spacing w:after="0"/>
              <w:rPr>
                <w:sz w:val="20"/>
                <w:szCs w:val="20"/>
                <w:color w:val="auto"/>
              </w:rPr>
            </w:pPr>
            <w:r>
              <w:rPr>
                <w:rFonts w:ascii="Arial" w:cs="Arial" w:eastAsia="Arial" w:hAnsi="Arial"/>
                <w:sz w:val="15"/>
                <w:szCs w:val="15"/>
                <w:color w:val="auto"/>
              </w:rPr>
              <w:t>Ohio</w:t>
            </w:r>
          </w:p>
        </w:tc>
        <w:tc>
          <w:tcPr>
            <w:tcW w:w="2300" w:type="dxa"/>
            <w:vAlign w:val="bottom"/>
          </w:tcPr>
          <w:p>
            <w:pPr>
              <w:jc w:val="center"/>
              <w:spacing w:after="0"/>
              <w:rPr>
                <w:sz w:val="20"/>
                <w:szCs w:val="20"/>
                <w:color w:val="auto"/>
              </w:rPr>
            </w:pPr>
            <w:r>
              <w:rPr>
                <w:rFonts w:ascii="Arial" w:cs="Arial" w:eastAsia="Arial" w:hAnsi="Arial"/>
                <w:sz w:val="15"/>
                <w:szCs w:val="15"/>
                <w:color w:val="auto"/>
              </w:rPr>
              <w:t>100</w:t>
            </w:r>
          </w:p>
        </w:tc>
      </w:tr>
      <w:tr>
        <w:trPr>
          <w:trHeight w:val="204"/>
        </w:trPr>
        <w:tc>
          <w:tcPr>
            <w:tcW w:w="71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Great American Insurance Company of New York</w:t>
            </w: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New York</w:t>
            </w:r>
          </w:p>
        </w:tc>
        <w:tc>
          <w:tcPr>
            <w:tcW w:w="23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100</w:t>
            </w:r>
          </w:p>
        </w:tc>
      </w:tr>
      <w:tr>
        <w:trPr>
          <w:trHeight w:val="201"/>
        </w:trPr>
        <w:tc>
          <w:tcPr>
            <w:tcW w:w="7180" w:type="dxa"/>
            <w:vAlign w:val="bottom"/>
            <w:gridSpan w:val="2"/>
          </w:tcPr>
          <w:p>
            <w:pPr>
              <w:ind w:left="140"/>
              <w:spacing w:after="0"/>
              <w:rPr>
                <w:sz w:val="20"/>
                <w:szCs w:val="20"/>
                <w:color w:val="auto"/>
              </w:rPr>
            </w:pPr>
            <w:r>
              <w:rPr>
                <w:rFonts w:ascii="Arial" w:cs="Arial" w:eastAsia="Arial" w:hAnsi="Arial"/>
                <w:sz w:val="15"/>
                <w:szCs w:val="15"/>
                <w:color w:val="auto"/>
              </w:rPr>
              <w:t>Great American Protection Insurance Company</w:t>
            </w:r>
          </w:p>
        </w:tc>
        <w:tc>
          <w:tcPr>
            <w:tcW w:w="1720" w:type="dxa"/>
            <w:vAlign w:val="bottom"/>
            <w:gridSpan w:val="2"/>
          </w:tcPr>
          <w:p>
            <w:pPr>
              <w:ind w:left="20"/>
              <w:spacing w:after="0"/>
              <w:rPr>
                <w:sz w:val="20"/>
                <w:szCs w:val="20"/>
                <w:color w:val="auto"/>
              </w:rPr>
            </w:pPr>
            <w:r>
              <w:rPr>
                <w:rFonts w:ascii="Arial" w:cs="Arial" w:eastAsia="Arial" w:hAnsi="Arial"/>
                <w:sz w:val="15"/>
                <w:szCs w:val="15"/>
                <w:color w:val="auto"/>
              </w:rPr>
              <w:t>Ohio</w:t>
            </w:r>
          </w:p>
        </w:tc>
        <w:tc>
          <w:tcPr>
            <w:tcW w:w="2300" w:type="dxa"/>
            <w:vAlign w:val="bottom"/>
          </w:tcPr>
          <w:p>
            <w:pPr>
              <w:jc w:val="center"/>
              <w:spacing w:after="0"/>
              <w:rPr>
                <w:sz w:val="20"/>
                <w:szCs w:val="20"/>
                <w:color w:val="auto"/>
              </w:rPr>
            </w:pPr>
            <w:r>
              <w:rPr>
                <w:rFonts w:ascii="Arial" w:cs="Arial" w:eastAsia="Arial" w:hAnsi="Arial"/>
                <w:sz w:val="15"/>
                <w:szCs w:val="15"/>
                <w:color w:val="auto"/>
              </w:rPr>
              <w:t>100</w:t>
            </w:r>
          </w:p>
        </w:tc>
      </w:tr>
      <w:tr>
        <w:trPr>
          <w:trHeight w:val="204"/>
        </w:trPr>
        <w:tc>
          <w:tcPr>
            <w:tcW w:w="71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Great American Risk Solutions Surplus Lines Insurance Company</w:t>
            </w: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Ohio</w:t>
            </w:r>
          </w:p>
        </w:tc>
        <w:tc>
          <w:tcPr>
            <w:tcW w:w="23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100</w:t>
            </w:r>
          </w:p>
        </w:tc>
      </w:tr>
      <w:tr>
        <w:trPr>
          <w:trHeight w:val="201"/>
        </w:trPr>
        <w:tc>
          <w:tcPr>
            <w:tcW w:w="7180" w:type="dxa"/>
            <w:vAlign w:val="bottom"/>
            <w:gridSpan w:val="2"/>
          </w:tcPr>
          <w:p>
            <w:pPr>
              <w:ind w:left="140"/>
              <w:spacing w:after="0"/>
              <w:rPr>
                <w:sz w:val="20"/>
                <w:szCs w:val="20"/>
                <w:color w:val="auto"/>
              </w:rPr>
            </w:pPr>
            <w:r>
              <w:rPr>
                <w:rFonts w:ascii="Arial" w:cs="Arial" w:eastAsia="Arial" w:hAnsi="Arial"/>
                <w:sz w:val="15"/>
                <w:szCs w:val="15"/>
                <w:color w:val="auto"/>
              </w:rPr>
              <w:t>Great American Security Insurance Company</w:t>
            </w:r>
          </w:p>
        </w:tc>
        <w:tc>
          <w:tcPr>
            <w:tcW w:w="1720" w:type="dxa"/>
            <w:vAlign w:val="bottom"/>
            <w:gridSpan w:val="2"/>
          </w:tcPr>
          <w:p>
            <w:pPr>
              <w:ind w:left="20"/>
              <w:spacing w:after="0"/>
              <w:rPr>
                <w:sz w:val="20"/>
                <w:szCs w:val="20"/>
                <w:color w:val="auto"/>
              </w:rPr>
            </w:pPr>
            <w:r>
              <w:rPr>
                <w:rFonts w:ascii="Arial" w:cs="Arial" w:eastAsia="Arial" w:hAnsi="Arial"/>
                <w:sz w:val="15"/>
                <w:szCs w:val="15"/>
                <w:color w:val="auto"/>
              </w:rPr>
              <w:t>Ohio</w:t>
            </w:r>
          </w:p>
        </w:tc>
        <w:tc>
          <w:tcPr>
            <w:tcW w:w="2300" w:type="dxa"/>
            <w:vAlign w:val="bottom"/>
          </w:tcPr>
          <w:p>
            <w:pPr>
              <w:jc w:val="center"/>
              <w:spacing w:after="0"/>
              <w:rPr>
                <w:sz w:val="20"/>
                <w:szCs w:val="20"/>
                <w:color w:val="auto"/>
              </w:rPr>
            </w:pPr>
            <w:r>
              <w:rPr>
                <w:rFonts w:ascii="Arial" w:cs="Arial" w:eastAsia="Arial" w:hAnsi="Arial"/>
                <w:sz w:val="15"/>
                <w:szCs w:val="15"/>
                <w:color w:val="auto"/>
              </w:rPr>
              <w:t>100</w:t>
            </w:r>
          </w:p>
        </w:tc>
      </w:tr>
      <w:tr>
        <w:trPr>
          <w:trHeight w:val="204"/>
        </w:trPr>
        <w:tc>
          <w:tcPr>
            <w:tcW w:w="71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Great American Spirit Insurance Company</w:t>
            </w: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Ohio</w:t>
            </w:r>
          </w:p>
        </w:tc>
        <w:tc>
          <w:tcPr>
            <w:tcW w:w="23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100</w:t>
            </w:r>
          </w:p>
        </w:tc>
      </w:tr>
      <w:tr>
        <w:trPr>
          <w:trHeight w:val="201"/>
        </w:trPr>
        <w:tc>
          <w:tcPr>
            <w:tcW w:w="7180" w:type="dxa"/>
            <w:vAlign w:val="bottom"/>
            <w:gridSpan w:val="2"/>
          </w:tcPr>
          <w:p>
            <w:pPr>
              <w:ind w:left="140"/>
              <w:spacing w:after="0"/>
              <w:rPr>
                <w:sz w:val="20"/>
                <w:szCs w:val="20"/>
                <w:color w:val="auto"/>
              </w:rPr>
            </w:pPr>
            <w:r>
              <w:rPr>
                <w:rFonts w:ascii="Arial" w:cs="Arial" w:eastAsia="Arial" w:hAnsi="Arial"/>
                <w:sz w:val="15"/>
                <w:szCs w:val="15"/>
                <w:color w:val="auto"/>
              </w:rPr>
              <w:t>Professional Risk Brokers, Inc.</w:t>
            </w:r>
          </w:p>
        </w:tc>
        <w:tc>
          <w:tcPr>
            <w:tcW w:w="1720" w:type="dxa"/>
            <w:vAlign w:val="bottom"/>
            <w:gridSpan w:val="2"/>
          </w:tcPr>
          <w:p>
            <w:pPr>
              <w:ind w:left="20"/>
              <w:spacing w:after="0"/>
              <w:rPr>
                <w:sz w:val="20"/>
                <w:szCs w:val="20"/>
                <w:color w:val="auto"/>
              </w:rPr>
            </w:pPr>
            <w:r>
              <w:rPr>
                <w:rFonts w:ascii="Arial" w:cs="Arial" w:eastAsia="Arial" w:hAnsi="Arial"/>
                <w:sz w:val="15"/>
                <w:szCs w:val="15"/>
                <w:color w:val="auto"/>
              </w:rPr>
              <w:t>Illinois</w:t>
            </w:r>
          </w:p>
        </w:tc>
        <w:tc>
          <w:tcPr>
            <w:tcW w:w="2300" w:type="dxa"/>
            <w:vAlign w:val="bottom"/>
          </w:tcPr>
          <w:p>
            <w:pPr>
              <w:jc w:val="center"/>
              <w:spacing w:after="0"/>
              <w:rPr>
                <w:sz w:val="20"/>
                <w:szCs w:val="20"/>
                <w:color w:val="auto"/>
              </w:rPr>
            </w:pPr>
            <w:r>
              <w:rPr>
                <w:rFonts w:ascii="Arial" w:cs="Arial" w:eastAsia="Arial" w:hAnsi="Arial"/>
                <w:sz w:val="15"/>
                <w:szCs w:val="15"/>
                <w:color w:val="auto"/>
              </w:rPr>
              <w:t>100</w:t>
            </w:r>
          </w:p>
        </w:tc>
      </w:tr>
      <w:tr>
        <w:trPr>
          <w:trHeight w:val="204"/>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Verikai Inc.</w:t>
            </w: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Delaware</w:t>
            </w:r>
          </w:p>
        </w:tc>
        <w:tc>
          <w:tcPr>
            <w:tcW w:w="23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100</w:t>
            </w: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E-1</w:t>
      </w:r>
    </w:p>
    <w:p>
      <w:pPr>
        <w:sectPr>
          <w:pgSz w:w="11900" w:h="16838" w:orient="portrait"/>
          <w:cols w:equalWidth="0" w:num="1">
            <w:col w:w="11240"/>
          </w:cols>
          <w:pgMar w:left="320" w:top="773"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6"/>
          <w:szCs w:val="16"/>
          <w:b w:val="1"/>
          <w:bCs w:val="1"/>
          <w:color w:val="003366"/>
        </w:rPr>
        <w:t>Exhibit 23</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CONSENT OF INDEPENDENT REGISTERED PUBLIC ACCOUNTING FIRM</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incorporation by reference in the following Registration Statements and related Prospectuses of American Financial Group, Inc.:</w:t>
      </w:r>
    </w:p>
    <w:p>
      <w:pPr>
        <w:spacing w:after="0" w:line="46" w:lineRule="exact"/>
        <w:rPr>
          <w:sz w:val="20"/>
          <w:szCs w:val="20"/>
          <w:color w:val="auto"/>
        </w:rPr>
      </w:pPr>
    </w:p>
    <w:tbl>
      <w:tblPr>
        <w:tblLayout w:type="fixed"/>
        <w:tblInd w:w="540" w:type="dxa"/>
        <w:tblCellMar>
          <w:top w:w="0" w:type="dxa"/>
          <w:left w:w="0" w:type="dxa"/>
          <w:bottom w:w="0" w:type="dxa"/>
          <w:right w:w="0" w:type="dxa"/>
        </w:tblCellMar>
      </w:tblPr>
      <w:tr>
        <w:trPr>
          <w:trHeight w:val="215"/>
        </w:trPr>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gridSpan w:val="2"/>
          </w:tcPr>
          <w:p>
            <w:pPr>
              <w:ind w:left="200"/>
              <w:spacing w:after="0"/>
              <w:rPr>
                <w:sz w:val="20"/>
                <w:szCs w:val="20"/>
                <w:color w:val="auto"/>
              </w:rPr>
            </w:pPr>
            <w:r>
              <w:rPr>
                <w:rFonts w:ascii="Arial" w:cs="Arial" w:eastAsia="Arial" w:hAnsi="Arial"/>
                <w:sz w:val="16"/>
                <w:szCs w:val="16"/>
                <w:color w:val="auto"/>
              </w:rPr>
              <w:t>Registration</w:t>
            </w:r>
          </w:p>
        </w:tc>
        <w:tc>
          <w:tcPr>
            <w:tcW w:w="7580" w:type="dxa"/>
            <w:vAlign w:val="bottom"/>
          </w:tcPr>
          <w:p>
            <w:pPr>
              <w:spacing w:after="0"/>
              <w:rPr>
                <w:sz w:val="18"/>
                <w:szCs w:val="18"/>
                <w:color w:val="auto"/>
              </w:rPr>
            </w:pPr>
          </w:p>
        </w:tc>
      </w:tr>
      <w:tr>
        <w:trPr>
          <w:trHeight w:val="217"/>
        </w:trPr>
        <w:tc>
          <w:tcPr>
            <w:tcW w:w="1000" w:type="dxa"/>
            <w:vAlign w:val="bottom"/>
            <w:gridSpan w:val="2"/>
          </w:tcPr>
          <w:p>
            <w:pPr>
              <w:ind w:left="20"/>
              <w:spacing w:after="0"/>
              <w:rPr>
                <w:sz w:val="20"/>
                <w:szCs w:val="20"/>
                <w:color w:val="auto"/>
              </w:rPr>
            </w:pPr>
            <w:r>
              <w:rPr>
                <w:rFonts w:ascii="Arial" w:cs="Arial" w:eastAsia="Arial" w:hAnsi="Arial"/>
                <w:sz w:val="16"/>
                <w:szCs w:val="16"/>
                <w:color w:val="auto"/>
              </w:rPr>
              <w:t>Form</w:t>
            </w:r>
          </w:p>
        </w:tc>
        <w:tc>
          <w:tcPr>
            <w:tcW w:w="1620" w:type="dxa"/>
            <w:vAlign w:val="bottom"/>
            <w:gridSpan w:val="2"/>
          </w:tcPr>
          <w:p>
            <w:pPr>
              <w:ind w:left="340"/>
              <w:spacing w:after="0"/>
              <w:rPr>
                <w:sz w:val="20"/>
                <w:szCs w:val="20"/>
                <w:color w:val="auto"/>
              </w:rPr>
            </w:pPr>
            <w:r>
              <w:rPr>
                <w:rFonts w:ascii="Arial" w:cs="Arial" w:eastAsia="Arial" w:hAnsi="Arial"/>
                <w:sz w:val="16"/>
                <w:szCs w:val="16"/>
                <w:color w:val="auto"/>
              </w:rPr>
              <w:t>Number</w:t>
            </w:r>
          </w:p>
        </w:tc>
        <w:tc>
          <w:tcPr>
            <w:tcW w:w="7580" w:type="dxa"/>
            <w:vAlign w:val="bottom"/>
          </w:tcPr>
          <w:p>
            <w:pPr>
              <w:ind w:left="3380"/>
              <w:spacing w:after="0"/>
              <w:rPr>
                <w:sz w:val="20"/>
                <w:szCs w:val="20"/>
                <w:color w:val="auto"/>
              </w:rPr>
            </w:pPr>
            <w:r>
              <w:rPr>
                <w:rFonts w:ascii="Arial" w:cs="Arial" w:eastAsia="Arial" w:hAnsi="Arial"/>
                <w:sz w:val="16"/>
                <w:szCs w:val="16"/>
                <w:color w:val="auto"/>
              </w:rPr>
              <w:t>Description</w:t>
            </w:r>
          </w:p>
        </w:tc>
      </w:tr>
      <w:tr>
        <w:trPr>
          <w:trHeight w:val="209"/>
        </w:trPr>
        <w:tc>
          <w:tcPr>
            <w:tcW w:w="6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S-8</w:t>
            </w:r>
          </w:p>
        </w:tc>
        <w:tc>
          <w:tcPr>
            <w:tcW w:w="360" w:type="dxa"/>
            <w:vAlign w:val="bottom"/>
          </w:tcPr>
          <w:p>
            <w:pPr>
              <w:spacing w:after="0"/>
              <w:rPr>
                <w:sz w:val="18"/>
                <w:szCs w:val="18"/>
                <w:color w:val="auto"/>
              </w:rPr>
            </w:pPr>
          </w:p>
        </w:tc>
        <w:tc>
          <w:tcPr>
            <w:tcW w:w="12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33-58827</w:t>
            </w:r>
          </w:p>
        </w:tc>
        <w:tc>
          <w:tcPr>
            <w:tcW w:w="360" w:type="dxa"/>
            <w:vAlign w:val="bottom"/>
          </w:tcPr>
          <w:p>
            <w:pPr>
              <w:spacing w:after="0"/>
              <w:rPr>
                <w:sz w:val="18"/>
                <w:szCs w:val="18"/>
                <w:color w:val="auto"/>
              </w:rPr>
            </w:pPr>
          </w:p>
        </w:tc>
        <w:tc>
          <w:tcPr>
            <w:tcW w:w="75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Employee Stock Purchase Plan</w:t>
            </w:r>
          </w:p>
        </w:tc>
      </w:tr>
      <w:tr>
        <w:trPr>
          <w:trHeight w:val="215"/>
        </w:trPr>
        <w:tc>
          <w:tcPr>
            <w:tcW w:w="1000" w:type="dxa"/>
            <w:vAlign w:val="bottom"/>
            <w:gridSpan w:val="2"/>
          </w:tcPr>
          <w:p>
            <w:pPr>
              <w:ind w:left="20"/>
              <w:spacing w:after="0"/>
              <w:rPr>
                <w:sz w:val="20"/>
                <w:szCs w:val="20"/>
                <w:color w:val="auto"/>
              </w:rPr>
            </w:pPr>
            <w:r>
              <w:rPr>
                <w:rFonts w:ascii="Arial" w:cs="Arial" w:eastAsia="Arial" w:hAnsi="Arial"/>
                <w:sz w:val="16"/>
                <w:szCs w:val="16"/>
                <w:color w:val="auto"/>
              </w:rPr>
              <w:t>S-3</w:t>
            </w:r>
          </w:p>
        </w:tc>
        <w:tc>
          <w:tcPr>
            <w:tcW w:w="1260" w:type="dxa"/>
            <w:vAlign w:val="bottom"/>
          </w:tcPr>
          <w:p>
            <w:pPr>
              <w:ind w:left="20"/>
              <w:spacing w:after="0"/>
              <w:rPr>
                <w:sz w:val="20"/>
                <w:szCs w:val="20"/>
                <w:color w:val="auto"/>
              </w:rPr>
            </w:pPr>
            <w:r>
              <w:rPr>
                <w:rFonts w:ascii="Arial" w:cs="Arial" w:eastAsia="Arial" w:hAnsi="Arial"/>
                <w:sz w:val="16"/>
                <w:szCs w:val="16"/>
                <w:color w:val="auto"/>
              </w:rPr>
              <w:t>333-102567</w:t>
            </w:r>
          </w:p>
        </w:tc>
        <w:tc>
          <w:tcPr>
            <w:tcW w:w="360" w:type="dxa"/>
            <w:vAlign w:val="bottom"/>
          </w:tcPr>
          <w:p>
            <w:pPr>
              <w:spacing w:after="0"/>
              <w:rPr>
                <w:sz w:val="18"/>
                <w:szCs w:val="18"/>
                <w:color w:val="auto"/>
              </w:rPr>
            </w:pPr>
          </w:p>
        </w:tc>
        <w:tc>
          <w:tcPr>
            <w:tcW w:w="7580" w:type="dxa"/>
            <w:vAlign w:val="bottom"/>
          </w:tcPr>
          <w:p>
            <w:pPr>
              <w:ind w:left="20"/>
              <w:spacing w:after="0"/>
              <w:rPr>
                <w:sz w:val="20"/>
                <w:szCs w:val="20"/>
                <w:color w:val="auto"/>
              </w:rPr>
            </w:pPr>
            <w:r>
              <w:rPr>
                <w:rFonts w:ascii="Arial" w:cs="Arial" w:eastAsia="Arial" w:hAnsi="Arial"/>
                <w:sz w:val="16"/>
                <w:szCs w:val="16"/>
                <w:color w:val="auto"/>
              </w:rPr>
              <w:t>Dividend Reinvestment Plan</w:t>
            </w:r>
          </w:p>
        </w:tc>
      </w:tr>
      <w:tr>
        <w:trPr>
          <w:trHeight w:val="216"/>
        </w:trPr>
        <w:tc>
          <w:tcPr>
            <w:tcW w:w="1000" w:type="dxa"/>
            <w:vAlign w:val="bottom"/>
            <w:gridSpan w:val="2"/>
          </w:tcPr>
          <w:p>
            <w:pPr>
              <w:ind w:left="20"/>
              <w:spacing w:after="0"/>
              <w:rPr>
                <w:sz w:val="20"/>
                <w:szCs w:val="20"/>
                <w:color w:val="auto"/>
              </w:rPr>
            </w:pPr>
            <w:r>
              <w:rPr>
                <w:rFonts w:ascii="Arial" w:cs="Arial" w:eastAsia="Arial" w:hAnsi="Arial"/>
                <w:sz w:val="16"/>
                <w:szCs w:val="16"/>
                <w:color w:val="auto"/>
              </w:rPr>
              <w:t>S-8</w:t>
            </w:r>
          </w:p>
        </w:tc>
        <w:tc>
          <w:tcPr>
            <w:tcW w:w="1260" w:type="dxa"/>
            <w:vAlign w:val="bottom"/>
          </w:tcPr>
          <w:p>
            <w:pPr>
              <w:ind w:left="20"/>
              <w:spacing w:after="0"/>
              <w:rPr>
                <w:sz w:val="20"/>
                <w:szCs w:val="20"/>
                <w:color w:val="auto"/>
              </w:rPr>
            </w:pPr>
            <w:r>
              <w:rPr>
                <w:rFonts w:ascii="Arial" w:cs="Arial" w:eastAsia="Arial" w:hAnsi="Arial"/>
                <w:sz w:val="16"/>
                <w:szCs w:val="16"/>
                <w:color w:val="auto"/>
              </w:rPr>
              <w:t>333-117062</w:t>
            </w:r>
          </w:p>
        </w:tc>
        <w:tc>
          <w:tcPr>
            <w:tcW w:w="360" w:type="dxa"/>
            <w:vAlign w:val="bottom"/>
          </w:tcPr>
          <w:p>
            <w:pPr>
              <w:spacing w:after="0"/>
              <w:rPr>
                <w:sz w:val="18"/>
                <w:szCs w:val="18"/>
                <w:color w:val="auto"/>
              </w:rPr>
            </w:pPr>
          </w:p>
        </w:tc>
        <w:tc>
          <w:tcPr>
            <w:tcW w:w="7580" w:type="dxa"/>
            <w:vAlign w:val="bottom"/>
          </w:tcPr>
          <w:p>
            <w:pPr>
              <w:ind w:left="20"/>
              <w:spacing w:after="0"/>
              <w:rPr>
                <w:sz w:val="20"/>
                <w:szCs w:val="20"/>
                <w:color w:val="auto"/>
              </w:rPr>
            </w:pPr>
            <w:r>
              <w:rPr>
                <w:rFonts w:ascii="Arial" w:cs="Arial" w:eastAsia="Arial" w:hAnsi="Arial"/>
                <w:sz w:val="16"/>
                <w:szCs w:val="16"/>
                <w:color w:val="auto"/>
              </w:rPr>
              <w:t>Non-employee Directors Compensation Plan</w:t>
            </w:r>
          </w:p>
        </w:tc>
      </w:tr>
      <w:tr>
        <w:trPr>
          <w:trHeight w:val="216"/>
        </w:trPr>
        <w:tc>
          <w:tcPr>
            <w:tcW w:w="1000" w:type="dxa"/>
            <w:vAlign w:val="bottom"/>
            <w:gridSpan w:val="2"/>
          </w:tcPr>
          <w:p>
            <w:pPr>
              <w:ind w:left="20"/>
              <w:spacing w:after="0"/>
              <w:rPr>
                <w:sz w:val="20"/>
                <w:szCs w:val="20"/>
                <w:color w:val="auto"/>
              </w:rPr>
            </w:pPr>
            <w:r>
              <w:rPr>
                <w:rFonts w:ascii="Arial" w:cs="Arial" w:eastAsia="Arial" w:hAnsi="Arial"/>
                <w:sz w:val="16"/>
                <w:szCs w:val="16"/>
                <w:color w:val="auto"/>
              </w:rPr>
              <w:t>S-8</w:t>
            </w:r>
          </w:p>
        </w:tc>
        <w:tc>
          <w:tcPr>
            <w:tcW w:w="1260" w:type="dxa"/>
            <w:vAlign w:val="bottom"/>
          </w:tcPr>
          <w:p>
            <w:pPr>
              <w:ind w:left="20"/>
              <w:spacing w:after="0"/>
              <w:rPr>
                <w:sz w:val="20"/>
                <w:szCs w:val="20"/>
                <w:color w:val="auto"/>
              </w:rPr>
            </w:pPr>
            <w:r>
              <w:rPr>
                <w:rFonts w:ascii="Arial" w:cs="Arial" w:eastAsia="Arial" w:hAnsi="Arial"/>
                <w:sz w:val="16"/>
                <w:szCs w:val="16"/>
                <w:color w:val="auto"/>
              </w:rPr>
              <w:t>333-184913</w:t>
            </w:r>
          </w:p>
        </w:tc>
        <w:tc>
          <w:tcPr>
            <w:tcW w:w="360" w:type="dxa"/>
            <w:vAlign w:val="bottom"/>
          </w:tcPr>
          <w:p>
            <w:pPr>
              <w:spacing w:after="0"/>
              <w:rPr>
                <w:sz w:val="18"/>
                <w:szCs w:val="18"/>
                <w:color w:val="auto"/>
              </w:rPr>
            </w:pPr>
          </w:p>
        </w:tc>
        <w:tc>
          <w:tcPr>
            <w:tcW w:w="7580" w:type="dxa"/>
            <w:vAlign w:val="bottom"/>
          </w:tcPr>
          <w:p>
            <w:pPr>
              <w:ind w:left="20"/>
              <w:spacing w:after="0"/>
              <w:rPr>
                <w:sz w:val="20"/>
                <w:szCs w:val="20"/>
                <w:color w:val="auto"/>
              </w:rPr>
            </w:pPr>
            <w:r>
              <w:rPr>
                <w:rFonts w:ascii="Arial" w:cs="Arial" w:eastAsia="Arial" w:hAnsi="Arial"/>
                <w:sz w:val="16"/>
                <w:szCs w:val="16"/>
                <w:color w:val="auto"/>
              </w:rPr>
              <w:t>Non-employee Directors Compensation Plan</w:t>
            </w:r>
          </w:p>
        </w:tc>
      </w:tr>
      <w:tr>
        <w:trPr>
          <w:trHeight w:val="216"/>
        </w:trPr>
        <w:tc>
          <w:tcPr>
            <w:tcW w:w="1000" w:type="dxa"/>
            <w:vAlign w:val="bottom"/>
            <w:gridSpan w:val="2"/>
          </w:tcPr>
          <w:p>
            <w:pPr>
              <w:ind w:left="20"/>
              <w:spacing w:after="0"/>
              <w:rPr>
                <w:sz w:val="20"/>
                <w:szCs w:val="20"/>
                <w:color w:val="auto"/>
              </w:rPr>
            </w:pPr>
            <w:r>
              <w:rPr>
                <w:rFonts w:ascii="Arial" w:cs="Arial" w:eastAsia="Arial" w:hAnsi="Arial"/>
                <w:sz w:val="16"/>
                <w:szCs w:val="16"/>
                <w:color w:val="auto"/>
              </w:rPr>
              <w:t>S-8</w:t>
            </w:r>
          </w:p>
        </w:tc>
        <w:tc>
          <w:tcPr>
            <w:tcW w:w="1260" w:type="dxa"/>
            <w:vAlign w:val="bottom"/>
          </w:tcPr>
          <w:p>
            <w:pPr>
              <w:ind w:left="20"/>
              <w:spacing w:after="0"/>
              <w:rPr>
                <w:sz w:val="20"/>
                <w:szCs w:val="20"/>
                <w:color w:val="auto"/>
              </w:rPr>
            </w:pPr>
            <w:r>
              <w:rPr>
                <w:rFonts w:ascii="Arial" w:cs="Arial" w:eastAsia="Arial" w:hAnsi="Arial"/>
                <w:sz w:val="16"/>
                <w:szCs w:val="16"/>
                <w:color w:val="auto"/>
              </w:rPr>
              <w:t>333-14935</w:t>
            </w:r>
          </w:p>
        </w:tc>
        <w:tc>
          <w:tcPr>
            <w:tcW w:w="360" w:type="dxa"/>
            <w:vAlign w:val="bottom"/>
          </w:tcPr>
          <w:p>
            <w:pPr>
              <w:spacing w:after="0"/>
              <w:rPr>
                <w:sz w:val="18"/>
                <w:szCs w:val="18"/>
                <w:color w:val="auto"/>
              </w:rPr>
            </w:pPr>
          </w:p>
        </w:tc>
        <w:tc>
          <w:tcPr>
            <w:tcW w:w="7580" w:type="dxa"/>
            <w:vAlign w:val="bottom"/>
          </w:tcPr>
          <w:p>
            <w:pPr>
              <w:ind w:left="20"/>
              <w:spacing w:after="0"/>
              <w:rPr>
                <w:sz w:val="20"/>
                <w:szCs w:val="20"/>
                <w:color w:val="auto"/>
              </w:rPr>
            </w:pPr>
            <w:r>
              <w:rPr>
                <w:rFonts w:ascii="Arial" w:cs="Arial" w:eastAsia="Arial" w:hAnsi="Arial"/>
                <w:sz w:val="16"/>
                <w:szCs w:val="16"/>
                <w:color w:val="auto"/>
              </w:rPr>
              <w:t>Retirement and Savings Plan</w:t>
            </w:r>
          </w:p>
        </w:tc>
      </w:tr>
      <w:tr>
        <w:trPr>
          <w:trHeight w:val="216"/>
        </w:trPr>
        <w:tc>
          <w:tcPr>
            <w:tcW w:w="1000" w:type="dxa"/>
            <w:vAlign w:val="bottom"/>
            <w:gridSpan w:val="2"/>
          </w:tcPr>
          <w:p>
            <w:pPr>
              <w:ind w:left="20"/>
              <w:spacing w:after="0"/>
              <w:rPr>
                <w:sz w:val="20"/>
                <w:szCs w:val="20"/>
                <w:color w:val="auto"/>
              </w:rPr>
            </w:pPr>
            <w:r>
              <w:rPr>
                <w:rFonts w:ascii="Arial" w:cs="Arial" w:eastAsia="Arial" w:hAnsi="Arial"/>
                <w:sz w:val="16"/>
                <w:szCs w:val="16"/>
                <w:color w:val="auto"/>
              </w:rPr>
              <w:t>S-8</w:t>
            </w:r>
          </w:p>
        </w:tc>
        <w:tc>
          <w:tcPr>
            <w:tcW w:w="1260" w:type="dxa"/>
            <w:vAlign w:val="bottom"/>
          </w:tcPr>
          <w:p>
            <w:pPr>
              <w:ind w:left="20"/>
              <w:spacing w:after="0"/>
              <w:rPr>
                <w:sz w:val="20"/>
                <w:szCs w:val="20"/>
                <w:color w:val="auto"/>
              </w:rPr>
            </w:pPr>
            <w:r>
              <w:rPr>
                <w:rFonts w:ascii="Arial" w:cs="Arial" w:eastAsia="Arial" w:hAnsi="Arial"/>
                <w:sz w:val="16"/>
                <w:szCs w:val="16"/>
                <w:color w:val="auto"/>
              </w:rPr>
              <w:t>333-91945</w:t>
            </w:r>
          </w:p>
        </w:tc>
        <w:tc>
          <w:tcPr>
            <w:tcW w:w="360" w:type="dxa"/>
            <w:vAlign w:val="bottom"/>
          </w:tcPr>
          <w:p>
            <w:pPr>
              <w:spacing w:after="0"/>
              <w:rPr>
                <w:sz w:val="18"/>
                <w:szCs w:val="18"/>
                <w:color w:val="auto"/>
              </w:rPr>
            </w:pPr>
          </w:p>
        </w:tc>
        <w:tc>
          <w:tcPr>
            <w:tcW w:w="7580" w:type="dxa"/>
            <w:vAlign w:val="bottom"/>
          </w:tcPr>
          <w:p>
            <w:pPr>
              <w:ind w:left="20"/>
              <w:spacing w:after="0"/>
              <w:rPr>
                <w:sz w:val="20"/>
                <w:szCs w:val="20"/>
                <w:color w:val="auto"/>
              </w:rPr>
            </w:pPr>
            <w:r>
              <w:rPr>
                <w:rFonts w:ascii="Arial" w:cs="Arial" w:eastAsia="Arial" w:hAnsi="Arial"/>
                <w:sz w:val="16"/>
                <w:szCs w:val="16"/>
                <w:color w:val="auto"/>
              </w:rPr>
              <w:t>Deferred Compensation Plan</w:t>
            </w:r>
          </w:p>
        </w:tc>
      </w:tr>
      <w:tr>
        <w:trPr>
          <w:trHeight w:val="216"/>
        </w:trPr>
        <w:tc>
          <w:tcPr>
            <w:tcW w:w="1000" w:type="dxa"/>
            <w:vAlign w:val="bottom"/>
            <w:gridSpan w:val="2"/>
          </w:tcPr>
          <w:p>
            <w:pPr>
              <w:ind w:left="20"/>
              <w:spacing w:after="0"/>
              <w:rPr>
                <w:sz w:val="20"/>
                <w:szCs w:val="20"/>
                <w:color w:val="auto"/>
              </w:rPr>
            </w:pPr>
            <w:r>
              <w:rPr>
                <w:rFonts w:ascii="Arial" w:cs="Arial" w:eastAsia="Arial" w:hAnsi="Arial"/>
                <w:sz w:val="16"/>
                <w:szCs w:val="16"/>
                <w:color w:val="auto"/>
              </w:rPr>
              <w:t>S-8</w:t>
            </w:r>
          </w:p>
        </w:tc>
        <w:tc>
          <w:tcPr>
            <w:tcW w:w="1260" w:type="dxa"/>
            <w:vAlign w:val="bottom"/>
          </w:tcPr>
          <w:p>
            <w:pPr>
              <w:ind w:left="20"/>
              <w:spacing w:after="0"/>
              <w:rPr>
                <w:sz w:val="20"/>
                <w:szCs w:val="20"/>
                <w:color w:val="auto"/>
              </w:rPr>
            </w:pPr>
            <w:r>
              <w:rPr>
                <w:rFonts w:ascii="Arial" w:cs="Arial" w:eastAsia="Arial" w:hAnsi="Arial"/>
                <w:sz w:val="16"/>
                <w:szCs w:val="16"/>
                <w:color w:val="auto"/>
              </w:rPr>
              <w:t>333-268292</w:t>
            </w:r>
          </w:p>
        </w:tc>
        <w:tc>
          <w:tcPr>
            <w:tcW w:w="360" w:type="dxa"/>
            <w:vAlign w:val="bottom"/>
          </w:tcPr>
          <w:p>
            <w:pPr>
              <w:spacing w:after="0"/>
              <w:rPr>
                <w:sz w:val="18"/>
                <w:szCs w:val="18"/>
                <w:color w:val="auto"/>
              </w:rPr>
            </w:pPr>
          </w:p>
        </w:tc>
        <w:tc>
          <w:tcPr>
            <w:tcW w:w="7580" w:type="dxa"/>
            <w:vAlign w:val="bottom"/>
          </w:tcPr>
          <w:p>
            <w:pPr>
              <w:ind w:left="20"/>
              <w:spacing w:after="0"/>
              <w:rPr>
                <w:sz w:val="20"/>
                <w:szCs w:val="20"/>
                <w:color w:val="auto"/>
              </w:rPr>
            </w:pPr>
            <w:r>
              <w:rPr>
                <w:rFonts w:ascii="Arial" w:cs="Arial" w:eastAsia="Arial" w:hAnsi="Arial"/>
                <w:sz w:val="16"/>
                <w:szCs w:val="16"/>
                <w:color w:val="auto"/>
              </w:rPr>
              <w:t>Deferred Compensation Plan</w:t>
            </w:r>
          </w:p>
        </w:tc>
      </w:tr>
      <w:tr>
        <w:trPr>
          <w:trHeight w:val="216"/>
        </w:trPr>
        <w:tc>
          <w:tcPr>
            <w:tcW w:w="1000" w:type="dxa"/>
            <w:vAlign w:val="bottom"/>
            <w:gridSpan w:val="2"/>
          </w:tcPr>
          <w:p>
            <w:pPr>
              <w:ind w:left="20"/>
              <w:spacing w:after="0"/>
              <w:rPr>
                <w:sz w:val="20"/>
                <w:szCs w:val="20"/>
                <w:color w:val="auto"/>
              </w:rPr>
            </w:pPr>
            <w:r>
              <w:rPr>
                <w:rFonts w:ascii="Arial" w:cs="Arial" w:eastAsia="Arial" w:hAnsi="Arial"/>
                <w:sz w:val="16"/>
                <w:szCs w:val="16"/>
                <w:color w:val="auto"/>
              </w:rPr>
              <w:t>S-8</w:t>
            </w:r>
          </w:p>
        </w:tc>
        <w:tc>
          <w:tcPr>
            <w:tcW w:w="1260" w:type="dxa"/>
            <w:vAlign w:val="bottom"/>
          </w:tcPr>
          <w:p>
            <w:pPr>
              <w:ind w:left="20"/>
              <w:spacing w:after="0"/>
              <w:rPr>
                <w:sz w:val="20"/>
                <w:szCs w:val="20"/>
                <w:color w:val="auto"/>
              </w:rPr>
            </w:pPr>
            <w:r>
              <w:rPr>
                <w:rFonts w:ascii="Arial" w:cs="Arial" w:eastAsia="Arial" w:hAnsi="Arial"/>
                <w:sz w:val="16"/>
                <w:szCs w:val="16"/>
                <w:color w:val="auto"/>
              </w:rPr>
              <w:t>333-125304</w:t>
            </w:r>
          </w:p>
        </w:tc>
        <w:tc>
          <w:tcPr>
            <w:tcW w:w="360" w:type="dxa"/>
            <w:vAlign w:val="bottom"/>
          </w:tcPr>
          <w:p>
            <w:pPr>
              <w:spacing w:after="0"/>
              <w:rPr>
                <w:sz w:val="18"/>
                <w:szCs w:val="18"/>
                <w:color w:val="auto"/>
              </w:rPr>
            </w:pPr>
          </w:p>
        </w:tc>
        <w:tc>
          <w:tcPr>
            <w:tcW w:w="7580" w:type="dxa"/>
            <w:vAlign w:val="bottom"/>
          </w:tcPr>
          <w:p>
            <w:pPr>
              <w:ind w:left="20"/>
              <w:spacing w:after="0"/>
              <w:rPr>
                <w:sz w:val="20"/>
                <w:szCs w:val="20"/>
                <w:color w:val="auto"/>
              </w:rPr>
            </w:pPr>
            <w:r>
              <w:rPr>
                <w:rFonts w:ascii="Arial" w:cs="Arial" w:eastAsia="Arial" w:hAnsi="Arial"/>
                <w:sz w:val="16"/>
                <w:szCs w:val="16"/>
                <w:color w:val="auto"/>
              </w:rPr>
              <w:t>2005 Stock Incentive Plan</w:t>
            </w:r>
          </w:p>
        </w:tc>
      </w:tr>
      <w:tr>
        <w:trPr>
          <w:trHeight w:val="216"/>
        </w:trPr>
        <w:tc>
          <w:tcPr>
            <w:tcW w:w="1000" w:type="dxa"/>
            <w:vAlign w:val="bottom"/>
            <w:gridSpan w:val="2"/>
          </w:tcPr>
          <w:p>
            <w:pPr>
              <w:ind w:left="20"/>
              <w:spacing w:after="0"/>
              <w:rPr>
                <w:sz w:val="20"/>
                <w:szCs w:val="20"/>
                <w:color w:val="auto"/>
              </w:rPr>
            </w:pPr>
            <w:r>
              <w:rPr>
                <w:rFonts w:ascii="Arial" w:cs="Arial" w:eastAsia="Arial" w:hAnsi="Arial"/>
                <w:sz w:val="16"/>
                <w:szCs w:val="16"/>
                <w:color w:val="auto"/>
              </w:rPr>
              <w:t>S-8</w:t>
            </w:r>
          </w:p>
        </w:tc>
        <w:tc>
          <w:tcPr>
            <w:tcW w:w="1260" w:type="dxa"/>
            <w:vAlign w:val="bottom"/>
          </w:tcPr>
          <w:p>
            <w:pPr>
              <w:ind w:left="20"/>
              <w:spacing w:after="0"/>
              <w:rPr>
                <w:sz w:val="20"/>
                <w:szCs w:val="20"/>
                <w:color w:val="auto"/>
              </w:rPr>
            </w:pPr>
            <w:r>
              <w:rPr>
                <w:rFonts w:ascii="Arial" w:cs="Arial" w:eastAsia="Arial" w:hAnsi="Arial"/>
                <w:sz w:val="16"/>
                <w:szCs w:val="16"/>
                <w:color w:val="auto"/>
              </w:rPr>
              <w:t>333-170343</w:t>
            </w:r>
          </w:p>
        </w:tc>
        <w:tc>
          <w:tcPr>
            <w:tcW w:w="360" w:type="dxa"/>
            <w:vAlign w:val="bottom"/>
          </w:tcPr>
          <w:p>
            <w:pPr>
              <w:spacing w:after="0"/>
              <w:rPr>
                <w:sz w:val="18"/>
                <w:szCs w:val="18"/>
                <w:color w:val="auto"/>
              </w:rPr>
            </w:pPr>
          </w:p>
        </w:tc>
        <w:tc>
          <w:tcPr>
            <w:tcW w:w="7580" w:type="dxa"/>
            <w:vAlign w:val="bottom"/>
          </w:tcPr>
          <w:p>
            <w:pPr>
              <w:ind w:left="20"/>
              <w:spacing w:after="0"/>
              <w:rPr>
                <w:sz w:val="20"/>
                <w:szCs w:val="20"/>
                <w:color w:val="auto"/>
              </w:rPr>
            </w:pPr>
            <w:r>
              <w:rPr>
                <w:rFonts w:ascii="Arial" w:cs="Arial" w:eastAsia="Arial" w:hAnsi="Arial"/>
                <w:sz w:val="16"/>
                <w:szCs w:val="16"/>
                <w:color w:val="auto"/>
              </w:rPr>
              <w:t>2005 Stock Incentive Plan</w:t>
            </w:r>
          </w:p>
        </w:tc>
      </w:tr>
      <w:tr>
        <w:trPr>
          <w:trHeight w:val="216"/>
        </w:trPr>
        <w:tc>
          <w:tcPr>
            <w:tcW w:w="1000" w:type="dxa"/>
            <w:vAlign w:val="bottom"/>
            <w:gridSpan w:val="2"/>
          </w:tcPr>
          <w:p>
            <w:pPr>
              <w:ind w:left="20"/>
              <w:spacing w:after="0"/>
              <w:rPr>
                <w:sz w:val="20"/>
                <w:szCs w:val="20"/>
                <w:color w:val="auto"/>
              </w:rPr>
            </w:pPr>
            <w:r>
              <w:rPr>
                <w:rFonts w:ascii="Arial" w:cs="Arial" w:eastAsia="Arial" w:hAnsi="Arial"/>
                <w:sz w:val="16"/>
                <w:szCs w:val="16"/>
                <w:color w:val="auto"/>
              </w:rPr>
              <w:t>S-8</w:t>
            </w:r>
          </w:p>
        </w:tc>
        <w:tc>
          <w:tcPr>
            <w:tcW w:w="1260" w:type="dxa"/>
            <w:vAlign w:val="bottom"/>
          </w:tcPr>
          <w:p>
            <w:pPr>
              <w:ind w:left="20"/>
              <w:spacing w:after="0"/>
              <w:rPr>
                <w:sz w:val="20"/>
                <w:szCs w:val="20"/>
                <w:color w:val="auto"/>
              </w:rPr>
            </w:pPr>
            <w:r>
              <w:rPr>
                <w:rFonts w:ascii="Arial" w:cs="Arial" w:eastAsia="Arial" w:hAnsi="Arial"/>
                <w:sz w:val="16"/>
                <w:szCs w:val="16"/>
                <w:color w:val="auto"/>
              </w:rPr>
              <w:t>333-184914</w:t>
            </w:r>
          </w:p>
        </w:tc>
        <w:tc>
          <w:tcPr>
            <w:tcW w:w="360" w:type="dxa"/>
            <w:vAlign w:val="bottom"/>
          </w:tcPr>
          <w:p>
            <w:pPr>
              <w:spacing w:after="0"/>
              <w:rPr>
                <w:sz w:val="18"/>
                <w:szCs w:val="18"/>
                <w:color w:val="auto"/>
              </w:rPr>
            </w:pPr>
          </w:p>
        </w:tc>
        <w:tc>
          <w:tcPr>
            <w:tcW w:w="7580" w:type="dxa"/>
            <w:vAlign w:val="bottom"/>
          </w:tcPr>
          <w:p>
            <w:pPr>
              <w:ind w:left="20"/>
              <w:spacing w:after="0"/>
              <w:rPr>
                <w:sz w:val="20"/>
                <w:szCs w:val="20"/>
                <w:color w:val="auto"/>
              </w:rPr>
            </w:pPr>
            <w:r>
              <w:rPr>
                <w:rFonts w:ascii="Arial" w:cs="Arial" w:eastAsia="Arial" w:hAnsi="Arial"/>
                <w:sz w:val="16"/>
                <w:szCs w:val="16"/>
                <w:color w:val="auto"/>
              </w:rPr>
              <w:t>2005 Stock Incentive Plan</w:t>
            </w:r>
          </w:p>
        </w:tc>
      </w:tr>
      <w:tr>
        <w:trPr>
          <w:trHeight w:val="216"/>
        </w:trPr>
        <w:tc>
          <w:tcPr>
            <w:tcW w:w="1000" w:type="dxa"/>
            <w:vAlign w:val="bottom"/>
            <w:gridSpan w:val="2"/>
          </w:tcPr>
          <w:p>
            <w:pPr>
              <w:ind w:left="20"/>
              <w:spacing w:after="0"/>
              <w:rPr>
                <w:sz w:val="20"/>
                <w:szCs w:val="20"/>
                <w:color w:val="auto"/>
              </w:rPr>
            </w:pPr>
            <w:r>
              <w:rPr>
                <w:rFonts w:ascii="Arial" w:cs="Arial" w:eastAsia="Arial" w:hAnsi="Arial"/>
                <w:sz w:val="16"/>
                <w:szCs w:val="16"/>
                <w:color w:val="auto"/>
              </w:rPr>
              <w:t>S-8</w:t>
            </w:r>
          </w:p>
        </w:tc>
        <w:tc>
          <w:tcPr>
            <w:tcW w:w="1260" w:type="dxa"/>
            <w:vAlign w:val="bottom"/>
          </w:tcPr>
          <w:p>
            <w:pPr>
              <w:ind w:left="20"/>
              <w:spacing w:after="0"/>
              <w:rPr>
                <w:sz w:val="20"/>
                <w:szCs w:val="20"/>
                <w:color w:val="auto"/>
              </w:rPr>
            </w:pPr>
            <w:r>
              <w:rPr>
                <w:rFonts w:ascii="Arial" w:cs="Arial" w:eastAsia="Arial" w:hAnsi="Arial"/>
                <w:sz w:val="16"/>
                <w:szCs w:val="16"/>
                <w:color w:val="auto"/>
              </w:rPr>
              <w:t>333-206291</w:t>
            </w:r>
          </w:p>
        </w:tc>
        <w:tc>
          <w:tcPr>
            <w:tcW w:w="360" w:type="dxa"/>
            <w:vAlign w:val="bottom"/>
          </w:tcPr>
          <w:p>
            <w:pPr>
              <w:spacing w:after="0"/>
              <w:rPr>
                <w:sz w:val="18"/>
                <w:szCs w:val="18"/>
                <w:color w:val="auto"/>
              </w:rPr>
            </w:pPr>
          </w:p>
        </w:tc>
        <w:tc>
          <w:tcPr>
            <w:tcW w:w="7580" w:type="dxa"/>
            <w:vAlign w:val="bottom"/>
          </w:tcPr>
          <w:p>
            <w:pPr>
              <w:ind w:left="20"/>
              <w:spacing w:after="0"/>
              <w:rPr>
                <w:sz w:val="20"/>
                <w:szCs w:val="20"/>
                <w:color w:val="auto"/>
              </w:rPr>
            </w:pPr>
            <w:r>
              <w:rPr>
                <w:rFonts w:ascii="Arial" w:cs="Arial" w:eastAsia="Arial" w:hAnsi="Arial"/>
                <w:sz w:val="16"/>
                <w:szCs w:val="16"/>
                <w:color w:val="auto"/>
              </w:rPr>
              <w:t>2015 Stock Incentive Plan</w:t>
            </w:r>
          </w:p>
        </w:tc>
      </w:tr>
      <w:tr>
        <w:trPr>
          <w:trHeight w:val="216"/>
        </w:trPr>
        <w:tc>
          <w:tcPr>
            <w:tcW w:w="1000" w:type="dxa"/>
            <w:vAlign w:val="bottom"/>
            <w:gridSpan w:val="2"/>
          </w:tcPr>
          <w:p>
            <w:pPr>
              <w:ind w:left="20"/>
              <w:spacing w:after="0"/>
              <w:rPr>
                <w:sz w:val="20"/>
                <w:szCs w:val="20"/>
                <w:color w:val="auto"/>
              </w:rPr>
            </w:pPr>
            <w:r>
              <w:rPr>
                <w:rFonts w:ascii="Arial" w:cs="Arial" w:eastAsia="Arial" w:hAnsi="Arial"/>
                <w:sz w:val="16"/>
                <w:szCs w:val="16"/>
                <w:color w:val="auto"/>
              </w:rPr>
              <w:t>S-3</w:t>
            </w:r>
          </w:p>
        </w:tc>
        <w:tc>
          <w:tcPr>
            <w:tcW w:w="1260" w:type="dxa"/>
            <w:vAlign w:val="bottom"/>
          </w:tcPr>
          <w:p>
            <w:pPr>
              <w:ind w:left="20"/>
              <w:spacing w:after="0"/>
              <w:rPr>
                <w:sz w:val="20"/>
                <w:szCs w:val="20"/>
                <w:color w:val="auto"/>
              </w:rPr>
            </w:pPr>
            <w:r>
              <w:rPr>
                <w:rFonts w:ascii="Arial" w:cs="Arial" w:eastAsia="Arial" w:hAnsi="Arial"/>
                <w:sz w:val="16"/>
                <w:szCs w:val="16"/>
                <w:color w:val="auto"/>
              </w:rPr>
              <w:t>333-253582</w:t>
            </w:r>
          </w:p>
        </w:tc>
        <w:tc>
          <w:tcPr>
            <w:tcW w:w="360" w:type="dxa"/>
            <w:vAlign w:val="bottom"/>
          </w:tcPr>
          <w:p>
            <w:pPr>
              <w:spacing w:after="0"/>
              <w:rPr>
                <w:sz w:val="18"/>
                <w:szCs w:val="18"/>
                <w:color w:val="auto"/>
              </w:rPr>
            </w:pPr>
          </w:p>
        </w:tc>
        <w:tc>
          <w:tcPr>
            <w:tcW w:w="7580" w:type="dxa"/>
            <w:vAlign w:val="bottom"/>
          </w:tcPr>
          <w:p>
            <w:pPr>
              <w:ind w:left="20"/>
              <w:spacing w:after="0"/>
              <w:rPr>
                <w:sz w:val="20"/>
                <w:szCs w:val="20"/>
                <w:color w:val="auto"/>
              </w:rPr>
            </w:pPr>
            <w:r>
              <w:rPr>
                <w:rFonts w:ascii="Arial" w:cs="Arial" w:eastAsia="Arial" w:hAnsi="Arial"/>
                <w:sz w:val="16"/>
                <w:szCs w:val="16"/>
                <w:color w:val="auto"/>
              </w:rPr>
              <w:t>Shelf Registration</w:t>
            </w:r>
          </w:p>
        </w:tc>
      </w:tr>
    </w:tbl>
    <w:p>
      <w:pPr>
        <w:spacing w:after="0" w:line="325" w:lineRule="exact"/>
        <w:rPr>
          <w:sz w:val="20"/>
          <w:szCs w:val="20"/>
          <w:color w:val="auto"/>
        </w:rPr>
      </w:pPr>
    </w:p>
    <w:p>
      <w:pPr>
        <w:ind w:right="460"/>
        <w:spacing w:after="0" w:line="266" w:lineRule="auto"/>
        <w:rPr>
          <w:sz w:val="20"/>
          <w:szCs w:val="20"/>
          <w:color w:val="auto"/>
        </w:rPr>
      </w:pPr>
      <w:r>
        <w:rPr>
          <w:rFonts w:ascii="Arial" w:cs="Arial" w:eastAsia="Arial" w:hAnsi="Arial"/>
          <w:sz w:val="16"/>
          <w:szCs w:val="16"/>
          <w:color w:val="auto"/>
        </w:rPr>
        <w:t>of our reports dated February 23, 2024, with respect to the consolidated financial statements and schedules of American Financial Group, Inc. and subsidiaries and the effectiveness of internal control over financial reporting of American Financial Group, Inc. and subsidiaries, included in this Annual Report (Form 10-K) of American Financial Group, Inc. and subsidiaries for the year ended December 31, 2023.</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 Ernst &amp; Young LLP</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Cincinnati, Ohio</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February 23, 2024</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E-2</w:t>
      </w:r>
    </w:p>
    <w:p>
      <w:pPr>
        <w:sectPr>
          <w:pgSz w:w="11900" w:h="16838" w:orient="portrait"/>
          <w:cols w:equalWidth="0" w:num="1">
            <w:col w:w="11240"/>
          </w:cols>
          <w:pgMar w:left="320" w:top="895"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6"/>
          <w:szCs w:val="16"/>
          <w:b w:val="1"/>
          <w:bCs w:val="1"/>
          <w:color w:val="003366"/>
        </w:rPr>
        <w:t>Exhibit 31(a)</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SARBANES-OXLEY SECTION 302(a) CERTIFICATIONS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I, Carl H. Lindner III, certify that:</w:t>
      </w:r>
    </w:p>
    <w:p>
      <w:pPr>
        <w:spacing w:after="0" w:line="21" w:lineRule="exact"/>
        <w:rPr>
          <w:sz w:val="20"/>
          <w:szCs w:val="20"/>
          <w:color w:val="auto"/>
        </w:rPr>
      </w:pPr>
    </w:p>
    <w:p>
      <w:pPr>
        <w:ind w:left="340" w:hanging="332"/>
        <w:spacing w:after="0"/>
        <w:tabs>
          <w:tab w:leader="none" w:pos="3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American Financial Group, Inc.;</w:t>
      </w:r>
    </w:p>
    <w:p>
      <w:pPr>
        <w:spacing w:after="0" w:line="232" w:lineRule="exact"/>
        <w:rPr>
          <w:rFonts w:ascii="Arial" w:cs="Arial" w:eastAsia="Arial" w:hAnsi="Arial"/>
          <w:sz w:val="16"/>
          <w:szCs w:val="16"/>
          <w:color w:val="auto"/>
        </w:rPr>
      </w:pPr>
    </w:p>
    <w:p>
      <w:pPr>
        <w:jc w:val="both"/>
        <w:ind w:left="340" w:right="440" w:hanging="332"/>
        <w:spacing w:after="0" w:line="275" w:lineRule="auto"/>
        <w:tabs>
          <w:tab w:leader="none" w:pos="3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Arial" w:cs="Arial" w:eastAsia="Arial" w:hAnsi="Arial"/>
          <w:sz w:val="16"/>
          <w:szCs w:val="16"/>
          <w:color w:val="auto"/>
        </w:rPr>
      </w:pPr>
    </w:p>
    <w:p>
      <w:pPr>
        <w:ind w:left="340" w:right="560" w:hanging="332"/>
        <w:spacing w:after="0" w:line="286" w:lineRule="auto"/>
        <w:tabs>
          <w:tab w:leader="none" w:pos="3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ind w:left="340" w:right="180" w:hanging="332"/>
        <w:spacing w:after="0" w:line="275" w:lineRule="auto"/>
        <w:tabs>
          <w:tab w:leader="none" w:pos="3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Arial" w:cs="Arial" w:eastAsia="Arial" w:hAnsi="Arial"/>
          <w:sz w:val="16"/>
          <w:szCs w:val="16"/>
          <w:color w:val="auto"/>
        </w:rPr>
      </w:pPr>
    </w:p>
    <w:p>
      <w:pPr>
        <w:ind w:left="820" w:right="120" w:hanging="488"/>
        <w:spacing w:after="0" w:line="275" w:lineRule="auto"/>
        <w:tabs>
          <w:tab w:leader="none" w:pos="815" w:val="left"/>
        </w:tabs>
        <w:numPr>
          <w:ilvl w:val="1"/>
          <w:numId w:val="8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16"/>
          <w:szCs w:val="16"/>
          <w:color w:val="auto"/>
        </w:rPr>
      </w:pPr>
    </w:p>
    <w:p>
      <w:pPr>
        <w:ind w:left="820" w:right="20" w:hanging="488"/>
        <w:spacing w:after="0" w:line="266" w:lineRule="auto"/>
        <w:tabs>
          <w:tab w:leader="none" w:pos="815" w:val="left"/>
        </w:tabs>
        <w:numPr>
          <w:ilvl w:val="1"/>
          <w:numId w:val="8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jc w:val="both"/>
        <w:ind w:left="820" w:right="660" w:hanging="488"/>
        <w:spacing w:after="0" w:line="286" w:lineRule="auto"/>
        <w:tabs>
          <w:tab w:leader="none" w:pos="820" w:val="left"/>
        </w:tabs>
        <w:numPr>
          <w:ilvl w:val="1"/>
          <w:numId w:val="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6"/>
          <w:szCs w:val="16"/>
          <w:color w:val="auto"/>
        </w:rPr>
      </w:pPr>
    </w:p>
    <w:p>
      <w:pPr>
        <w:ind w:left="820" w:right="220" w:hanging="488"/>
        <w:spacing w:after="0" w:line="286" w:lineRule="auto"/>
        <w:tabs>
          <w:tab w:leader="none" w:pos="815" w:val="left"/>
        </w:tabs>
        <w:numPr>
          <w:ilvl w:val="1"/>
          <w:numId w:val="8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2" w:lineRule="exact"/>
        <w:rPr>
          <w:rFonts w:ascii="Arial" w:cs="Arial" w:eastAsia="Arial" w:hAnsi="Arial"/>
          <w:sz w:val="16"/>
          <w:szCs w:val="16"/>
          <w:color w:val="auto"/>
        </w:rPr>
      </w:pPr>
    </w:p>
    <w:p>
      <w:pPr>
        <w:ind w:left="340" w:right="420" w:hanging="332"/>
        <w:spacing w:after="0" w:line="304" w:lineRule="auto"/>
        <w:tabs>
          <w:tab w:leader="none" w:pos="3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820" w:right="300" w:hanging="488"/>
        <w:spacing w:after="0" w:line="304" w:lineRule="auto"/>
        <w:tabs>
          <w:tab w:leader="none" w:pos="815" w:val="left"/>
        </w:tabs>
        <w:numPr>
          <w:ilvl w:val="1"/>
          <w:numId w:val="8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820" w:right="240" w:hanging="488"/>
        <w:spacing w:after="0" w:line="286" w:lineRule="auto"/>
        <w:tabs>
          <w:tab w:leader="none" w:pos="815" w:val="left"/>
        </w:tabs>
        <w:numPr>
          <w:ilvl w:val="1"/>
          <w:numId w:val="8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37" w:lineRule="exact"/>
        <w:rPr>
          <w:sz w:val="20"/>
          <w:szCs w:val="20"/>
          <w:color w:val="auto"/>
        </w:rPr>
      </w:pPr>
    </w:p>
    <w:p>
      <w:pPr>
        <w:ind w:left="460"/>
        <w:spacing w:after="0"/>
        <w:tabs>
          <w:tab w:leader="none" w:pos="5800" w:val="left"/>
          <w:tab w:leader="none" w:pos="6240" w:val="left"/>
        </w:tabs>
        <w:rPr>
          <w:sz w:val="20"/>
          <w:szCs w:val="20"/>
          <w:color w:val="auto"/>
        </w:rPr>
      </w:pPr>
      <w:r>
        <w:rPr>
          <w:rFonts w:ascii="Arial" w:cs="Arial" w:eastAsia="Arial" w:hAnsi="Arial"/>
          <w:sz w:val="16"/>
          <w:szCs w:val="16"/>
          <w:color w:val="auto"/>
        </w:rPr>
        <w:t>February 23, 2024</w:t>
      </w:r>
      <w:r>
        <w:rPr>
          <w:sz w:val="20"/>
          <w:szCs w:val="20"/>
          <w:color w:val="auto"/>
        </w:rPr>
        <w:tab/>
      </w:r>
      <w:r>
        <w:rPr>
          <w:rFonts w:ascii="Arial" w:cs="Arial" w:eastAsia="Arial" w:hAnsi="Arial"/>
          <w:sz w:val="16"/>
          <w:szCs w:val="16"/>
          <w:color w:val="auto"/>
        </w:rPr>
        <w:t>By:</w:t>
        <w:tab/>
        <w:t>/s/ Carl H. Lindner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20955</wp:posOffset>
            </wp:positionV>
            <wp:extent cx="28289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6"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Carl H. Lindner III</w:t>
      </w:r>
    </w:p>
    <w:p>
      <w:pPr>
        <w:spacing w:after="0" w:line="32"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Co-Chief Executive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E-3</w:t>
      </w:r>
    </w:p>
    <w:p>
      <w:pPr>
        <w:sectPr>
          <w:pgSz w:w="11900" w:h="16838" w:orient="portrait"/>
          <w:cols w:equalWidth="0" w:num="1">
            <w:col w:w="11240"/>
          </w:cols>
          <w:pgMar w:left="320" w:top="895"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6"/>
          <w:szCs w:val="16"/>
          <w:b w:val="1"/>
          <w:bCs w:val="1"/>
          <w:color w:val="003366"/>
        </w:rPr>
        <w:t>Exhibit 31(b)</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SARBANES-OXLEY SECTION 302(a) CERTIFICATIONS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I, S. Craig Lindner, certify that:</w:t>
      </w:r>
    </w:p>
    <w:p>
      <w:pPr>
        <w:spacing w:after="0" w:line="21" w:lineRule="exact"/>
        <w:rPr>
          <w:sz w:val="20"/>
          <w:szCs w:val="20"/>
          <w:color w:val="auto"/>
        </w:rPr>
      </w:pPr>
    </w:p>
    <w:p>
      <w:pPr>
        <w:ind w:left="340" w:hanging="332"/>
        <w:spacing w:after="0"/>
        <w:tabs>
          <w:tab w:leader="none" w:pos="3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American Financial Group, Inc.;</w:t>
      </w:r>
    </w:p>
    <w:p>
      <w:pPr>
        <w:spacing w:after="0" w:line="232" w:lineRule="exact"/>
        <w:rPr>
          <w:rFonts w:ascii="Arial" w:cs="Arial" w:eastAsia="Arial" w:hAnsi="Arial"/>
          <w:sz w:val="16"/>
          <w:szCs w:val="16"/>
          <w:color w:val="auto"/>
        </w:rPr>
      </w:pPr>
    </w:p>
    <w:p>
      <w:pPr>
        <w:jc w:val="both"/>
        <w:ind w:left="340" w:right="440" w:hanging="332"/>
        <w:spacing w:after="0" w:line="275" w:lineRule="auto"/>
        <w:tabs>
          <w:tab w:leader="none" w:pos="3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Arial" w:cs="Arial" w:eastAsia="Arial" w:hAnsi="Arial"/>
          <w:sz w:val="16"/>
          <w:szCs w:val="16"/>
          <w:color w:val="auto"/>
        </w:rPr>
      </w:pPr>
    </w:p>
    <w:p>
      <w:pPr>
        <w:ind w:left="340" w:right="560" w:hanging="332"/>
        <w:spacing w:after="0" w:line="286" w:lineRule="auto"/>
        <w:tabs>
          <w:tab w:leader="none" w:pos="3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ind w:left="340" w:right="180" w:hanging="332"/>
        <w:spacing w:after="0" w:line="275" w:lineRule="auto"/>
        <w:tabs>
          <w:tab w:leader="none" w:pos="3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Arial" w:cs="Arial" w:eastAsia="Arial" w:hAnsi="Arial"/>
          <w:sz w:val="16"/>
          <w:szCs w:val="16"/>
          <w:color w:val="auto"/>
        </w:rPr>
      </w:pPr>
    </w:p>
    <w:p>
      <w:pPr>
        <w:ind w:left="820" w:right="120" w:hanging="488"/>
        <w:spacing w:after="0" w:line="275" w:lineRule="auto"/>
        <w:tabs>
          <w:tab w:leader="none" w:pos="815" w:val="left"/>
        </w:tabs>
        <w:numPr>
          <w:ilvl w:val="1"/>
          <w:numId w:val="8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16"/>
          <w:szCs w:val="16"/>
          <w:color w:val="auto"/>
        </w:rPr>
      </w:pPr>
    </w:p>
    <w:p>
      <w:pPr>
        <w:ind w:left="820" w:right="20" w:hanging="488"/>
        <w:spacing w:after="0" w:line="266" w:lineRule="auto"/>
        <w:tabs>
          <w:tab w:leader="none" w:pos="815" w:val="left"/>
        </w:tabs>
        <w:numPr>
          <w:ilvl w:val="1"/>
          <w:numId w:val="8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jc w:val="both"/>
        <w:ind w:left="820" w:right="660" w:hanging="488"/>
        <w:spacing w:after="0" w:line="286" w:lineRule="auto"/>
        <w:tabs>
          <w:tab w:leader="none" w:pos="820" w:val="left"/>
        </w:tabs>
        <w:numPr>
          <w:ilvl w:val="1"/>
          <w:numId w:val="8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6"/>
          <w:szCs w:val="16"/>
          <w:color w:val="auto"/>
        </w:rPr>
      </w:pPr>
    </w:p>
    <w:p>
      <w:pPr>
        <w:ind w:left="820" w:right="220" w:hanging="488"/>
        <w:spacing w:after="0" w:line="286" w:lineRule="auto"/>
        <w:tabs>
          <w:tab w:leader="none" w:pos="815" w:val="left"/>
        </w:tabs>
        <w:numPr>
          <w:ilvl w:val="1"/>
          <w:numId w:val="8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2" w:lineRule="exact"/>
        <w:rPr>
          <w:rFonts w:ascii="Arial" w:cs="Arial" w:eastAsia="Arial" w:hAnsi="Arial"/>
          <w:sz w:val="16"/>
          <w:szCs w:val="16"/>
          <w:color w:val="auto"/>
        </w:rPr>
      </w:pPr>
    </w:p>
    <w:p>
      <w:pPr>
        <w:ind w:left="340" w:right="420" w:hanging="332"/>
        <w:spacing w:after="0" w:line="304" w:lineRule="auto"/>
        <w:tabs>
          <w:tab w:leader="none" w:pos="3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820" w:right="300" w:hanging="488"/>
        <w:spacing w:after="0" w:line="304" w:lineRule="auto"/>
        <w:tabs>
          <w:tab w:leader="none" w:pos="815" w:val="left"/>
        </w:tabs>
        <w:numPr>
          <w:ilvl w:val="1"/>
          <w:numId w:val="8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820" w:right="240" w:hanging="488"/>
        <w:spacing w:after="0" w:line="286" w:lineRule="auto"/>
        <w:tabs>
          <w:tab w:leader="none" w:pos="815" w:val="left"/>
        </w:tabs>
        <w:numPr>
          <w:ilvl w:val="1"/>
          <w:numId w:val="8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37" w:lineRule="exact"/>
        <w:rPr>
          <w:sz w:val="20"/>
          <w:szCs w:val="20"/>
          <w:color w:val="auto"/>
        </w:rPr>
      </w:pPr>
    </w:p>
    <w:p>
      <w:pPr>
        <w:ind w:left="460"/>
        <w:spacing w:after="0"/>
        <w:tabs>
          <w:tab w:leader="none" w:pos="5800" w:val="left"/>
          <w:tab w:leader="none" w:pos="6240" w:val="left"/>
        </w:tabs>
        <w:rPr>
          <w:sz w:val="20"/>
          <w:szCs w:val="20"/>
          <w:color w:val="auto"/>
        </w:rPr>
      </w:pPr>
      <w:r>
        <w:rPr>
          <w:rFonts w:ascii="Arial" w:cs="Arial" w:eastAsia="Arial" w:hAnsi="Arial"/>
          <w:sz w:val="16"/>
          <w:szCs w:val="16"/>
          <w:color w:val="auto"/>
        </w:rPr>
        <w:t>February 23, 2024</w:t>
      </w:r>
      <w:r>
        <w:rPr>
          <w:sz w:val="20"/>
          <w:szCs w:val="20"/>
          <w:color w:val="auto"/>
        </w:rPr>
        <w:tab/>
      </w:r>
      <w:r>
        <w:rPr>
          <w:rFonts w:ascii="Arial" w:cs="Arial" w:eastAsia="Arial" w:hAnsi="Arial"/>
          <w:sz w:val="16"/>
          <w:szCs w:val="16"/>
          <w:color w:val="auto"/>
        </w:rPr>
        <w:t>By:</w:t>
        <w:tab/>
        <w:t>/s/ S. Craig Lindner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20955</wp:posOffset>
            </wp:positionV>
            <wp:extent cx="28289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6"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S. Craig Lindner</w:t>
      </w:r>
    </w:p>
    <w:p>
      <w:pPr>
        <w:spacing w:after="0" w:line="32"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Co-Chief Executive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E-4</w:t>
      </w:r>
    </w:p>
    <w:p>
      <w:pPr>
        <w:sectPr>
          <w:pgSz w:w="11900" w:h="16838" w:orient="portrait"/>
          <w:cols w:equalWidth="0" w:num="1">
            <w:col w:w="11240"/>
          </w:cols>
          <w:pgMar w:left="320" w:top="895"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6"/>
          <w:szCs w:val="16"/>
          <w:b w:val="1"/>
          <w:bCs w:val="1"/>
          <w:color w:val="003366"/>
        </w:rPr>
        <w:t>Exhibit 31(c)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SARBANES-OXLEY SECTION 302(a) CERTIFICATIONS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I, Brian S. Hertzman, certify that:</w:t>
      </w:r>
    </w:p>
    <w:p>
      <w:pPr>
        <w:spacing w:after="0" w:line="21" w:lineRule="exact"/>
        <w:rPr>
          <w:sz w:val="20"/>
          <w:szCs w:val="20"/>
          <w:color w:val="auto"/>
        </w:rPr>
      </w:pPr>
    </w:p>
    <w:p>
      <w:pPr>
        <w:ind w:left="340" w:hanging="332"/>
        <w:spacing w:after="0"/>
        <w:tabs>
          <w:tab w:leader="none" w:pos="3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American Financial Group, Inc.;</w:t>
      </w:r>
    </w:p>
    <w:p>
      <w:pPr>
        <w:spacing w:after="0" w:line="232" w:lineRule="exact"/>
        <w:rPr>
          <w:rFonts w:ascii="Arial" w:cs="Arial" w:eastAsia="Arial" w:hAnsi="Arial"/>
          <w:sz w:val="16"/>
          <w:szCs w:val="16"/>
          <w:color w:val="auto"/>
        </w:rPr>
      </w:pPr>
    </w:p>
    <w:p>
      <w:pPr>
        <w:jc w:val="both"/>
        <w:ind w:left="340" w:right="440" w:hanging="332"/>
        <w:spacing w:after="0" w:line="275" w:lineRule="auto"/>
        <w:tabs>
          <w:tab w:leader="none" w:pos="3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Arial" w:cs="Arial" w:eastAsia="Arial" w:hAnsi="Arial"/>
          <w:sz w:val="16"/>
          <w:szCs w:val="16"/>
          <w:color w:val="auto"/>
        </w:rPr>
      </w:pPr>
    </w:p>
    <w:p>
      <w:pPr>
        <w:ind w:left="340" w:right="560" w:hanging="332"/>
        <w:spacing w:after="0" w:line="286" w:lineRule="auto"/>
        <w:tabs>
          <w:tab w:leader="none" w:pos="3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6"/>
          <w:szCs w:val="16"/>
          <w:color w:val="auto"/>
        </w:rPr>
      </w:pPr>
    </w:p>
    <w:p>
      <w:pPr>
        <w:ind w:left="340" w:right="180" w:hanging="332"/>
        <w:spacing w:after="0" w:line="275" w:lineRule="auto"/>
        <w:tabs>
          <w:tab w:leader="none" w:pos="3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Arial" w:cs="Arial" w:eastAsia="Arial" w:hAnsi="Arial"/>
          <w:sz w:val="16"/>
          <w:szCs w:val="16"/>
          <w:color w:val="auto"/>
        </w:rPr>
      </w:pPr>
    </w:p>
    <w:p>
      <w:pPr>
        <w:ind w:left="820" w:right="120" w:hanging="488"/>
        <w:spacing w:after="0" w:line="275" w:lineRule="auto"/>
        <w:tabs>
          <w:tab w:leader="none" w:pos="815" w:val="left"/>
        </w:tabs>
        <w:numPr>
          <w:ilvl w:val="1"/>
          <w:numId w:val="8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16"/>
          <w:szCs w:val="16"/>
          <w:color w:val="auto"/>
        </w:rPr>
      </w:pPr>
    </w:p>
    <w:p>
      <w:pPr>
        <w:ind w:left="820" w:right="20" w:hanging="488"/>
        <w:spacing w:after="0" w:line="266" w:lineRule="auto"/>
        <w:tabs>
          <w:tab w:leader="none" w:pos="815" w:val="left"/>
        </w:tabs>
        <w:numPr>
          <w:ilvl w:val="1"/>
          <w:numId w:val="8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6"/>
          <w:szCs w:val="16"/>
          <w:color w:val="auto"/>
        </w:rPr>
      </w:pPr>
    </w:p>
    <w:p>
      <w:pPr>
        <w:jc w:val="both"/>
        <w:ind w:left="820" w:right="660" w:hanging="488"/>
        <w:spacing w:after="0" w:line="286" w:lineRule="auto"/>
        <w:tabs>
          <w:tab w:leader="none" w:pos="820" w:val="left"/>
        </w:tabs>
        <w:numPr>
          <w:ilvl w:val="1"/>
          <w:numId w:val="8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Arial" w:cs="Arial" w:eastAsia="Arial" w:hAnsi="Arial"/>
          <w:sz w:val="16"/>
          <w:szCs w:val="16"/>
          <w:color w:val="auto"/>
        </w:rPr>
      </w:pPr>
    </w:p>
    <w:p>
      <w:pPr>
        <w:ind w:left="820" w:right="220" w:hanging="488"/>
        <w:spacing w:after="0" w:line="286" w:lineRule="auto"/>
        <w:tabs>
          <w:tab w:leader="none" w:pos="815" w:val="left"/>
        </w:tabs>
        <w:numPr>
          <w:ilvl w:val="1"/>
          <w:numId w:val="8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2" w:lineRule="exact"/>
        <w:rPr>
          <w:rFonts w:ascii="Arial" w:cs="Arial" w:eastAsia="Arial" w:hAnsi="Arial"/>
          <w:sz w:val="16"/>
          <w:szCs w:val="16"/>
          <w:color w:val="auto"/>
        </w:rPr>
      </w:pPr>
    </w:p>
    <w:p>
      <w:pPr>
        <w:ind w:left="340" w:right="420" w:hanging="332"/>
        <w:spacing w:after="0" w:line="304" w:lineRule="auto"/>
        <w:tabs>
          <w:tab w:leader="none" w:pos="3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820" w:right="300" w:hanging="488"/>
        <w:spacing w:after="0" w:line="304" w:lineRule="auto"/>
        <w:tabs>
          <w:tab w:leader="none" w:pos="815" w:val="left"/>
        </w:tabs>
        <w:numPr>
          <w:ilvl w:val="1"/>
          <w:numId w:val="8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820" w:right="240" w:hanging="488"/>
        <w:spacing w:after="0" w:line="286" w:lineRule="auto"/>
        <w:tabs>
          <w:tab w:leader="none" w:pos="815" w:val="left"/>
        </w:tabs>
        <w:numPr>
          <w:ilvl w:val="1"/>
          <w:numId w:val="8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37" w:lineRule="exact"/>
        <w:rPr>
          <w:sz w:val="20"/>
          <w:szCs w:val="20"/>
          <w:color w:val="auto"/>
        </w:rPr>
      </w:pPr>
    </w:p>
    <w:p>
      <w:pPr>
        <w:ind w:left="460"/>
        <w:spacing w:after="0"/>
        <w:tabs>
          <w:tab w:leader="none" w:pos="5680" w:val="left"/>
          <w:tab w:leader="none" w:pos="6120" w:val="left"/>
        </w:tabs>
        <w:rPr>
          <w:sz w:val="20"/>
          <w:szCs w:val="20"/>
          <w:color w:val="auto"/>
        </w:rPr>
      </w:pPr>
      <w:r>
        <w:rPr>
          <w:rFonts w:ascii="Arial" w:cs="Arial" w:eastAsia="Arial" w:hAnsi="Arial"/>
          <w:sz w:val="16"/>
          <w:szCs w:val="16"/>
          <w:color w:val="auto"/>
        </w:rPr>
        <w:t>February 23, 2024</w:t>
      </w:r>
      <w:r>
        <w:rPr>
          <w:sz w:val="20"/>
          <w:szCs w:val="20"/>
          <w:color w:val="auto"/>
        </w:rPr>
        <w:tab/>
      </w:r>
      <w:r>
        <w:rPr>
          <w:rFonts w:ascii="Arial" w:cs="Arial" w:eastAsia="Arial" w:hAnsi="Arial"/>
          <w:sz w:val="16"/>
          <w:szCs w:val="16"/>
          <w:color w:val="auto"/>
        </w:rPr>
        <w:t>By:</w:t>
        <w:tab/>
        <w:t>/s/ Brian S. Hertzman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20955</wp:posOffset>
            </wp:positionV>
            <wp:extent cx="29057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2">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26"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Brian S. Hertzman</w:t>
      </w:r>
    </w:p>
    <w:p>
      <w:pPr>
        <w:spacing w:after="0" w:line="32"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E-5</w:t>
      </w:r>
    </w:p>
    <w:p>
      <w:pPr>
        <w:sectPr>
          <w:pgSz w:w="11900" w:h="16838" w:orient="portrait"/>
          <w:cols w:equalWidth="0" w:num="1">
            <w:col w:w="11240"/>
          </w:cols>
          <w:pgMar w:left="320" w:top="895"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6"/>
          <w:szCs w:val="16"/>
          <w:b w:val="1"/>
          <w:bCs w:val="1"/>
          <w:color w:val="003366"/>
        </w:rPr>
        <w:t>Exhibit 32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CERTIFICATION OF CHIEF EXECUTIVE OFFICER AND CHIEF FINANCIAL OFFICER</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PURSUANT TO SECTION 906 OF THE SARBANES-OXLEY ACT OF 2002</w:t>
      </w:r>
    </w:p>
    <w:p>
      <w:pPr>
        <w:spacing w:after="0" w:line="200" w:lineRule="exact"/>
        <w:rPr>
          <w:sz w:val="20"/>
          <w:szCs w:val="20"/>
          <w:color w:val="auto"/>
        </w:rPr>
      </w:pPr>
    </w:p>
    <w:p>
      <w:pPr>
        <w:spacing w:after="0" w:line="275"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In connection with the filing with the Securities and Exchange Commission of the Annual Report of American Financial Group, Inc. (the “Company”) on Form 10-K for the period ended December 31, 2023 (the “Report”), the undersigned officers of the Company, certify, pursuant to section 906 of the Sarbanes-Oxley Act of 2002, that to the best of their knowledge:</w:t>
      </w:r>
    </w:p>
    <w:p>
      <w:pPr>
        <w:spacing w:after="0" w:line="191" w:lineRule="exact"/>
        <w:rPr>
          <w:sz w:val="20"/>
          <w:szCs w:val="20"/>
          <w:color w:val="auto"/>
        </w:rPr>
      </w:pPr>
    </w:p>
    <w:p>
      <w:pPr>
        <w:ind w:left="660" w:hanging="328"/>
        <w:spacing w:after="0"/>
        <w:tabs>
          <w:tab w:leader="none" w:pos="6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Act of 1934; and</w:t>
      </w:r>
    </w:p>
    <w:p>
      <w:pPr>
        <w:spacing w:after="0" w:line="261" w:lineRule="exact"/>
        <w:rPr>
          <w:rFonts w:ascii="Arial" w:cs="Arial" w:eastAsia="Arial" w:hAnsi="Arial"/>
          <w:sz w:val="16"/>
          <w:szCs w:val="16"/>
          <w:color w:val="auto"/>
        </w:rPr>
      </w:pPr>
    </w:p>
    <w:p>
      <w:pPr>
        <w:ind w:left="660" w:hanging="328"/>
        <w:spacing w:after="0"/>
        <w:tabs>
          <w:tab w:leader="none" w:pos="6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ectPr>
          <w:pgSz w:w="11900" w:h="16838" w:orient="portrait"/>
          <w:cols w:equalWidth="0" w:num="1">
            <w:col w:w="11240"/>
          </w:cols>
          <w:pgMar w:left="320" w:top="895" w:right="339" w:bottom="1440" w:gutter="0" w:footer="0" w:header="0"/>
        </w:sectPr>
      </w:pPr>
    </w:p>
    <w:p>
      <w:pPr>
        <w:spacing w:after="0" w:line="3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17411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3">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17411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4">
                      <a:extLst>
                        <a:ext uri="{28A0092B-C50C-407E-A947-70E740481C1C}"/>
                      </a:extLst>
                    </a:blip>
                    <a:srcRect/>
                    <a:stretch>
                      <a:fillRect/>
                    </a:stretch>
                  </pic:blipFill>
                  <pic:spPr bwMode="auto">
                    <a:xfrm>
                      <a:off x="0" y="0"/>
                      <a:ext cx="1174115"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1741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5">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By:</w:t>
        <w:tab/>
        <w:t>/s/ Carl H. Lindner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20955</wp:posOffset>
            </wp:positionV>
            <wp:extent cx="31375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6">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Carl H. Lindner III</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Co-Chief Executive Officer</w:t>
      </w:r>
    </w:p>
    <w:p>
      <w:pPr>
        <w:spacing w:after="0" w:line="302"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By:</w:t>
        <w:tab/>
        <w:t>/s/ S. Craig Lindner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20955</wp:posOffset>
            </wp:positionV>
            <wp:extent cx="31375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7">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2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 Craig Lindner</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Co-Chief Executive Officer</w:t>
      </w:r>
    </w:p>
    <w:p>
      <w:pPr>
        <w:spacing w:after="0" w:line="302"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By:</w:t>
        <w:tab/>
        <w:t>/s/ Brian S. Hertzman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20955</wp:posOffset>
            </wp:positionV>
            <wp:extent cx="31375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8">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Brian S. Hertzman</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Senior Vice President and Chief Financial Officer</w:t>
      </w:r>
    </w:p>
    <w:p>
      <w:pPr>
        <w:spacing w:after="0" w:line="200" w:lineRule="exact"/>
        <w:rPr>
          <w:sz w:val="20"/>
          <w:szCs w:val="20"/>
          <w:color w:val="auto"/>
        </w:rPr>
      </w:pPr>
    </w:p>
    <w:p>
      <w:pPr>
        <w:sectPr>
          <w:pgSz w:w="11900" w:h="16838" w:orient="portrait"/>
          <w:cols w:equalWidth="0" w:num="2">
            <w:col w:w="5180" w:space="720"/>
            <w:col w:w="5340"/>
          </w:cols>
          <w:pgMar w:left="320" w:top="89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2560" w:right="2540"/>
        <w:spacing w:after="0" w:line="296" w:lineRule="auto"/>
        <w:rPr>
          <w:sz w:val="20"/>
          <w:szCs w:val="20"/>
          <w:color w:val="auto"/>
        </w:rPr>
      </w:pPr>
      <w:r>
        <w:rPr>
          <w:rFonts w:ascii="Arial" w:cs="Arial" w:eastAsia="Arial" w:hAnsi="Arial"/>
          <w:sz w:val="16"/>
          <w:szCs w:val="16"/>
          <w:b w:val="1"/>
          <w:bCs w:val="1"/>
          <w:color w:val="auto"/>
        </w:rPr>
        <w:t>A signed original of this written statement will be retained by the Registrant and furnished to the Securities and Exchange Commission or its staff upon request.</w:t>
      </w:r>
    </w:p>
    <w:p>
      <w:pPr>
        <w:sectPr>
          <w:pgSz w:w="11900" w:h="16838" w:orient="portrait"/>
          <w:cols w:equalWidth="0" w:num="1">
            <w:col w:w="11240"/>
          </w:cols>
          <w:pgMar w:left="320" w:top="89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E-6</w:t>
      </w:r>
    </w:p>
    <w:p>
      <w:pPr>
        <w:sectPr>
          <w:pgSz w:w="11900" w:h="16838" w:orient="portrait"/>
          <w:cols w:equalWidth="0" w:num="1">
            <w:col w:w="11240"/>
          </w:cols>
          <w:pgMar w:left="320" w:top="895" w:right="339" w:bottom="1440" w:gutter="0" w:footer="0" w:header="0"/>
          <w:type w:val="continuous"/>
        </w:sectPr>
      </w:pPr>
    </w:p>
    <w:bookmarkStart w:id="145" w:name="page146"/>
    <w:bookmarkEnd w:id="145"/>
    <w:p>
      <w:pPr>
        <w:jc w:val="right"/>
        <w:spacing w:after="0"/>
        <w:rPr>
          <w:sz w:val="20"/>
          <w:szCs w:val="20"/>
          <w:color w:val="auto"/>
        </w:rPr>
      </w:pPr>
      <w:r>
        <w:rPr>
          <w:rFonts w:ascii="Calibri" w:cs="Calibri" w:eastAsia="Calibri" w:hAnsi="Calibri"/>
          <w:sz w:val="20"/>
          <w:szCs w:val="20"/>
          <w:i w:val="1"/>
          <w:iCs w:val="1"/>
          <w:color w:val="auto"/>
        </w:rPr>
        <w:t>As approved on November 9,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AMERICAN FINANCIAL GROUP, INC. EXECUTIVE OFFICER CLAWBACK POLICY</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FF0000"/>
        </w:rPr>
        <w:t>Introduction</w:t>
      </w:r>
    </w:p>
    <w:p>
      <w:pPr>
        <w:spacing w:after="0" w:line="25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2"/>
          <w:szCs w:val="22"/>
          <w:color w:val="auto"/>
        </w:rPr>
        <w:t>American Financial Group, Inc. (“AFG”) and its subsidiaries the (collectively, the “Company”) believe that it is in the best interests of AFG and its shareholders to maintain a culture that emphasizes integrity and accountability and that reinforces the AFG compensation program’s pay-for-performance philosophy of maximizing shareholder value by designing and implementing programs that tie compensation earned to AFG’s short-term and long-term performance.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FF0000"/>
        </w:rPr>
        <w:t>Purpose</w:t>
      </w:r>
    </w:p>
    <w:p>
      <w:pPr>
        <w:spacing w:after="0" w:line="251" w:lineRule="exact"/>
        <w:rPr>
          <w:sz w:val="20"/>
          <w:szCs w:val="20"/>
          <w:color w:val="auto"/>
        </w:rPr>
      </w:pPr>
    </w:p>
    <w:p>
      <w:pPr>
        <w:jc w:val="both"/>
        <w:ind w:right="320"/>
        <w:spacing w:after="0" w:line="268" w:lineRule="auto"/>
        <w:rPr>
          <w:sz w:val="20"/>
          <w:szCs w:val="20"/>
          <w:color w:val="auto"/>
        </w:rPr>
      </w:pPr>
      <w:r>
        <w:rPr>
          <w:rFonts w:ascii="Times New Roman" w:cs="Times New Roman" w:eastAsia="Times New Roman" w:hAnsi="Times New Roman"/>
          <w:sz w:val="21"/>
          <w:szCs w:val="21"/>
          <w:color w:val="auto"/>
        </w:rPr>
        <w:t>This Clawback Policy (“Policy”) provides for the recoupment of certain executive compensation in the event of an accounting restatement resulting from material noncompliance with financial reporting requirements under the federal securities laws. As such, this Policy is designed to comply with Section 10D of the Securities Exchange Act of 1934, as amended (the “Exchange Act”), and Section 303A.14 of the New York Stock Exchange Listed Company Manual (the “NYSE Manual”).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FF0000"/>
        </w:rPr>
        <w:t>Administration</w:t>
      </w:r>
    </w:p>
    <w:p>
      <w:pPr>
        <w:spacing w:after="0" w:line="264"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22"/>
          <w:szCs w:val="22"/>
          <w:color w:val="auto"/>
        </w:rPr>
        <w:t>This Policy shall be administered by the Compensation Committee (the “Committee”) of the Board of Directors. The Committee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Section 303A.14 of the NYSE Manual, each as amended from time to time. Any determinations made by the Committee shall be final and binding on all affected individuals.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FF0000"/>
        </w:rPr>
        <w:t>Scope</w:t>
      </w:r>
    </w:p>
    <w:p>
      <w:pPr>
        <w:spacing w:after="0" w:line="251" w:lineRule="exact"/>
        <w:rPr>
          <w:sz w:val="20"/>
          <w:szCs w:val="20"/>
          <w:color w:val="auto"/>
        </w:rPr>
      </w:pPr>
    </w:p>
    <w:p>
      <w:pPr>
        <w:ind w:right="580"/>
        <w:spacing w:after="0" w:line="271" w:lineRule="auto"/>
        <w:rPr>
          <w:sz w:val="20"/>
          <w:szCs w:val="20"/>
          <w:color w:val="auto"/>
        </w:rPr>
      </w:pPr>
      <w:r>
        <w:rPr>
          <w:rFonts w:ascii="Times New Roman" w:cs="Times New Roman" w:eastAsia="Times New Roman" w:hAnsi="Times New Roman"/>
          <w:sz w:val="22"/>
          <w:szCs w:val="22"/>
          <w:color w:val="auto"/>
        </w:rPr>
        <w:t>This Policy applies to the Company’s current and former executive officers who the Company has determined constitute an “officer” as defined in Rule 16a-1(f) of the Exchange Act (“Covered Executives”).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FF0000"/>
        </w:rPr>
        <w:t>Policy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Accounting Restatement</w:t>
      </w:r>
    </w:p>
    <w:p>
      <w:pPr>
        <w:spacing w:after="0" w:line="264"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22"/>
          <w:szCs w:val="22"/>
          <w:color w:val="auto"/>
        </w:rPr>
        <w:t>For purposes of this Policy, “Accounting Restatement” shall include instances in which the Company is required to prepare an accounting restatement due to the material noncompliance of AFG with any financial reporting requirement under the securities laws, including any required accounting restatement to correct an error (i) in previously issued financial statements that is material to the previously issued financial statements, or (ii) that that would result in a material misstatement if the error were corrected in the current period or left uncorrected in the current period.</w:t>
      </w:r>
    </w:p>
    <w:p>
      <w:pPr>
        <w:sectPr>
          <w:pgSz w:w="11900" w:h="16838" w:orient="portrait"/>
          <w:cols w:equalWidth="0" w:num="1">
            <w:col w:w="11240"/>
          </w:cols>
          <w:pgMar w:left="320" w:top="105"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22"/>
          <w:szCs w:val="22"/>
          <w:b w:val="1"/>
          <w:bCs w:val="1"/>
          <w:color w:val="auto"/>
        </w:rPr>
        <w:t>Incentive Compensation</w:t>
      </w:r>
    </w:p>
    <w:p>
      <w:pPr>
        <w:spacing w:after="0" w:line="32"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2"/>
          <w:szCs w:val="22"/>
          <w:color w:val="auto"/>
        </w:rPr>
        <w:t>Under this Policy, “Incentive Compensation” means any compensation (and only that portion of compensation) that is granted, earned, or vested based wholly or in part on the attainment of a financial reporting measure. Incentive Compensation may include both short-term and long-term compensation. Any compensation (or portion of compensation) that is granted, earned, or vested on a basis other than the attainment of a financial reporting measure, including without limitation compensation that is granted, earned, or vested on a discretionary basis or is time-based, does not constitute “Incentive Compensation”.</w:t>
      </w:r>
    </w:p>
    <w:p>
      <w:pPr>
        <w:spacing w:after="0" w:line="21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Financial reporting measures include, without limitation, (i) operating earnings per share, (ii) Specialty Property &amp; Casualty earnings; (iii) book value per share; and (iv) annual return on equity. The Company reserves the right to change the form of short-or long-term compensation and the financial measures it utilizes in its compensation program from time to time, and any resulting changes may be subject to this Policy.</w:t>
      </w:r>
    </w:p>
    <w:p>
      <w:pPr>
        <w:spacing w:after="0" w:line="20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21"/>
          <w:szCs w:val="21"/>
          <w:color w:val="auto"/>
        </w:rPr>
        <w:t>This Policy applies to Incentive Compensation received by a Covered Executive (a) on or after the effective date of Section 303A.14 of the NYSE Manual, (ii) after beginning service as a Covered Executive, (b) who served as a Covered Executive at any time during the applicable performance period relating to any Incentive Compensation (whether or not such Covered Executive is serving at the time the Excess Incentive Compensation is required to be repaid), (iv) while AFG has a class of securities listed on a national securities exchange or a national securities association, (v) during the Clawback Period (as defined below).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Excess Incentive Compensation: Amount Subject to Recovery</w:t>
      </w:r>
    </w:p>
    <w:p>
      <w:pPr>
        <w:spacing w:after="0" w:line="25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2"/>
          <w:szCs w:val="22"/>
          <w:color w:val="auto"/>
        </w:rPr>
        <w:t>The amount to be recovered will be the excess of the Incentive Compensation paid to the Covered Executive based on the erroneous data over the Incentive Compensation that would have been paid to the Covered Executive had it been based on the restated results, as determined by the Company and computed without regard to any taxes being paid, subject to the approval of the Committee (“Excess Incentive Compensation”).</w:t>
      </w:r>
    </w:p>
    <w:p>
      <w:pPr>
        <w:spacing w:after="0" w:line="203" w:lineRule="exact"/>
        <w:rPr>
          <w:sz w:val="20"/>
          <w:szCs w:val="20"/>
          <w:color w:val="auto"/>
        </w:rPr>
      </w:pPr>
    </w:p>
    <w:p>
      <w:pPr>
        <w:ind w:right="340"/>
        <w:spacing w:after="0" w:line="257" w:lineRule="auto"/>
        <w:rPr>
          <w:sz w:val="20"/>
          <w:szCs w:val="20"/>
          <w:color w:val="auto"/>
        </w:rPr>
      </w:pPr>
      <w:r>
        <w:rPr>
          <w:rFonts w:ascii="Times New Roman" w:cs="Times New Roman" w:eastAsia="Times New Roman" w:hAnsi="Times New Roman"/>
          <w:sz w:val="22"/>
          <w:szCs w:val="22"/>
          <w:color w:val="auto"/>
        </w:rPr>
        <w:t>If the Company cannot determine the amount of Excess Incentive Compensation received by the Covered Executive directly from the information in the Accounting Restatement, then it will make its determination based on a reasonable estimate of the effect of the Accounting Restatement.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Recoupment</w:t>
      </w:r>
    </w:p>
    <w:p>
      <w:pPr>
        <w:spacing w:after="0" w:line="264"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22"/>
          <w:szCs w:val="22"/>
          <w:color w:val="auto"/>
        </w:rPr>
        <w:t>In the event AFG is required to prepare an Accounting Restatement, the Company will, on a reasonably promptly basis, require the reimbursement or forfeiture of any Excess Incentive Compensation received by any Covered Executive during the three completed fiscal years immediately preceding the date on which the Company is required to prepare an Accounting Restatement (“Clawback Period”). Incentive Compensation shall be deemed to be received in the Company’s fiscal period during which the financial reporting measure specified in the Incentive Compensation award is attained (even if the payment or grant of the Incentive Compensation occurs after the end of that period).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31" w:right="339" w:bottom="1440" w:gutter="0" w:footer="0" w:header="0"/>
        </w:sectPr>
      </w:pPr>
    </w:p>
    <w:bookmarkStart w:id="147" w:name="page148"/>
    <w:bookmarkEnd w:id="147"/>
    <w:p>
      <w:pPr>
        <w:spacing w:after="0" w:line="271" w:lineRule="auto"/>
        <w:rPr>
          <w:sz w:val="20"/>
          <w:szCs w:val="20"/>
          <w:color w:val="auto"/>
        </w:rPr>
      </w:pPr>
      <w:r>
        <w:rPr>
          <w:rFonts w:ascii="Times New Roman" w:cs="Times New Roman" w:eastAsia="Times New Roman" w:hAnsi="Times New Roman"/>
          <w:sz w:val="22"/>
          <w:szCs w:val="22"/>
          <w:color w:val="auto"/>
        </w:rPr>
        <w:t>The Company shall promptly notify each Covered Executive with a written notice containing the amount of any Excess Incentive Compensation and a demand for repayment or return of such compensation, as applicable.</w:t>
      </w:r>
    </w:p>
    <w:p>
      <w:pPr>
        <w:spacing w:after="0" w:line="185"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22"/>
          <w:szCs w:val="22"/>
          <w:color w:val="auto"/>
        </w:rPr>
        <w:t>The Committee shall have discretion to determine the appropriate means of recovering Excess Incentive Compensation based on the particular facts and circumstances. Notwithstanding the foregoing, except as set forth in the “Impracticability” section below, in no event may the Company accept an amount that is less than the amount of Excess Incentive Compensation in satisfaction of a Covered Executive’s obligations under this Policy.</w:t>
      </w:r>
    </w:p>
    <w:p>
      <w:pPr>
        <w:spacing w:after="0" w:line="20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1"/>
          <w:szCs w:val="21"/>
          <w:color w:val="auto"/>
        </w:rPr>
        <w:t>To the extent that the Covered Executive has already reimbursed the Company for any Excess Incentive Compensation under any duplicative recovery obligations established by the Company or applicable law, it shall be appropriate for any such reimbursed amount to be credited to the amount of Excess Incentive Compensation that is subject to recovery under this Policy.</w:t>
      </w:r>
    </w:p>
    <w:p>
      <w:pPr>
        <w:spacing w:after="0" w:line="178" w:lineRule="exact"/>
        <w:rPr>
          <w:sz w:val="20"/>
          <w:szCs w:val="20"/>
          <w:color w:val="auto"/>
        </w:rPr>
      </w:pPr>
    </w:p>
    <w:p>
      <w:pPr>
        <w:jc w:val="both"/>
        <w:ind w:right="540"/>
        <w:spacing w:after="0" w:line="257" w:lineRule="auto"/>
        <w:rPr>
          <w:sz w:val="20"/>
          <w:szCs w:val="20"/>
          <w:color w:val="auto"/>
        </w:rPr>
      </w:pPr>
      <w:r>
        <w:rPr>
          <w:rFonts w:ascii="Times New Roman" w:cs="Times New Roman" w:eastAsia="Times New Roman" w:hAnsi="Times New Roman"/>
          <w:sz w:val="22"/>
          <w:szCs w:val="22"/>
          <w:color w:val="auto"/>
        </w:rPr>
        <w:t>For Incentive Compensation based on (or derived from) AFG’s stock price or total shareholder return, where the amount of Excess Incentive Compensation is not subject to mathematical recalculation directly from the information in the applicable Accounting Restatement:</w:t>
      </w:r>
    </w:p>
    <w:p>
      <w:pPr>
        <w:spacing w:after="0" w:line="200" w:lineRule="exact"/>
        <w:rPr>
          <w:sz w:val="20"/>
          <w:szCs w:val="20"/>
          <w:color w:val="auto"/>
        </w:rPr>
      </w:pPr>
    </w:p>
    <w:p>
      <w:pPr>
        <w:ind w:left="1300" w:right="180" w:hanging="644"/>
        <w:spacing w:after="0" w:line="263" w:lineRule="auto"/>
        <w:tabs>
          <w:tab w:leader="none" w:pos="1288"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to be repaid or returned shall be determined by the Committee based on a reasonable estimate of the effect of the Accounting Restatement on the Company’s stock price or total shareholder return upon which the Incentive-based Compensation was Received; and</w:t>
      </w:r>
    </w:p>
    <w:p>
      <w:pPr>
        <w:spacing w:after="0" w:line="194" w:lineRule="exact"/>
        <w:rPr>
          <w:rFonts w:ascii="Times New Roman" w:cs="Times New Roman" w:eastAsia="Times New Roman" w:hAnsi="Times New Roman"/>
          <w:sz w:val="22"/>
          <w:szCs w:val="22"/>
          <w:color w:val="auto"/>
        </w:rPr>
      </w:pPr>
    </w:p>
    <w:p>
      <w:pPr>
        <w:ind w:left="1300" w:right="420" w:hanging="644"/>
        <w:spacing w:after="0" w:line="271" w:lineRule="auto"/>
        <w:tabs>
          <w:tab w:leader="none" w:pos="129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maintain documentation of the determination of such reasonable estimate and provide the relevant documentation as required to the NYSE.</w:t>
      </w:r>
    </w:p>
    <w:p>
      <w:pPr>
        <w:spacing w:after="0" w:line="18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2"/>
          <w:szCs w:val="22"/>
          <w:color w:val="auto"/>
        </w:rPr>
        <w:t>In the event a Covered Executive fails to repay all Excess Incentive Compensation to the Company when due, the Company shall take all actions reasonable and appropriate to recover such Excess Incentive Compensation from such Executive Officer. The applicable Covered Executive shall be required to reimburse the Company for any and all expenses reasonably incurred (including legal fees) by the Company in recovering such Excess Incentive Compensation in accordance with the immediately preceding sentence.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Other Recoupment Rights</w:t>
      </w:r>
    </w:p>
    <w:p>
      <w:pPr>
        <w:spacing w:after="0" w:line="25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2"/>
          <w:szCs w:val="22"/>
          <w:color w:val="auto"/>
        </w:rPr>
        <w:t>Notwithstanding that this Policy shall apply to the fullest extent of the law to any Incentive Compensation, the Committee may require that any employment agreement, equity award agreement, or similar agreement entered into on or after the effective date of this Policy shall, as a condition to the grant of any benefit thereunder, require a Covered Executive to agree to abide by the terms of this Policy. 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00"/>
          </w:cols>
          <w:pgMar w:left="320" w:top="1435" w:right="37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22"/>
          <w:szCs w:val="22"/>
          <w:b w:val="1"/>
          <w:bCs w:val="1"/>
          <w:color w:val="auto"/>
        </w:rPr>
        <w:t>No Indemnification or Insurance</w:t>
      </w:r>
    </w:p>
    <w:p>
      <w:pPr>
        <w:spacing w:after="0" w:line="2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2"/>
          <w:szCs w:val="22"/>
          <w:color w:val="auto"/>
        </w:rPr>
        <w:t>The Company shall not indemnify or insure any Covered Executive against the loss of any Excess Incentive Compensation. Further, the Company shall not enter into any agreement that exempts any Incentive Compensation that is granted, paid or awarded to a Covered Executive from the application of this Policy or that waives the Company’s right to recovery of any Excess Incentive Compensation, and this Policy shall supersede any such agreement (whether entered into before, on or after the effectiveness of this Policy).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Impracticability</w:t>
      </w:r>
    </w:p>
    <w:p>
      <w:pPr>
        <w:spacing w:after="0" w:line="251"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22"/>
          <w:szCs w:val="22"/>
          <w:color w:val="auto"/>
        </w:rPr>
        <w:t>Notwithstanding anything in this Policy to the contrary, the Company shall not be required to take the actions contemplated by the “Recoupment” section above if the Committee determines that (a) recovery would be impracticable and (b) either of the following two conditions are met:</w:t>
      </w:r>
    </w:p>
    <w:p>
      <w:pPr>
        <w:spacing w:after="0" w:line="194" w:lineRule="exact"/>
        <w:rPr>
          <w:sz w:val="20"/>
          <w:szCs w:val="20"/>
          <w:color w:val="auto"/>
        </w:rPr>
      </w:pPr>
    </w:p>
    <w:p>
      <w:pPr>
        <w:ind w:left="980" w:right="280" w:hanging="648"/>
        <w:spacing w:after="0" w:line="257" w:lineRule="auto"/>
        <w:tabs>
          <w:tab w:leader="none" w:pos="975"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direct expenses paid to a third party to assist in enforcing the Policy would exceed the amount to be recovered. Before making this determination, the Company must make a reasonable attempt to recover the Excess Incentive Compensation, documented such attempt(s) and provided such documentation; or</w:t>
      </w:r>
    </w:p>
    <w:p>
      <w:pPr>
        <w:spacing w:after="0" w:line="199" w:lineRule="exact"/>
        <w:rPr>
          <w:rFonts w:ascii="Times New Roman" w:cs="Times New Roman" w:eastAsia="Times New Roman" w:hAnsi="Times New Roman"/>
          <w:sz w:val="22"/>
          <w:szCs w:val="22"/>
          <w:color w:val="auto"/>
        </w:rPr>
      </w:pPr>
    </w:p>
    <w:p>
      <w:pPr>
        <w:ind w:left="980" w:right="40" w:hanging="648"/>
        <w:spacing w:after="0" w:line="263" w:lineRule="auto"/>
        <w:tabs>
          <w:tab w:leader="none" w:pos="975"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would likely cause an otherwise tax-qualified retirement plan, under which benefits are broadly available to employees of the Company, to fail to meet the requirements of Section 401(a)(13) or Section 411(a) of the Internal Revenue Code of 1986, as amended, and regulations thereunder.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Amendment</w:t>
      </w:r>
    </w:p>
    <w:p>
      <w:pPr>
        <w:spacing w:after="0" w:line="21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22"/>
          <w:szCs w:val="22"/>
          <w:color w:val="auto"/>
        </w:rPr>
        <w:t>The Company may amend this Policy from time to time as it deems necessary to reflect final regulations adopted by the Securities and Exchange Commission under Section 10D of the Exchange Act and to comply with any rules or standards adopted by the New York Stock Exchange, whether pursuant to Section 303A.14 of the NYSE Manual or otherwise.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Successors</w:t>
      </w:r>
    </w:p>
    <w:p>
      <w:pPr>
        <w:spacing w:after="0" w:line="251" w:lineRule="exact"/>
        <w:rPr>
          <w:sz w:val="20"/>
          <w:szCs w:val="20"/>
          <w:color w:val="auto"/>
        </w:rPr>
      </w:pPr>
    </w:p>
    <w:p>
      <w:pPr>
        <w:ind w:right="1120"/>
        <w:spacing w:after="0" w:line="271" w:lineRule="auto"/>
        <w:rPr>
          <w:sz w:val="20"/>
          <w:szCs w:val="20"/>
          <w:color w:val="auto"/>
        </w:rPr>
      </w:pPr>
      <w:r>
        <w:rPr>
          <w:rFonts w:ascii="Times New Roman" w:cs="Times New Roman" w:eastAsia="Times New Roman" w:hAnsi="Times New Roman"/>
          <w:sz w:val="22"/>
          <w:szCs w:val="22"/>
          <w:color w:val="auto"/>
        </w:rPr>
        <w:t>This Policy shall be binding and enforceable against all Covered Executives and their beneficiaries, heirs, executors, administrators or other legal representatives.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Interpretation</w:t>
      </w:r>
    </w:p>
    <w:p>
      <w:pPr>
        <w:spacing w:after="0" w:line="251"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22"/>
          <w:szCs w:val="22"/>
          <w:color w:val="auto"/>
        </w:rPr>
        <w:t>The terms of Section 10D of the Exchange Act and Section 303A.14 of the NYSE Manual shall control in the event of any conflict with or ambiguity in the terms of this Policy.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FF0000"/>
        </w:rPr>
        <w:t>Questions and Contacts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Mark Weiss</w:t>
            </w:r>
          </w:p>
        </w:tc>
        <w:tc>
          <w:tcPr>
            <w:tcW w:w="1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513-579-2520</w:t>
            </w:r>
          </w:p>
        </w:tc>
      </w:tr>
      <w:tr>
        <w:trPr>
          <w:trHeight w:val="459"/>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Joe Alter</w:t>
            </w:r>
          </w:p>
        </w:tc>
        <w:tc>
          <w:tcPr>
            <w:tcW w:w="156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513-362-0158</w:t>
            </w:r>
          </w:p>
        </w:tc>
      </w:tr>
    </w:tbl>
    <w:p>
      <w:pPr>
        <w:spacing w:after="0" w:line="3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4</w:t>
      </w:r>
    </w:p>
    <w:sectPr>
      <w:pgSz w:w="11900" w:h="16838" w:orient="portrait"/>
      <w:cols w:equalWidth="0" w:num="1">
        <w:col w:w="11200"/>
      </w:cols>
      <w:pgMar w:left="320" w:top="143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1)"/>
      <w:numFmt w:val="lowerLetter"/>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1)"/>
      <w:numFmt w:val="lowerLetter"/>
      <w:start w:val="1"/>
    </w:lvl>
  </w:abstractNum>
  <w:abstractNum w:abstractNumId="13">
    <w:nsid w:val="79A1DEAA"/>
    <w:multiLevelType w:val="hybridMultilevel"/>
    <w:lvl w:ilvl="0">
      <w:lvlJc w:val="left"/>
      <w:lvlText w:val="(%1)"/>
      <w:numFmt w:val="lowerLetter"/>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1)"/>
      <w:numFmt w:val="lowerLetter"/>
      <w:start w:val="1"/>
    </w:lvl>
  </w:abstractNum>
  <w:abstractNum w:abstractNumId="16">
    <w:nsid w:val="70C6A529"/>
    <w:multiLevelType w:val="hybridMultilevel"/>
    <w:lvl w:ilvl="0">
      <w:lvlJc w:val="left"/>
      <w:lvlText w:val="(%1)"/>
      <w:numFmt w:val="lowerLetter"/>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
      <w:numFmt w:val="bullet"/>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
      <w:numFmt w:val="bullet"/>
      <w:start w:val="1"/>
    </w:lvl>
  </w:abstractNum>
  <w:abstractNum w:abstractNumId="23">
    <w:nsid w:val="39386575"/>
    <w:multiLevelType w:val="hybridMultilevel"/>
    <w:lvl w:ilvl="0">
      <w:lvlJc w:val="left"/>
      <w:lvlText w:val="(%1)"/>
      <w:numFmt w:val="lowerLetter"/>
      <w:start w:val="1"/>
    </w:lvl>
  </w:abstractNum>
  <w:abstractNum w:abstractNumId="24">
    <w:nsid w:val="1CF10FD8"/>
    <w:multiLevelType w:val="hybridMultilevel"/>
    <w:lvl w:ilvl="0">
      <w:lvlJc w:val="left"/>
      <w:lvlText w:val="(%1)"/>
      <w:numFmt w:val="lowerLetter"/>
      <w:start w:val="1"/>
    </w:lvl>
  </w:abstractNum>
  <w:abstractNum w:abstractNumId="25">
    <w:nsid w:val="180115BE"/>
    <w:multiLevelType w:val="hybridMultilevel"/>
    <w:lvl w:ilvl="0">
      <w:lvlJc w:val="left"/>
      <w:lvlText w:val="(%1)"/>
      <w:numFmt w:val="lowerLetter"/>
      <w:start w:val="1"/>
    </w:lvl>
  </w:abstractNum>
  <w:abstractNum w:abstractNumId="26">
    <w:nsid w:val="235BA861"/>
    <w:multiLevelType w:val="hybridMultilevel"/>
    <w:lvl w:ilvl="0">
      <w:lvlJc w:val="left"/>
      <w:lvlText w:val="(*)"/>
      <w:numFmt w:val="bullet"/>
      <w:start w:val="1"/>
    </w:lvl>
  </w:abstractNum>
  <w:abstractNum w:abstractNumId="27">
    <w:nsid w:val="47398C89"/>
    <w:multiLevelType w:val="hybridMultilevel"/>
    <w:lvl w:ilvl="0">
      <w:lvlJc w:val="left"/>
      <w:lvlText w:val="(*)"/>
      <w:numFmt w:val="bullet"/>
      <w:start w:val="1"/>
    </w:lvl>
  </w:abstractNum>
  <w:abstractNum w:abstractNumId="28">
    <w:nsid w:val="354FE9F9"/>
    <w:multiLevelType w:val="hybridMultilevel"/>
    <w:lvl w:ilvl="0">
      <w:lvlJc w:val="left"/>
      <w:lvlText w:val="(*)"/>
      <w:numFmt w:val="bullet"/>
      <w:start w:val="1"/>
    </w:lvl>
  </w:abstractNum>
  <w:abstractNum w:abstractNumId="29">
    <w:nsid w:val="15B5AF5C"/>
    <w:multiLevelType w:val="hybridMultilevel"/>
    <w:lvl w:ilvl="0">
      <w:lvlJc w:val="left"/>
      <w:lvlText w:val="(*)"/>
      <w:numFmt w:val="bullet"/>
      <w:start w:val="1"/>
    </w:lvl>
  </w:abstractNum>
  <w:abstractNum w:abstractNumId="30">
    <w:nsid w:val="741226BB"/>
    <w:multiLevelType w:val="hybridMultilevel"/>
    <w:lvl w:ilvl="0">
      <w:lvlJc w:val="left"/>
      <w:lvlText w:val="(*)"/>
      <w:numFmt w:val="bullet"/>
      <w:start w:val="1"/>
    </w:lvl>
  </w:abstractNum>
  <w:abstractNum w:abstractNumId="31">
    <w:nsid w:val="D34B6A8"/>
    <w:multiLevelType w:val="hybridMultilevel"/>
    <w:lvl w:ilvl="0">
      <w:lvlJc w:val="left"/>
      <w:lvlText w:val="(*)"/>
      <w:numFmt w:val="bullet"/>
      <w:start w:val="1"/>
    </w:lvl>
  </w:abstractNum>
  <w:abstractNum w:abstractNumId="32">
    <w:nsid w:val="10233C99"/>
    <w:multiLevelType w:val="hybridMultilevel"/>
    <w:lvl w:ilvl="0">
      <w:lvlJc w:val="left"/>
      <w:lvlText w:val="(*)"/>
      <w:numFmt w:val="bullet"/>
      <w:start w:val="1"/>
    </w:lvl>
  </w:abstractNum>
  <w:abstractNum w:abstractNumId="33">
    <w:nsid w:val="3F6AB60F"/>
    <w:multiLevelType w:val="hybridMultilevel"/>
    <w:lvl w:ilvl="0">
      <w:lvlJc w:val="left"/>
      <w:lvlText w:val="(*)"/>
      <w:numFmt w:val="bullet"/>
      <w:start w:val="1"/>
    </w:lvl>
  </w:abstractNum>
  <w:abstractNum w:abstractNumId="34">
    <w:nsid w:val="61574095"/>
    <w:multiLevelType w:val="hybridMultilevel"/>
    <w:lvl w:ilvl="0">
      <w:lvlJc w:val="left"/>
      <w:lvlText w:val="(%1)"/>
      <w:numFmt w:val="decimal"/>
      <w:start w:val="2"/>
    </w:lvl>
  </w:abstractNum>
  <w:abstractNum w:abstractNumId="35">
    <w:nsid w:val="7E0C57B1"/>
    <w:multiLevelType w:val="hybridMultilevel"/>
    <w:lvl w:ilvl="0">
      <w:lvlJc w:val="left"/>
      <w:lvlText w:val="%1."/>
      <w:numFmt w:val="upperLetter"/>
      <w:start w:val="1"/>
    </w:lvl>
  </w:abstractNum>
  <w:abstractNum w:abstractNumId="36">
    <w:nsid w:val="77AE35EB"/>
    <w:multiLevelType w:val="hybridMultilevel"/>
    <w:lvl w:ilvl="0">
      <w:lvlJc w:val="left"/>
      <w:lvlText w:val="\emdash "/>
      <w:numFmt w:val="bullet"/>
      <w:start w:val="1"/>
    </w:lvl>
  </w:abstractNum>
  <w:abstractNum w:abstractNumId="37">
    <w:nsid w:val="579BE4F1"/>
    <w:multiLevelType w:val="hybridMultilevel"/>
    <w:lvl w:ilvl="0">
      <w:lvlJc w:val="left"/>
      <w:lvlText w:val="(%1)"/>
      <w:numFmt w:val="lowerRoman"/>
      <w:start w:val="3"/>
    </w:lvl>
  </w:abstractNum>
  <w:abstractNum w:abstractNumId="38">
    <w:nsid w:val="310C50B3"/>
    <w:multiLevelType w:val="hybridMultilevel"/>
    <w:lvl w:ilvl="0">
      <w:lvlJc w:val="left"/>
      <w:lvlText w:val="(*)"/>
      <w:numFmt w:val="bullet"/>
      <w:start w:val="1"/>
    </w:lvl>
  </w:abstractNum>
  <w:abstractNum w:abstractNumId="39">
    <w:nsid w:val="5FF87E05"/>
    <w:multiLevelType w:val="hybridMultilevel"/>
    <w:lvl w:ilvl="0">
      <w:lvlJc w:val="left"/>
      <w:lvlText w:val="$"/>
      <w:numFmt w:val="bullet"/>
      <w:start w:val="1"/>
    </w:lvl>
  </w:abstractNum>
  <w:abstractNum w:abstractNumId="40">
    <w:nsid w:val="2F305DEF"/>
    <w:multiLevelType w:val="hybridMultilevel"/>
    <w:lvl w:ilvl="0">
      <w:lvlJc w:val="left"/>
      <w:lvlText w:val="(*)"/>
      <w:numFmt w:val="bullet"/>
      <w:start w:val="1"/>
    </w:lvl>
  </w:abstractNum>
  <w:abstractNum w:abstractNumId="41">
    <w:nsid w:val="25A70BF7"/>
    <w:multiLevelType w:val="hybridMultilevel"/>
    <w:lvl w:ilvl="0">
      <w:lvlJc w:val="left"/>
      <w:lvlText w:val="%1."/>
      <w:numFmt w:val="upperLetter"/>
      <w:start w:val="3"/>
    </w:lvl>
  </w:abstractNum>
  <w:abstractNum w:abstractNumId="42">
    <w:nsid w:val="1DBABF00"/>
    <w:multiLevelType w:val="hybridMultilevel"/>
    <w:lvl w:ilvl="0">
      <w:lvlJc w:val="left"/>
      <w:lvlText w:val="(*)"/>
      <w:numFmt w:val="bullet"/>
      <w:start w:val="1"/>
    </w:lvl>
  </w:abstractNum>
  <w:abstractNum w:abstractNumId="43">
    <w:nsid w:val="4AD084E9"/>
    <w:multiLevelType w:val="hybridMultilevel"/>
    <w:lvl w:ilvl="0">
      <w:lvlJc w:val="left"/>
      <w:lvlText w:val="(*)"/>
      <w:numFmt w:val="bullet"/>
      <w:start w:val="1"/>
    </w:lvl>
  </w:abstractNum>
  <w:abstractNum w:abstractNumId="44">
    <w:nsid w:val="1F48EAA1"/>
    <w:multiLevelType w:val="hybridMultilevel"/>
    <w:lvl w:ilvl="0">
      <w:lvlJc w:val="left"/>
      <w:lvlText w:val="%1."/>
      <w:numFmt w:val="upperLetter"/>
      <w:start w:val="4"/>
    </w:lvl>
  </w:abstractNum>
  <w:abstractNum w:abstractNumId="45">
    <w:nsid w:val="1381823A"/>
    <w:multiLevelType w:val="hybridMultilevel"/>
    <w:lvl w:ilvl="0">
      <w:lvlJc w:val="left"/>
      <w:lvlText w:val="(*)"/>
      <w:numFmt w:val="bullet"/>
      <w:start w:val="1"/>
    </w:lvl>
  </w:abstractNum>
  <w:abstractNum w:abstractNumId="46">
    <w:nsid w:val="5DB70AE5"/>
    <w:multiLevelType w:val="hybridMultilevel"/>
    <w:lvl w:ilvl="0">
      <w:lvlJc w:val="left"/>
      <w:lvlText w:val="(*)"/>
      <w:numFmt w:val="bullet"/>
      <w:start w:val="1"/>
    </w:lvl>
  </w:abstractNum>
  <w:abstractNum w:abstractNumId="47">
    <w:nsid w:val="100F8FCA"/>
    <w:multiLevelType w:val="hybridMultilevel"/>
    <w:lvl w:ilvl="0">
      <w:lvlJc w:val="left"/>
      <w:lvlText w:val="(%1)"/>
      <w:numFmt w:val="lowerLetter"/>
      <w:start w:val="1"/>
    </w:lvl>
  </w:abstractNum>
  <w:abstractNum w:abstractNumId="48">
    <w:nsid w:val="6590700B"/>
    <w:multiLevelType w:val="hybridMultilevel"/>
    <w:lvl w:ilvl="0">
      <w:lvlJc w:val="left"/>
      <w:lvlText w:val="%1."/>
      <w:numFmt w:val="upperLetter"/>
      <w:start w:val="5"/>
    </w:lvl>
  </w:abstractNum>
  <w:abstractNum w:abstractNumId="49">
    <w:nsid w:val="15014ACB"/>
    <w:multiLevelType w:val="hybridMultilevel"/>
    <w:lvl w:ilvl="0">
      <w:lvlJc w:val="left"/>
      <w:lvlText w:val="%1."/>
      <w:numFmt w:val="upperLetter"/>
      <w:start w:val="6"/>
    </w:lvl>
  </w:abstractNum>
  <w:abstractNum w:abstractNumId="50">
    <w:nsid w:val="5F5E7FD0"/>
    <w:multiLevelType w:val="hybridMultilevel"/>
    <w:lvl w:ilvl="0">
      <w:lvlJc w:val="left"/>
      <w:lvlText w:val="(*)"/>
      <w:numFmt w:val="bullet"/>
      <w:start w:val="1"/>
    </w:lvl>
  </w:abstractNum>
  <w:abstractNum w:abstractNumId="51">
    <w:nsid w:val="98A3148"/>
    <w:multiLevelType w:val="hybridMultilevel"/>
    <w:lvl w:ilvl="0">
      <w:lvlJc w:val="left"/>
      <w:lvlText w:val="(*)"/>
      <w:numFmt w:val="bullet"/>
      <w:start w:val="1"/>
    </w:lvl>
  </w:abstractNum>
  <w:abstractNum w:abstractNumId="52">
    <w:nsid w:val="799D0247"/>
    <w:multiLevelType w:val="hybridMultilevel"/>
    <w:lvl w:ilvl="0">
      <w:lvlJc w:val="left"/>
      <w:lvlText w:val="(*)"/>
      <w:numFmt w:val="bullet"/>
      <w:start w:val="1"/>
    </w:lvl>
  </w:abstractNum>
  <w:abstractNum w:abstractNumId="53">
    <w:nsid w:val="6B94764"/>
    <w:multiLevelType w:val="hybridMultilevel"/>
    <w:lvl w:ilvl="0">
      <w:lvlJc w:val="left"/>
      <w:lvlText w:val="(%1)"/>
      <w:numFmt w:val="lowerLetter"/>
      <w:start w:val="1"/>
    </w:lvl>
  </w:abstractNum>
  <w:abstractNum w:abstractNumId="54">
    <w:nsid w:val="42C296BD"/>
    <w:multiLevelType w:val="hybridMultilevel"/>
    <w:lvl w:ilvl="0">
      <w:lvlJc w:val="left"/>
      <w:lvlText w:val="%1."/>
      <w:numFmt w:val="upperLetter"/>
      <w:start w:val="7"/>
    </w:lvl>
  </w:abstractNum>
  <w:abstractNum w:abstractNumId="55">
    <w:nsid w:val="168E121F"/>
    <w:multiLevelType w:val="hybridMultilevel"/>
    <w:lvl w:ilvl="0">
      <w:lvlJc w:val="left"/>
      <w:lvlText w:val="(*)"/>
      <w:numFmt w:val="bullet"/>
      <w:start w:val="1"/>
    </w:lvl>
  </w:abstractNum>
  <w:abstractNum w:abstractNumId="56">
    <w:nsid w:val="1EBA5D23"/>
    <w:multiLevelType w:val="hybridMultilevel"/>
    <w:lvl w:ilvl="0">
      <w:lvlJc w:val="left"/>
      <w:lvlText w:val="%1."/>
      <w:numFmt w:val="upperLetter"/>
      <w:start w:val="8"/>
    </w:lvl>
  </w:abstractNum>
  <w:abstractNum w:abstractNumId="57">
    <w:nsid w:val="661E3F1E"/>
    <w:multiLevelType w:val="hybridMultilevel"/>
    <w:lvl w:ilvl="0">
      <w:lvlJc w:val="left"/>
      <w:lvlText w:val="(*)"/>
      <w:numFmt w:val="bullet"/>
      <w:start w:val="1"/>
    </w:lvl>
  </w:abstractNum>
  <w:abstractNum w:abstractNumId="58">
    <w:nsid w:val="5DC79EA8"/>
    <w:multiLevelType w:val="hybridMultilevel"/>
    <w:lvl w:ilvl="0">
      <w:lvlJc w:val="left"/>
      <w:lvlText w:val="(*)"/>
      <w:numFmt w:val="bullet"/>
      <w:start w:val="1"/>
    </w:lvl>
  </w:abstractNum>
  <w:abstractNum w:abstractNumId="59">
    <w:nsid w:val="540A471C"/>
    <w:multiLevelType w:val="hybridMultilevel"/>
    <w:lvl w:ilvl="0">
      <w:lvlJc w:val="left"/>
      <w:lvlText w:val="%1."/>
      <w:numFmt w:val="upperLetter"/>
      <w:start w:val="10"/>
    </w:lvl>
  </w:abstractNum>
  <w:abstractNum w:abstractNumId="60">
    <w:nsid w:val="7BD3EE7B"/>
    <w:multiLevelType w:val="hybridMultilevel"/>
    <w:lvl w:ilvl="0">
      <w:lvlJc w:val="left"/>
      <w:lvlText w:val="%1."/>
      <w:numFmt w:val="upperLetter"/>
      <w:start w:val="11"/>
    </w:lvl>
  </w:abstractNum>
  <w:abstractNum w:abstractNumId="61">
    <w:nsid w:val="51D9C564"/>
    <w:multiLevelType w:val="hybridMultilevel"/>
    <w:lvl w:ilvl="0">
      <w:lvlJc w:val="left"/>
      <w:lvlText w:val="(*)"/>
      <w:numFmt w:val="bullet"/>
      <w:start w:val="1"/>
    </w:lvl>
  </w:abstractNum>
  <w:abstractNum w:abstractNumId="62">
    <w:nsid w:val="613EFDC5"/>
    <w:multiLevelType w:val="hybridMultilevel"/>
    <w:lvl w:ilvl="0">
      <w:lvlJc w:val="left"/>
      <w:lvlText w:val="%1."/>
      <w:numFmt w:val="upperLetter"/>
      <w:start w:val="12"/>
    </w:lvl>
  </w:abstractNum>
  <w:abstractNum w:abstractNumId="63">
    <w:nsid w:val="BF72B14"/>
    <w:multiLevelType w:val="hybridMultilevel"/>
    <w:lvl w:ilvl="0">
      <w:lvlJc w:val="left"/>
      <w:lvlText w:val="(*)"/>
      <w:numFmt w:val="bullet"/>
      <w:start w:val="1"/>
    </w:lvl>
  </w:abstractNum>
  <w:abstractNum w:abstractNumId="64">
    <w:nsid w:val="11447B73"/>
    <w:multiLevelType w:val="hybridMultilevel"/>
    <w:lvl w:ilvl="0">
      <w:lvlJc w:val="left"/>
      <w:lvlText w:val="%1."/>
      <w:numFmt w:val="upperLetter"/>
      <w:start w:val="13"/>
    </w:lvl>
  </w:abstractNum>
  <w:abstractNum w:abstractNumId="65">
    <w:nsid w:val="42963E5A"/>
    <w:multiLevelType w:val="hybridMultilevel"/>
    <w:lvl w:ilvl="0">
      <w:lvlJc w:val="left"/>
      <w:lvlText w:val="(*)"/>
      <w:numFmt w:val="bullet"/>
      <w:start w:val="1"/>
    </w:lvl>
  </w:abstractNum>
  <w:abstractNum w:abstractNumId="66">
    <w:nsid w:val="A0382C5"/>
    <w:multiLevelType w:val="hybridMultilevel"/>
    <w:lvl w:ilvl="0">
      <w:lvlJc w:val="left"/>
      <w:lvlText w:val="%1."/>
      <w:numFmt w:val="upperLetter"/>
      <w:start w:val="14"/>
    </w:lvl>
  </w:abstractNum>
  <w:abstractNum w:abstractNumId="67">
    <w:nsid w:val="8F2B15E"/>
    <w:multiLevelType w:val="hybridMultilevel"/>
    <w:lvl w:ilvl="0">
      <w:lvlJc w:val="left"/>
      <w:lvlText w:val="%1."/>
      <w:numFmt w:val="upperLetter"/>
      <w:start w:val="15"/>
    </w:lvl>
  </w:abstractNum>
  <w:abstractNum w:abstractNumId="68">
    <w:nsid w:val="1A32234B"/>
    <w:multiLevelType w:val="hybridMultilevel"/>
    <w:lvl w:ilvl="0">
      <w:lvlJc w:val="left"/>
      <w:lvlText w:val="•"/>
      <w:numFmt w:val="bullet"/>
      <w:start w:val="1"/>
    </w:lvl>
  </w:abstractNum>
  <w:abstractNum w:abstractNumId="69">
    <w:nsid w:val="3B0FD379"/>
    <w:multiLevelType w:val="hybridMultilevel"/>
    <w:lvl w:ilvl="0">
      <w:lvlJc w:val="left"/>
      <w:lvlText w:val="•"/>
      <w:numFmt w:val="bullet"/>
      <w:start w:val="1"/>
    </w:lvl>
  </w:abstractNum>
  <w:abstractNum w:abstractNumId="70">
    <w:nsid w:val="68EB2F63"/>
    <w:multiLevelType w:val="hybridMultilevel"/>
    <w:lvl w:ilvl="0">
      <w:lvlJc w:val="left"/>
      <w:lvlText w:val="(%1)"/>
      <w:numFmt w:val="lowerLetter"/>
      <w:start w:val="1"/>
    </w:lvl>
  </w:abstractNum>
  <w:abstractNum w:abstractNumId="71">
    <w:nsid w:val="4962813B"/>
    <w:multiLevelType w:val="hybridMultilevel"/>
    <w:lvl w:ilvl="0">
      <w:lvlJc w:val="left"/>
      <w:lvlText w:val="(%1)"/>
      <w:numFmt w:val="lowerLetter"/>
      <w:start w:val="1"/>
    </w:lvl>
  </w:abstractNum>
  <w:abstractNum w:abstractNumId="72">
    <w:nsid w:val="60B6DF70"/>
    <w:multiLevelType w:val="hybridMultilevel"/>
    <w:lvl w:ilvl="0">
      <w:lvlJc w:val="left"/>
      <w:lvlText w:val="(%1)"/>
      <w:numFmt w:val="lowerLetter"/>
      <w:start w:val="1"/>
    </w:lvl>
  </w:abstractNum>
  <w:abstractNum w:abstractNumId="73">
    <w:nsid w:val="6A5EE64"/>
    <w:multiLevelType w:val="hybridMultilevel"/>
    <w:lvl w:ilvl="0">
      <w:lvlJc w:val="left"/>
      <w:lvlText w:val="(%1)"/>
      <w:numFmt w:val="lowerLetter"/>
      <w:start w:val="1"/>
    </w:lvl>
  </w:abstractNum>
  <w:abstractNum w:abstractNumId="74">
    <w:nsid w:val="14330624"/>
    <w:multiLevelType w:val="hybridMultilevel"/>
    <w:lvl w:ilvl="0">
      <w:lvlJc w:val="left"/>
      <w:lvlText w:val="(%1)"/>
      <w:numFmt w:val="lowerLetter"/>
      <w:start w:val="1"/>
    </w:lvl>
  </w:abstractNum>
  <w:abstractNum w:abstractNumId="75">
    <w:nsid w:val="7FFFCA11"/>
    <w:multiLevelType w:val="hybridMultilevel"/>
    <w:lvl w:ilvl="0">
      <w:lvlJc w:val="left"/>
      <w:lvlText w:val="%1."/>
      <w:numFmt w:val="upperLetter"/>
      <w:start w:val="16"/>
    </w:lvl>
  </w:abstractNum>
  <w:abstractNum w:abstractNumId="76">
    <w:nsid w:val="1A27709E"/>
    <w:multiLevelType w:val="hybridMultilevel"/>
    <w:lvl w:ilvl="0">
      <w:lvlJc w:val="left"/>
      <w:lvlText w:val="2"/>
      <w:numFmt w:val="bullet"/>
      <w:start w:val="1"/>
    </w:lvl>
  </w:abstractNum>
  <w:abstractNum w:abstractNumId="77">
    <w:nsid w:val="71EA1109"/>
    <w:multiLevelType w:val="hybridMultilevel"/>
    <w:lvl w:ilvl="0">
      <w:lvlJc w:val="left"/>
      <w:lvlText w:val="%1"/>
      <w:numFmt w:val="decimal"/>
      <w:start w:val="21"/>
    </w:lvl>
  </w:abstractNum>
  <w:abstractNum w:abstractNumId="78">
    <w:nsid w:val="100F59DC"/>
    <w:multiLevelType w:val="hybridMultilevel"/>
    <w:lvl w:ilvl="0">
      <w:lvlJc w:val="left"/>
      <w:lvlText w:val="%1"/>
      <w:numFmt w:val="decimal"/>
      <w:start w:val="23"/>
    </w:lvl>
  </w:abstractNum>
  <w:abstractNum w:abstractNumId="79">
    <w:nsid w:val="7FB7E0AA"/>
    <w:multiLevelType w:val="hybridMultilevel"/>
    <w:lvl w:ilvl="0">
      <w:lvlJc w:val="left"/>
      <w:lvlText w:val="%1"/>
      <w:numFmt w:val="decimal"/>
      <w:start w:val="32"/>
    </w:lvl>
  </w:abstractNum>
  <w:abstractNum w:abstractNumId="80">
    <w:nsid w:val="6EB5BD4"/>
    <w:multiLevelType w:val="hybridMultilevel"/>
    <w:lvl w:ilvl="0">
      <w:lvlJc w:val="left"/>
      <w:lvlText w:val="%1"/>
      <w:numFmt w:val="decimal"/>
      <w:start w:val="97"/>
    </w:lvl>
  </w:abstractNum>
  <w:abstractNum w:abstractNumId="81">
    <w:nsid w:val="6F6DD9AC"/>
    <w:multiLevelType w:val="hybridMultilevel"/>
    <w:lvl w:ilvl="0">
      <w:lvlJc w:val="left"/>
      <w:lvlText w:val="%1"/>
      <w:numFmt w:val="decimal"/>
      <w:start w:val="104"/>
    </w:lvl>
  </w:abstractNum>
  <w:abstractNum w:abstractNumId="82">
    <w:nsid w:val="94211F2"/>
    <w:multiLevelType w:val="hybridMultilevel"/>
    <w:lvl w:ilvl="0">
      <w:lvlJc w:val="left"/>
      <w:lvlText w:val="(*)"/>
      <w:numFmt w:val="bullet"/>
      <w:start w:val="1"/>
    </w:lvl>
  </w:abstractNum>
  <w:abstractNum w:abstractNumId="83">
    <w:nsid w:val="885E1B"/>
    <w:multiLevelType w:val="hybridMultilevel"/>
    <w:lvl w:ilvl="0">
      <w:lvlJc w:val="left"/>
      <w:lvlText w:val="%1."/>
      <w:numFmt w:val="decimal"/>
      <w:start w:val="1"/>
    </w:lvl>
    <w:lvl w:ilvl="1">
      <w:lvlJc w:val="left"/>
      <w:lvlText w:val="%2)"/>
      <w:numFmt w:val="lowerLetter"/>
      <w:start w:val="1"/>
    </w:lvl>
  </w:abstractNum>
  <w:abstractNum w:abstractNumId="84">
    <w:nsid w:val="76272110"/>
    <w:multiLevelType w:val="hybridMultilevel"/>
    <w:lvl w:ilvl="0">
      <w:lvlJc w:val="left"/>
      <w:lvlText w:val="%1."/>
      <w:numFmt w:val="decimal"/>
      <w:start w:val="1"/>
    </w:lvl>
    <w:lvl w:ilvl="1">
      <w:lvlJc w:val="left"/>
      <w:lvlText w:val="%2)"/>
      <w:numFmt w:val="lowerLetter"/>
      <w:start w:val="1"/>
    </w:lvl>
  </w:abstractNum>
  <w:abstractNum w:abstractNumId="85">
    <w:nsid w:val="4C04A8AF"/>
    <w:multiLevelType w:val="hybridMultilevel"/>
    <w:lvl w:ilvl="0">
      <w:lvlJc w:val="left"/>
      <w:lvlText w:val="%1."/>
      <w:numFmt w:val="decimal"/>
      <w:start w:val="1"/>
    </w:lvl>
    <w:lvl w:ilvl="1">
      <w:lvlJc w:val="left"/>
      <w:lvlText w:val="%2)"/>
      <w:numFmt w:val="lowerLetter"/>
      <w:start w:val="1"/>
    </w:lvl>
  </w:abstractNum>
  <w:abstractNum w:abstractNumId="86">
    <w:nsid w:val="1716703B"/>
    <w:multiLevelType w:val="hybridMultilevel"/>
    <w:lvl w:ilvl="0">
      <w:lvlJc w:val="left"/>
      <w:lvlText w:val="(%1)"/>
      <w:numFmt w:val="decimal"/>
      <w:start w:val="1"/>
    </w:lvl>
  </w:abstractNum>
  <w:abstractNum w:abstractNumId="87">
    <w:nsid w:val="14E17E33"/>
    <w:multiLevelType w:val="hybridMultilevel"/>
    <w:lvl w:ilvl="0">
      <w:lvlJc w:val="left"/>
      <w:lvlText w:val="(%1)"/>
      <w:numFmt w:val="lowerRoman"/>
      <w:start w:val="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206" Type="http://schemas.openxmlformats.org/officeDocument/2006/relationships/image" Target="media/image190.png"/><Relationship Id="rId207" Type="http://schemas.openxmlformats.org/officeDocument/2006/relationships/image" Target="media/image191.png"/><Relationship Id="rId208" Type="http://schemas.openxmlformats.org/officeDocument/2006/relationships/image" Target="media/image192.png"/><Relationship Id="rId209" Type="http://schemas.openxmlformats.org/officeDocument/2006/relationships/image" Target="media/image193.png"/><Relationship Id="rId210" Type="http://schemas.openxmlformats.org/officeDocument/2006/relationships/image" Target="media/image194.png"/><Relationship Id="rId211" Type="http://schemas.openxmlformats.org/officeDocument/2006/relationships/image" Target="media/image195.png"/><Relationship Id="rId212" Type="http://schemas.openxmlformats.org/officeDocument/2006/relationships/image" Target="media/image196.png"/><Relationship Id="rId213" Type="http://schemas.openxmlformats.org/officeDocument/2006/relationships/image" Target="media/image197.png"/><Relationship Id="rId214" Type="http://schemas.openxmlformats.org/officeDocument/2006/relationships/image" Target="media/image198.png"/><Relationship Id="rId215" Type="http://schemas.openxmlformats.org/officeDocument/2006/relationships/image" Target="media/image199.png"/><Relationship Id="rId216" Type="http://schemas.openxmlformats.org/officeDocument/2006/relationships/image" Target="media/image200.png"/><Relationship Id="rId217" Type="http://schemas.openxmlformats.org/officeDocument/2006/relationships/image" Target="media/image201.png"/><Relationship Id="rId218" Type="http://schemas.openxmlformats.org/officeDocument/2006/relationships/image" Target="media/image202.png"/><Relationship Id="rId197" Type="http://schemas.openxmlformats.org/officeDocument/2006/relationships/hyperlink" Target="https://www.sec.gov/Archives/edgar/data/1042046/000104204620000013/afg-20191231xex3a.htm" TargetMode="External"/><Relationship Id="rId198" Type="http://schemas.openxmlformats.org/officeDocument/2006/relationships/hyperlink" Target="https://www.sec.gov/Archives/edgar/data/1042046/000114036120007639/ex3_1.htm" TargetMode="External"/><Relationship Id="rId199" Type="http://schemas.openxmlformats.org/officeDocument/2006/relationships/hyperlink" Target="http://www.sec.gov/Archives/edgar/data/1042046/000089225112000112/ex10nonemployeedircomp.htm" TargetMode="External"/><Relationship Id="rId200" Type="http://schemas.openxmlformats.org/officeDocument/2006/relationships/hyperlink" Target="https://www.sec.gov/Archives/edgar/data/1042046/000114036122040892/brhc10043883_ex10.htm" TargetMode="External"/><Relationship Id="rId201" Type="http://schemas.openxmlformats.org/officeDocument/2006/relationships/hyperlink" Target="http://www.sec.gov/Archives/edgar/data/1042046/000104204618000014/afg-20171231xex10d.htm" TargetMode="External"/><Relationship Id="rId202" Type="http://schemas.openxmlformats.org/officeDocument/2006/relationships/hyperlink" Target="http://www.sec.gov/Archives/edgar/data/1042046/000104204609000011/auxrasp.htm" TargetMode="External"/><Relationship Id="rId203" Type="http://schemas.openxmlformats.org/officeDocument/2006/relationships/hyperlink" Target="http://www.sec.gov/Archives/edgar/data/1042046/000104204616000074/afg-20151231xex10g.htm" TargetMode="External"/><Relationship Id="rId204" Type="http://schemas.openxmlformats.org/officeDocument/2006/relationships/hyperlink" Target="http://www.sec.gov/Archives/edgar/data/1042046/000114420416092193/v434516_def14a.htm" TargetMode="External"/><Relationship Id="rId205" Type="http://schemas.openxmlformats.org/officeDocument/2006/relationships/hyperlink" Target="https://www.sec.gov/Archives/edgar/data/1042046/000114036123031731/brhc2005502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2024-02-23T15:04:10Z</dcterms:created>
  <dcterms:modified xsi:type="dcterms:W3CDTF">2024-02-23T15:04:10Z</dcterms:modified>
</cp:coreProperties>
</file>